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63" w:lineRule="exact"/>
        <w:rPr>
          <w:sz w:val="24"/>
          <w:szCs w:val="24"/>
          <w:color w:val="auto"/>
        </w:rPr>
      </w:pPr>
    </w:p>
    <w:p>
      <w:pPr>
        <w:ind w:left="4000" w:right="2780" w:hanging="3992"/>
        <w:spacing w:after="0" w:line="304" w:lineRule="auto"/>
        <w:tabs>
          <w:tab w:leader="none" w:pos="20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June 30, 2025</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ind w:left="3640" w:right="2780" w:hanging="3632"/>
        <w:spacing w:after="0" w:line="304" w:lineRule="auto"/>
        <w:tabs>
          <w:tab w:leader="none" w:pos="2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172085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7" w:lineRule="exact"/>
        <w:rPr>
          <w:sz w:val="24"/>
          <w:szCs w:val="24"/>
          <w:color w:val="auto"/>
        </w:rPr>
      </w:pPr>
    </w:p>
    <w:tbl>
      <w:tblPr>
        <w:tblLayout w:type="fixed"/>
        <w:tblInd w:w="380" w:type="dxa"/>
        <w:tblCellMar>
          <w:top w:w="0" w:type="dxa"/>
          <w:left w:w="0" w:type="dxa"/>
          <w:bottom w:w="0" w:type="dxa"/>
          <w:right w:w="0" w:type="dxa"/>
        </w:tblCellMar>
      </w:tblPr>
      <w:tr>
        <w:trPr>
          <w:trHeight w:val="267"/>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3"/>
                <w:szCs w:val="23"/>
                <w:color w:val="auto"/>
              </w:rPr>
            </w:pPr>
          </w:p>
        </w:tc>
        <w:tc>
          <w:tcPr>
            <w:tcW w:w="3580" w:type="dxa"/>
            <w:vAlign w:val="bottom"/>
            <w:gridSpan w:val="3"/>
          </w:tcPr>
          <w:p>
            <w:pPr>
              <w:jc w:val="right"/>
              <w:ind w:right="1839"/>
              <w:spacing w:after="0"/>
              <w:rPr>
                <w:sz w:val="20"/>
                <w:szCs w:val="20"/>
                <w:color w:val="auto"/>
              </w:rPr>
            </w:pPr>
            <w:r>
              <w:rPr>
                <w:rFonts w:ascii="Arial" w:cs="Arial" w:eastAsia="Arial" w:hAnsi="Arial"/>
                <w:sz w:val="20"/>
                <w:szCs w:val="20"/>
                <w:b w:val="1"/>
                <w:bCs w:val="1"/>
                <w:color w:val="auto"/>
              </w:rPr>
              <w:t>83-2747826</w:t>
            </w:r>
          </w:p>
        </w:tc>
      </w:tr>
      <w:tr>
        <w:trPr>
          <w:trHeight w:val="208"/>
        </w:trPr>
        <w:tc>
          <w:tcPr>
            <w:tcW w:w="5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(State or Other Jurisdiction)</w:t>
            </w:r>
          </w:p>
        </w:tc>
        <w:tc>
          <w:tcPr>
            <w:tcW w:w="100" w:type="dxa"/>
            <w:vAlign w:val="bottom"/>
          </w:tcPr>
          <w:p>
            <w:pPr>
              <w:spacing w:after="0"/>
              <w:rPr>
                <w:sz w:val="18"/>
                <w:szCs w:val="18"/>
                <w:color w:val="auto"/>
              </w:rPr>
            </w:pPr>
          </w:p>
        </w:tc>
        <w:tc>
          <w:tcPr>
            <w:tcW w:w="5360" w:type="dxa"/>
            <w:vAlign w:val="bottom"/>
            <w:tcBorders>
              <w:top w:val="single" w:sz="8" w:color="auto"/>
            </w:tcBorders>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615"/>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44"/>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8"/>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3"/>
                <w:szCs w:val="23"/>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07" w:lineRule="exact"/>
        <w:rPr>
          <w:sz w:val="24"/>
          <w:szCs w:val="24"/>
          <w:color w:val="auto"/>
        </w:rPr>
      </w:pPr>
    </w:p>
    <w:p>
      <w:pPr>
        <w:ind w:right="460"/>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49" w:lineRule="exact"/>
        <w:rPr>
          <w:sz w:val="24"/>
          <w:szCs w:val="24"/>
          <w:color w:val="auto"/>
        </w:rPr>
      </w:pPr>
    </w:p>
    <w:p>
      <w:pPr>
        <w:ind w:right="220"/>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 w:lineRule="exact"/>
        <w:rPr>
          <w:sz w:val="24"/>
          <w:szCs w:val="24"/>
          <w:color w:val="auto"/>
        </w:rPr>
      </w:pPr>
    </w:p>
    <w:p>
      <w:pPr>
        <w:ind w:right="2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38"/>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 w:name="page2"/>
    <w:bookmarkEnd w:id="1"/>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As of August 4, 2025, there were 152,724,774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0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4180" w:type="dxa"/>
            <w:vAlign w:val="bottom"/>
            <w:tcBorders>
              <w:top w:val="single" w:sz="8" w:color="CCEEFF"/>
            </w:tcBorders>
            <w:gridSpan w:val="7"/>
          </w:tcPr>
          <w:p>
            <w:pPr>
              <w:spacing w:after="0"/>
              <w:rPr>
                <w:sz w:val="16"/>
                <w:szCs w:val="16"/>
                <w:color w:val="auto"/>
              </w:rPr>
            </w:pPr>
          </w:p>
        </w:tc>
        <w:tc>
          <w:tcPr>
            <w:tcW w:w="200" w:type="dxa"/>
            <w:vAlign w:val="bottom"/>
            <w:tcBorders>
              <w:top w:val="single" w:sz="8" w:color="CCEEFF"/>
            </w:tcBorders>
            <w:gridSpan w:val="3"/>
          </w:tcPr>
          <w:p>
            <w:pPr>
              <w:jc w:val="center"/>
              <w:ind w:right="20"/>
              <w:spacing w:after="0" w:line="189" w:lineRule="exact"/>
              <w:rPr>
                <w:sz w:val="20"/>
                <w:szCs w:val="20"/>
                <w:color w:val="auto"/>
              </w:rPr>
            </w:pPr>
            <w:r>
              <w:rPr>
                <w:rFonts w:ascii="Arial" w:cs="Arial" w:eastAsia="Arial" w:hAnsi="Arial"/>
                <w:sz w:val="18"/>
                <w:szCs w:val="18"/>
                <w:color w:val="0000FF"/>
                <w:w w:val="99"/>
              </w:rPr>
              <w:t>1</w:t>
            </w: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Operations</w:t>
            </w:r>
          </w:p>
        </w:tc>
        <w:tc>
          <w:tcPr>
            <w:tcW w:w="4460" w:type="dxa"/>
            <w:vAlign w:val="bottom"/>
            <w:gridSpan w:val="9"/>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3</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14"/>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p>
        </w:tc>
        <w:tc>
          <w:tcPr>
            <w:tcW w:w="200" w:type="dxa"/>
            <w:vAlign w:val="bottom"/>
            <w:gridSpan w:val="3"/>
          </w:tcPr>
          <w:p>
            <w:pPr>
              <w:jc w:val="center"/>
              <w:ind w:right="20"/>
              <w:spacing w:after="0" w:line="189" w:lineRule="exact"/>
              <w:rPr>
                <w:sz w:val="20"/>
                <w:szCs w:val="20"/>
                <w:color w:val="auto"/>
              </w:rPr>
            </w:pPr>
            <w:r>
              <w:rPr>
                <w:rFonts w:ascii="Arial" w:cs="Arial" w:eastAsia="Arial" w:hAnsi="Arial"/>
                <w:sz w:val="18"/>
                <w:szCs w:val="18"/>
                <w:color w:val="0000FF"/>
                <w:w w:val="99"/>
              </w:rPr>
              <w:t>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Redeemable Perpetual Preferred Stock and</w:t>
            </w:r>
          </w:p>
        </w:tc>
        <w:tc>
          <w:tcPr>
            <w:tcW w:w="40" w:type="dxa"/>
            <w:vAlign w:val="bottom"/>
            <w:vMerge w:val="restart"/>
            <w:shd w:val="clear" w:color="auto" w:fill="CCEEFF"/>
          </w:tcPr>
          <w:p>
            <w:pPr>
              <w:spacing w:after="0"/>
              <w:rPr>
                <w:sz w:val="16"/>
                <w:szCs w:val="16"/>
                <w:color w:val="auto"/>
              </w:rPr>
            </w:pPr>
          </w:p>
        </w:tc>
        <w:tc>
          <w:tcPr>
            <w:tcW w:w="1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0000FF"/>
                <w:w w:val="99"/>
              </w:rPr>
              <w:t>5</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Stockholders’ Equity</w:t>
            </w:r>
          </w:p>
        </w:tc>
        <w:tc>
          <w:tcPr>
            <w:tcW w:w="6040" w:type="dxa"/>
            <w:vAlign w:val="bottom"/>
            <w:tcBorders>
              <w:top w:val="single" w:sz="8" w:color="0000FF"/>
            </w:tcBorders>
            <w:gridSpan w:val="12"/>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vMerge w:val="continue"/>
            <w:shd w:val="clear" w:color="auto" w:fill="CCEEFF"/>
          </w:tcPr>
          <w:p>
            <w:pPr>
              <w:spacing w:after="0"/>
              <w:rPr>
                <w:sz w:val="15"/>
                <w:szCs w:val="15"/>
                <w:color w:val="auto"/>
              </w:rPr>
            </w:pPr>
          </w:p>
        </w:tc>
        <w:tc>
          <w:tcPr>
            <w:tcW w:w="160" w:type="dxa"/>
            <w:vAlign w:val="bottom"/>
            <w:tcBorders>
              <w:top w:val="single" w:sz="8" w:color="CCEEFF"/>
            </w:tcBorders>
            <w:gridSpan w:val="2"/>
            <w:vMerge w:val="continue"/>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gridSpan w:val="14"/>
          </w:tcPr>
          <w:p>
            <w:pPr>
              <w:spacing w:after="0" w:line="183" w:lineRule="exact"/>
              <w:rPr>
                <w:sz w:val="20"/>
                <w:szCs w:val="20"/>
                <w:color w:val="auto"/>
              </w:rPr>
            </w:pPr>
            <w:r>
              <w:rPr>
                <w:rFonts w:ascii="Arial" w:cs="Arial" w:eastAsia="Arial" w:hAnsi="Arial"/>
                <w:sz w:val="18"/>
                <w:szCs w:val="18"/>
                <w:color w:val="0000FF"/>
              </w:rPr>
              <w:t>Condensed Consolidated Statements of Cash Flows</w:t>
            </w:r>
          </w:p>
        </w:tc>
        <w:tc>
          <w:tcPr>
            <w:tcW w:w="200" w:type="dxa"/>
            <w:vAlign w:val="bottom"/>
            <w:gridSpan w:val="3"/>
          </w:tcPr>
          <w:p>
            <w:pPr>
              <w:jc w:val="center"/>
              <w:ind w:right="20"/>
              <w:spacing w:after="0" w:line="183" w:lineRule="exact"/>
              <w:rPr>
                <w:sz w:val="20"/>
                <w:szCs w:val="20"/>
                <w:color w:val="auto"/>
              </w:rPr>
            </w:pPr>
            <w:r>
              <w:rPr>
                <w:rFonts w:ascii="Arial" w:cs="Arial" w:eastAsia="Arial" w:hAnsi="Arial"/>
                <w:sz w:val="18"/>
                <w:szCs w:val="18"/>
                <w:color w:val="0000FF"/>
                <w:w w:val="99"/>
              </w:rPr>
              <w:t>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8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Condensed Consolidated Financial Statements</w:t>
            </w:r>
          </w:p>
        </w:tc>
        <w:tc>
          <w:tcPr>
            <w:tcW w:w="41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10</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9700" w:type="dxa"/>
            <w:vAlign w:val="bottom"/>
            <w:gridSpan w:val="16"/>
          </w:tcPr>
          <w:p>
            <w:pPr>
              <w:ind w:left="9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4"/>
          </w:tcPr>
          <w:p>
            <w:pPr>
              <w:jc w:val="center"/>
              <w:ind w:right="520"/>
              <w:spacing w:after="0" w:line="189" w:lineRule="exact"/>
              <w:rPr>
                <w:sz w:val="20"/>
                <w:szCs w:val="20"/>
                <w:color w:val="auto"/>
              </w:rPr>
            </w:pPr>
            <w:r>
              <w:rPr>
                <w:rFonts w:ascii="Arial" w:cs="Arial" w:eastAsia="Arial" w:hAnsi="Arial"/>
                <w:sz w:val="18"/>
                <w:szCs w:val="18"/>
                <w:color w:val="0000FF"/>
                <w:w w:val="9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49</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900" w:type="dxa"/>
            <w:vAlign w:val="bottom"/>
          </w:tcPr>
          <w:p>
            <w:pPr>
              <w:spacing w:after="0"/>
              <w:rPr>
                <w:sz w:val="16"/>
                <w:szCs w:val="16"/>
                <w:color w:val="auto"/>
              </w:rPr>
            </w:pPr>
          </w:p>
        </w:tc>
        <w:tc>
          <w:tcPr>
            <w:tcW w:w="20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2"/>
          </w:tcPr>
          <w:p>
            <w:pPr>
              <w:spacing w:after="0"/>
              <w:rPr>
                <w:sz w:val="16"/>
                <w:szCs w:val="16"/>
                <w:color w:val="auto"/>
              </w:rPr>
            </w:pPr>
          </w:p>
        </w:tc>
        <w:tc>
          <w:tcPr>
            <w:tcW w:w="200" w:type="dxa"/>
            <w:vAlign w:val="bottom"/>
            <w:tcBorders>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49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4"/>
          </w:tcPr>
          <w:p>
            <w:pPr>
              <w:ind w:left="100"/>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3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50</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50</w:t>
            </w:r>
          </w:p>
        </w:tc>
        <w:tc>
          <w:tcPr>
            <w:tcW w:w="1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55</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3.</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55</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8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55</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5.</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55</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10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9180" w:type="dxa"/>
            <w:vAlign w:val="bottom"/>
            <w:gridSpan w:val="11"/>
            <w:shd w:val="clear" w:color="auto" w:fill="CCEEFF"/>
          </w:tcPr>
          <w:p>
            <w:pPr>
              <w:ind w:left="380"/>
              <w:spacing w:after="0" w:line="189" w:lineRule="exact"/>
              <w:rPr>
                <w:sz w:val="20"/>
                <w:szCs w:val="20"/>
                <w:color w:val="auto"/>
              </w:rPr>
            </w:pPr>
            <w:r>
              <w:rPr>
                <w:rFonts w:ascii="Arial" w:cs="Arial" w:eastAsia="Arial" w:hAnsi="Arial"/>
                <w:sz w:val="18"/>
                <w:szCs w:val="18"/>
                <w:color w:val="0000FF"/>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55</w:t>
            </w:r>
          </w:p>
        </w:tc>
        <w:tc>
          <w:tcPr>
            <w:tcW w:w="120" w:type="dxa"/>
            <w:vAlign w:val="bottom"/>
          </w:tcPr>
          <w:p>
            <w:pPr>
              <w:spacing w:after="0"/>
              <w:rPr>
                <w:sz w:val="18"/>
                <w:szCs w:val="18"/>
                <w:color w:val="auto"/>
              </w:rPr>
            </w:pPr>
          </w:p>
        </w:tc>
      </w:tr>
      <w:tr>
        <w:trPr>
          <w:trHeight w:val="1182"/>
        </w:trPr>
        <w:tc>
          <w:tcPr>
            <w:tcW w:w="1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4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 w:name="page4"/>
    <w:bookmarkEnd w:id="3"/>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40"/>
        </w:trPr>
        <w:tc>
          <w:tcPr>
            <w:tcW w:w="6520" w:type="dxa"/>
            <w:vAlign w:val="bottom"/>
            <w:tcBorders>
              <w:top w:val="single" w:sz="8" w:color="CCEEFF"/>
            </w:tcBorders>
            <w:shd w:val="clear" w:color="auto" w:fill="CCEEFF"/>
          </w:tcPr>
          <w:p>
            <w:pPr>
              <w:ind w:left="5220"/>
              <w:spacing w:after="0"/>
              <w:rPr>
                <w:sz w:val="20"/>
                <w:szCs w:val="20"/>
                <w:color w:val="auto"/>
              </w:rPr>
            </w:pPr>
            <w:r>
              <w:rPr>
                <w:rFonts w:ascii="Arial" w:cs="Arial" w:eastAsia="Arial" w:hAnsi="Arial"/>
                <w:sz w:val="20"/>
                <w:szCs w:val="20"/>
                <w:b w:val="1"/>
                <w:bCs w:val="1"/>
                <w:color w:val="auto"/>
              </w:rPr>
              <w:t>ASSETS</w:t>
            </w:r>
          </w:p>
        </w:tc>
        <w:tc>
          <w:tcPr>
            <w:tcW w:w="320" w:type="dxa"/>
            <w:vAlign w:val="bottom"/>
            <w:tcBorders>
              <w:top w:val="single" w:sz="8" w:color="auto"/>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377,271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362,992</w:t>
            </w: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Restricted cash</w:t>
            </w:r>
          </w:p>
        </w:tc>
        <w:tc>
          <w:tcPr>
            <w:tcW w:w="3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1,499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1,149</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Accounts receivable, net of allowance of $6,821 and $4,848,</w:t>
            </w:r>
          </w:p>
        </w:tc>
        <w:tc>
          <w:tcPr>
            <w:tcW w:w="320" w:type="dxa"/>
            <w:vAlign w:val="bottom"/>
            <w:shd w:val="clear" w:color="auto" w:fill="CCEEFF"/>
          </w:tcPr>
          <w:p>
            <w:pPr>
              <w:spacing w:after="0"/>
              <w:rPr>
                <w:sz w:val="16"/>
                <w:szCs w:val="16"/>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367,175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275,838</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respectively</w:t>
            </w:r>
          </w:p>
        </w:tc>
        <w:tc>
          <w:tcPr>
            <w:tcW w:w="320" w:type="dxa"/>
            <w:vAlign w:val="bottom"/>
            <w:shd w:val="clear" w:color="auto" w:fill="CCEEFF"/>
          </w:tcPr>
          <w:p>
            <w:pPr>
              <w:spacing w:after="0"/>
              <w:rPr>
                <w:sz w:val="21"/>
                <w:szCs w:val="21"/>
                <w:color w:val="auto"/>
              </w:rPr>
            </w:pPr>
          </w:p>
        </w:tc>
        <w:tc>
          <w:tcPr>
            <w:tcW w:w="2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Inventories, net</w:t>
            </w:r>
          </w:p>
        </w:tc>
        <w:tc>
          <w:tcPr>
            <w:tcW w:w="3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177,966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200,818</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32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114,543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157,927</w:t>
            </w:r>
          </w:p>
        </w:tc>
        <w:tc>
          <w:tcPr>
            <w:tcW w:w="0" w:type="dxa"/>
            <w:vAlign w:val="bottom"/>
          </w:tcPr>
          <w:p>
            <w:pPr>
              <w:spacing w:after="0"/>
              <w:rPr>
                <w:sz w:val="1"/>
                <w:szCs w:val="1"/>
                <w:color w:val="auto"/>
              </w:rPr>
            </w:pPr>
          </w:p>
        </w:tc>
      </w:tr>
      <w:tr>
        <w:trPr>
          <w:trHeight w:val="250"/>
        </w:trPr>
        <w:tc>
          <w:tcPr>
            <w:tcW w:w="6520" w:type="dxa"/>
            <w:vAlign w:val="bottom"/>
          </w:tcPr>
          <w:p>
            <w:pPr>
              <w:ind w:left="520"/>
              <w:spacing w:after="0"/>
              <w:rPr>
                <w:sz w:val="20"/>
                <w:szCs w:val="20"/>
                <w:color w:val="auto"/>
              </w:rPr>
            </w:pPr>
            <w:r>
              <w:rPr>
                <w:rFonts w:ascii="Arial" w:cs="Arial" w:eastAsia="Arial" w:hAnsi="Arial"/>
                <w:sz w:val="20"/>
                <w:szCs w:val="20"/>
                <w:color w:val="auto"/>
              </w:rPr>
              <w:t>Total current assets</w:t>
            </w:r>
          </w:p>
        </w:tc>
        <w:tc>
          <w:tcPr>
            <w:tcW w:w="3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1,038,454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998,724</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3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35,081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26,222</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172,608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160,189</w:t>
            </w: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3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174,346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181,409</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assets</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25,166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17,754</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96,503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41,701</w:t>
            </w: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20"/>
                <w:szCs w:val="20"/>
                <w:color w:val="auto"/>
              </w:rPr>
              <w:t>Total assets</w:t>
            </w: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1,542,158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0" w:right="1140" w:firstLine="1131"/>
        <w:spacing w:after="0" w:line="281" w:lineRule="auto"/>
        <w:rPr>
          <w:sz w:val="20"/>
          <w:szCs w:val="20"/>
          <w:color w:val="auto"/>
        </w:rPr>
      </w:pPr>
      <w:r>
        <w:rPr>
          <w:rFonts w:ascii="Arial" w:cs="Arial" w:eastAsia="Arial" w:hAnsi="Arial"/>
          <w:sz w:val="20"/>
          <w:szCs w:val="20"/>
          <w:b w:val="1"/>
          <w:bCs w:val="1"/>
          <w:color w:val="auto"/>
        </w:rPr>
        <w:t xml:space="preserve">LIABILITIES, REDEEMABLE PERPETUAL PREFERRED STOCK AND STOCKHOLDERS' EQUITY </w:t>
      </w: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0"/>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740" w:type="dxa"/>
            <w:vAlign w:val="bottom"/>
            <w:shd w:val="clear" w:color="auto" w:fill="CCEEFF"/>
          </w:tcPr>
          <w:p>
            <w:pPr>
              <w:jc w:val="right"/>
              <w:ind w:right="501"/>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161,248</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21"/>
              <w:spacing w:after="0"/>
              <w:rPr>
                <w:sz w:val="20"/>
                <w:szCs w:val="20"/>
                <w:color w:val="auto"/>
              </w:rPr>
            </w:pPr>
            <w:r>
              <w:rPr>
                <w:rFonts w:ascii="Arial" w:cs="Arial" w:eastAsia="Arial" w:hAnsi="Arial"/>
                <w:sz w:val="20"/>
                <w:szCs w:val="20"/>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172,368</w:t>
            </w: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Accrued expenses and other</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101,578</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91,183</w:t>
            </w:r>
          </w:p>
        </w:tc>
      </w:tr>
      <w:tr>
        <w:trPr>
          <w:trHeight w:val="256"/>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4,982</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5,227</w:t>
            </w: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151,758</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119,775</w:t>
            </w: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2,563</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1,193</w:t>
            </w:r>
          </w:p>
        </w:tc>
      </w:tr>
      <w:tr>
        <w:trPr>
          <w:trHeight w:val="256"/>
        </w:trPr>
        <w:tc>
          <w:tcPr>
            <w:tcW w:w="6520" w:type="dxa"/>
            <w:vAlign w:val="bottom"/>
          </w:tcPr>
          <w:p>
            <w:pPr>
              <w:ind w:left="240"/>
              <w:spacing w:after="0"/>
              <w:rPr>
                <w:sz w:val="20"/>
                <w:szCs w:val="20"/>
                <w:color w:val="auto"/>
              </w:rPr>
            </w:pPr>
            <w:r>
              <w:rPr>
                <w:rFonts w:ascii="Arial" w:cs="Arial" w:eastAsia="Arial" w:hAnsi="Arial"/>
                <w:sz w:val="20"/>
                <w:szCs w:val="20"/>
                <w:color w:val="auto"/>
              </w:rPr>
              <w:t>Current portion of warranty liability</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2,369</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2,063</w:t>
            </w: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debt</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36,257</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30,714</w:t>
            </w:r>
          </w:p>
        </w:tc>
      </w:tr>
      <w:tr>
        <w:trPr>
          <w:trHeight w:val="256"/>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7,580</w:t>
            </w:r>
          </w:p>
        </w:tc>
        <w:tc>
          <w:tcPr>
            <w:tcW w:w="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15,291</w:t>
            </w:r>
          </w:p>
        </w:tc>
      </w:tr>
      <w:tr>
        <w:trPr>
          <w:trHeight w:val="250"/>
        </w:trPr>
        <w:tc>
          <w:tcPr>
            <w:tcW w:w="65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current liabilities</w:t>
            </w:r>
          </w:p>
        </w:tc>
        <w:tc>
          <w:tcPr>
            <w:tcW w:w="7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468,335</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437,814</w:t>
            </w:r>
          </w:p>
        </w:tc>
      </w:tr>
      <w:tr>
        <w:trPr>
          <w:trHeight w:val="270"/>
        </w:trPr>
        <w:tc>
          <w:tcPr>
            <w:tcW w:w="6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liabilities</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22,775</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21,398</w:t>
            </w: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5,294</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7,868</w:t>
            </w: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Warranty liability, net of current portion</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5,606</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4,830</w:t>
            </w: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Long-term debt, net of current portion</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657,591</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646,570</w:t>
            </w: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long-term liabilities</w:t>
            </w: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17,262</w:t>
            </w:r>
          </w:p>
        </w:tc>
        <w:tc>
          <w:tcPr>
            <w:tcW w:w="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18,684</w:t>
            </w:r>
          </w:p>
        </w:tc>
      </w:tr>
      <w:tr>
        <w:trPr>
          <w:trHeight w:val="255"/>
        </w:trPr>
        <w:tc>
          <w:tcPr>
            <w:tcW w:w="6520" w:type="dxa"/>
            <w:vAlign w:val="bottom"/>
          </w:tcPr>
          <w:p>
            <w:pPr>
              <w:ind w:left="520"/>
              <w:spacing w:after="0"/>
              <w:rPr>
                <w:sz w:val="20"/>
                <w:szCs w:val="20"/>
                <w:color w:val="auto"/>
              </w:rPr>
            </w:pPr>
            <w:r>
              <w:rPr>
                <w:rFonts w:ascii="Arial" w:cs="Arial" w:eastAsia="Arial" w:hAnsi="Arial"/>
                <w:sz w:val="20"/>
                <w:szCs w:val="20"/>
                <w:color w:val="auto"/>
              </w:rPr>
              <w:t>Total liabilities</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1,176,863</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1,137,164</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53"/>
        </w:trPr>
        <w:tc>
          <w:tcPr>
            <w:tcW w:w="65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20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Commitments and contingencies (Note 11)</w:t>
            </w: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Series A Redeemable Perpetual Preferred Stock of $0.001 par value;</w:t>
            </w:r>
          </w:p>
        </w:tc>
        <w:tc>
          <w:tcPr>
            <w:tcW w:w="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line="197" w:lineRule="exact"/>
              <w:rPr>
                <w:sz w:val="20"/>
                <w:szCs w:val="20"/>
                <w:color w:val="auto"/>
              </w:rPr>
            </w:pPr>
            <w:r>
              <w:rPr>
                <w:rFonts w:ascii="Arial" w:cs="Arial" w:eastAsia="Arial" w:hAnsi="Arial"/>
                <w:sz w:val="20"/>
                <w:szCs w:val="20"/>
                <w:color w:val="auto"/>
              </w:rPr>
              <w:t>500,000 authorized; 475,517 and 460,920 shares issued as of June 30,</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2025 and December 31, 2024, respectively; liquidation preference of</w:t>
            </w:r>
          </w:p>
        </w:tc>
        <w:tc>
          <w:tcPr>
            <w:tcW w:w="320" w:type="dxa"/>
            <w:vAlign w:val="bottom"/>
          </w:tcPr>
          <w:p>
            <w:pPr>
              <w:spacing w:after="0"/>
              <w:rPr>
                <w:sz w:val="16"/>
                <w:szCs w:val="16"/>
                <w:color w:val="auto"/>
              </w:rPr>
            </w:pP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436,162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406,931</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$493.1 million at both dates</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Stockholders’ equity</w:t>
            </w: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Preferred stock of $0.001 par value - 4,500,000 shares authorized;</w:t>
            </w:r>
          </w:p>
        </w:tc>
        <w:tc>
          <w:tcPr>
            <w:tcW w:w="320" w:type="dxa"/>
            <w:vAlign w:val="bottom"/>
            <w:shd w:val="clear" w:color="auto" w:fill="CCEEFF"/>
          </w:tcPr>
          <w:p>
            <w:pPr>
              <w:spacing w:after="0"/>
              <w:rPr>
                <w:sz w:val="16"/>
                <w:szCs w:val="16"/>
                <w:color w:val="auto"/>
              </w:rPr>
            </w:pPr>
          </w:p>
        </w:tc>
        <w:tc>
          <w:tcPr>
            <w:tcW w:w="2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none issued at respective dates</w:t>
            </w:r>
          </w:p>
        </w:tc>
        <w:tc>
          <w:tcPr>
            <w:tcW w:w="320" w:type="dxa"/>
            <w:vAlign w:val="bottom"/>
            <w:shd w:val="clear" w:color="auto" w:fill="CCEEFF"/>
          </w:tcPr>
          <w:p>
            <w:pPr>
              <w:spacing w:after="0"/>
              <w:rPr>
                <w:sz w:val="21"/>
                <w:szCs w:val="21"/>
                <w:color w:val="auto"/>
              </w:rPr>
            </w:pPr>
          </w:p>
        </w:tc>
        <w:tc>
          <w:tcPr>
            <w:tcW w:w="20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Common stock of $0.001 par value - 1,000,000,000 shares authorized;</w:t>
            </w:r>
          </w:p>
        </w:tc>
        <w:tc>
          <w:tcPr>
            <w:tcW w:w="320" w:type="dxa"/>
            <w:vAlign w:val="bottom"/>
          </w:tcPr>
          <w:p>
            <w:pPr>
              <w:spacing w:after="0"/>
              <w:rPr>
                <w:sz w:val="16"/>
                <w:szCs w:val="16"/>
                <w:color w:val="auto"/>
              </w:rPr>
            </w:pP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151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51"/>
        </w:trPr>
        <w:tc>
          <w:tcPr>
            <w:tcW w:w="6520" w:type="dxa"/>
            <w:vAlign w:val="bottom"/>
          </w:tcPr>
          <w:p>
            <w:pPr>
              <w:ind w:left="20"/>
              <w:spacing w:after="0"/>
              <w:rPr>
                <w:sz w:val="20"/>
                <w:szCs w:val="20"/>
                <w:color w:val="auto"/>
              </w:rPr>
            </w:pPr>
            <w:r>
              <w:rPr>
                <w:rFonts w:ascii="Arial" w:cs="Arial" w:eastAsia="Arial" w:hAnsi="Arial"/>
                <w:sz w:val="20"/>
                <w:szCs w:val="20"/>
                <w:color w:val="auto"/>
              </w:rPr>
              <w:t>152,660,615 and 151,951,652 shares issued at respective dates</w:t>
            </w:r>
          </w:p>
        </w:tc>
        <w:tc>
          <w:tcPr>
            <w:tcW w:w="320" w:type="dxa"/>
            <w:vAlign w:val="bottom"/>
          </w:tcPr>
          <w:p>
            <w:pPr>
              <w:spacing w:after="0"/>
              <w:rPr>
                <w:sz w:val="21"/>
                <w:szCs w:val="21"/>
                <w:color w:val="auto"/>
              </w:rPr>
            </w:pPr>
          </w:p>
        </w:tc>
        <w:tc>
          <w:tcPr>
            <w:tcW w:w="2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Additional paid-in capital</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248,285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297,780</w:t>
            </w:r>
          </w:p>
        </w:tc>
        <w:tc>
          <w:tcPr>
            <w:tcW w:w="0" w:type="dxa"/>
            <w:vAlign w:val="bottom"/>
          </w:tcPr>
          <w:p>
            <w:pPr>
              <w:spacing w:after="0"/>
              <w:rPr>
                <w:sz w:val="1"/>
                <w:szCs w:val="1"/>
                <w:color w:val="auto"/>
              </w:rPr>
            </w:pPr>
          </w:p>
        </w:tc>
      </w:tr>
      <w:tr>
        <w:trPr>
          <w:trHeight w:val="256"/>
        </w:trPr>
        <w:tc>
          <w:tcPr>
            <w:tcW w:w="6520" w:type="dxa"/>
            <w:vAlign w:val="bottom"/>
          </w:tcPr>
          <w:p>
            <w:pPr>
              <w:ind w:left="240"/>
              <w:spacing w:after="0"/>
              <w:rPr>
                <w:sz w:val="20"/>
                <w:szCs w:val="20"/>
                <w:color w:val="auto"/>
              </w:rPr>
            </w:pPr>
            <w:r>
              <w:rPr>
                <w:rFonts w:ascii="Arial" w:cs="Arial" w:eastAsia="Arial" w:hAnsi="Arial"/>
                <w:sz w:val="20"/>
                <w:szCs w:val="20"/>
                <w:color w:val="auto"/>
              </w:rPr>
              <w:t>Accumulated deficit</w:t>
            </w:r>
          </w:p>
        </w:tc>
        <w:tc>
          <w:tcPr>
            <w:tcW w:w="3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(310,616)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(370,624)</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other comprehensive loss</w:t>
            </w:r>
          </w:p>
        </w:tc>
        <w:tc>
          <w:tcPr>
            <w:tcW w:w="32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(8,687)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(45,403)</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520"/>
              <w:spacing w:after="0"/>
              <w:rPr>
                <w:sz w:val="20"/>
                <w:szCs w:val="20"/>
                <w:color w:val="auto"/>
              </w:rPr>
            </w:pPr>
            <w:r>
              <w:rPr>
                <w:rFonts w:ascii="Arial" w:cs="Arial" w:eastAsia="Arial" w:hAnsi="Arial"/>
                <w:sz w:val="20"/>
                <w:szCs w:val="20"/>
                <w:color w:val="auto"/>
              </w:rPr>
              <w:t>Total stockholders’ equity</w:t>
            </w:r>
          </w:p>
        </w:tc>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(70,867)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(118,096)</w:t>
            </w:r>
          </w:p>
        </w:tc>
        <w:tc>
          <w:tcPr>
            <w:tcW w:w="0" w:type="dxa"/>
            <w:vAlign w:val="bottom"/>
          </w:tcPr>
          <w:p>
            <w:pPr>
              <w:spacing w:after="0"/>
              <w:rPr>
                <w:sz w:val="1"/>
                <w:szCs w:val="1"/>
                <w:color w:val="auto"/>
              </w:rPr>
            </w:pPr>
          </w:p>
        </w:tc>
      </w:tr>
      <w:tr>
        <w:trPr>
          <w:trHeight w:val="174"/>
        </w:trPr>
        <w:tc>
          <w:tcPr>
            <w:tcW w:w="6520" w:type="dxa"/>
            <w:vAlign w:val="bottom"/>
            <w:shd w:val="clear" w:color="auto" w:fill="CCEEFF"/>
          </w:tcPr>
          <w:p>
            <w:pPr>
              <w:ind w:left="520"/>
              <w:spacing w:after="0" w:line="174" w:lineRule="exact"/>
              <w:rPr>
                <w:sz w:val="20"/>
                <w:szCs w:val="20"/>
                <w:color w:val="auto"/>
              </w:rPr>
            </w:pPr>
            <w:r>
              <w:rPr>
                <w:rFonts w:ascii="Arial" w:cs="Arial" w:eastAsia="Arial" w:hAnsi="Arial"/>
                <w:sz w:val="20"/>
                <w:szCs w:val="20"/>
                <w:color w:val="auto"/>
              </w:rPr>
              <w:t>Total liabilities, redeemable perpetual preferred stock and</w:t>
            </w:r>
          </w:p>
        </w:tc>
        <w:tc>
          <w:tcPr>
            <w:tcW w:w="320" w:type="dxa"/>
            <w:vAlign w:val="bottom"/>
            <w:vMerge w:val="restart"/>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1,542,158</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520"/>
              <w:spacing w:after="0" w:line="224" w:lineRule="exact"/>
              <w:rPr>
                <w:sz w:val="20"/>
                <w:szCs w:val="20"/>
                <w:color w:val="auto"/>
              </w:rPr>
            </w:pPr>
            <w:r>
              <w:rPr>
                <w:rFonts w:ascii="Arial" w:cs="Arial" w:eastAsia="Arial" w:hAnsi="Arial"/>
                <w:sz w:val="20"/>
                <w:szCs w:val="20"/>
                <w:color w:val="auto"/>
              </w:rPr>
              <w:t>stockholders’ equity</w:t>
            </w: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20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2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300" w:type="dxa"/>
            <w:vAlign w:val="bottom"/>
            <w:gridSpan w:val="5"/>
          </w:tcPr>
          <w:p>
            <w:pPr>
              <w:ind w:left="100"/>
              <w:spacing w:after="0"/>
              <w:rPr>
                <w:sz w:val="20"/>
                <w:szCs w:val="20"/>
                <w:color w:val="auto"/>
              </w:rPr>
            </w:pPr>
            <w:r>
              <w:rPr>
                <w:rFonts w:ascii="Arial" w:cs="Arial" w:eastAsia="Arial" w:hAnsi="Arial"/>
                <w:sz w:val="20"/>
                <w:szCs w:val="20"/>
                <w:b w:val="1"/>
                <w:bCs w:val="1"/>
                <w:color w:val="auto"/>
              </w:rPr>
              <w:t>Three Months Ended June 30,</w:t>
            </w:r>
          </w:p>
        </w:tc>
        <w:tc>
          <w:tcPr>
            <w:tcW w:w="280" w:type="dxa"/>
            <w:vAlign w:val="bottom"/>
          </w:tcPr>
          <w:p>
            <w:pPr>
              <w:spacing w:after="0"/>
              <w:rPr>
                <w:sz w:val="23"/>
                <w:szCs w:val="23"/>
                <w:color w:val="auto"/>
              </w:rPr>
            </w:pPr>
          </w:p>
        </w:tc>
        <w:tc>
          <w:tcPr>
            <w:tcW w:w="3160" w:type="dxa"/>
            <w:vAlign w:val="bottom"/>
            <w:gridSpan w:val="4"/>
          </w:tcPr>
          <w:p>
            <w:pPr>
              <w:jc w:val="right"/>
              <w:ind w:right="341"/>
              <w:spacing w:after="0"/>
              <w:rPr>
                <w:sz w:val="20"/>
                <w:szCs w:val="20"/>
                <w:color w:val="auto"/>
              </w:rPr>
            </w:pPr>
            <w:r>
              <w:rPr>
                <w:rFonts w:ascii="Arial" w:cs="Arial" w:eastAsia="Arial" w:hAnsi="Arial"/>
                <w:sz w:val="20"/>
                <w:szCs w:val="20"/>
                <w:b w:val="1"/>
                <w:bCs w:val="1"/>
                <w:color w:val="auto"/>
              </w:rPr>
              <w:t>Six Months Ended June 30,</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362,243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255,766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664,606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409,169</w:t>
            </w:r>
          </w:p>
        </w:tc>
        <w:tc>
          <w:tcPr>
            <w:tcW w:w="0" w:type="dxa"/>
            <w:vAlign w:val="bottom"/>
          </w:tcPr>
          <w:p>
            <w:pPr>
              <w:spacing w:after="0"/>
              <w:rPr>
                <w:sz w:val="1"/>
                <w:szCs w:val="1"/>
                <w:color w:val="auto"/>
              </w:rPr>
            </w:pPr>
          </w:p>
        </w:tc>
      </w:tr>
      <w:tr>
        <w:trPr>
          <w:trHeight w:val="257"/>
        </w:trPr>
        <w:tc>
          <w:tcPr>
            <w:tcW w:w="424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261,479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166,173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483,775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260,847</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Amortization of developed technology</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7,279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7,279</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560"/>
              <w:spacing w:after="0"/>
              <w:rPr>
                <w:sz w:val="20"/>
                <w:szCs w:val="20"/>
                <w:color w:val="auto"/>
              </w:rPr>
            </w:pPr>
            <w:r>
              <w:rPr>
                <w:rFonts w:ascii="Arial" w:cs="Arial" w:eastAsia="Arial" w:hAnsi="Arial"/>
                <w:sz w:val="20"/>
                <w:szCs w:val="20"/>
                <w:color w:val="auto"/>
              </w:rPr>
              <w:t>Total cost of revenue</w:t>
            </w: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265,119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169,813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491,054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268,126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Gross profit</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97,124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85,953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173,552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141,043</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General and administrative</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44,954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36,971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88,899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74,755</w:t>
            </w:r>
          </w:p>
        </w:tc>
        <w:tc>
          <w:tcPr>
            <w:tcW w:w="0" w:type="dxa"/>
            <w:vAlign w:val="bottom"/>
          </w:tcPr>
          <w:p>
            <w:pPr>
              <w:spacing w:after="0"/>
              <w:rPr>
                <w:sz w:val="1"/>
                <w:szCs w:val="1"/>
                <w:color w:val="auto"/>
              </w:rPr>
            </w:pPr>
          </w:p>
        </w:tc>
      </w:tr>
      <w:tr>
        <w:trPr>
          <w:trHeight w:val="194"/>
        </w:trPr>
        <w:tc>
          <w:tcPr>
            <w:tcW w:w="4240" w:type="dxa"/>
            <w:vAlign w:val="bottom"/>
          </w:tcPr>
          <w:p>
            <w:pPr>
              <w:ind w:left="240"/>
              <w:spacing w:after="0" w:line="194" w:lineRule="exact"/>
              <w:rPr>
                <w:sz w:val="20"/>
                <w:szCs w:val="20"/>
                <w:color w:val="auto"/>
              </w:rPr>
            </w:pPr>
            <w:r>
              <w:rPr>
                <w:rFonts w:ascii="Arial" w:cs="Arial" w:eastAsia="Arial" w:hAnsi="Arial"/>
                <w:sz w:val="20"/>
                <w:szCs w:val="20"/>
                <w:color w:val="auto"/>
              </w:rPr>
              <w:t>Change in fair value of contingent</w:t>
            </w:r>
          </w:p>
        </w:tc>
        <w:tc>
          <w:tcPr>
            <w:tcW w:w="2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503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(232)</w:t>
            </w:r>
          </w:p>
        </w:tc>
        <w:tc>
          <w:tcPr>
            <w:tcW w:w="0" w:type="dxa"/>
            <w:vAlign w:val="bottom"/>
          </w:tcPr>
          <w:p>
            <w:pPr>
              <w:spacing w:after="0"/>
              <w:rPr>
                <w:sz w:val="1"/>
                <w:szCs w:val="1"/>
                <w:color w:val="auto"/>
              </w:rPr>
            </w:pPr>
          </w:p>
        </w:tc>
      </w:tr>
      <w:tr>
        <w:trPr>
          <w:trHeight w:val="251"/>
        </w:trPr>
        <w:tc>
          <w:tcPr>
            <w:tcW w:w="4240" w:type="dxa"/>
            <w:vAlign w:val="bottom"/>
          </w:tcPr>
          <w:p>
            <w:pPr>
              <w:ind w:left="240"/>
              <w:spacing w:after="0"/>
              <w:rPr>
                <w:sz w:val="20"/>
                <w:szCs w:val="20"/>
                <w:color w:val="auto"/>
              </w:rPr>
            </w:pPr>
            <w:r>
              <w:rPr>
                <w:rFonts w:ascii="Arial" w:cs="Arial" w:eastAsia="Arial" w:hAnsi="Arial"/>
                <w:sz w:val="20"/>
                <w:szCs w:val="20"/>
                <w:color w:val="auto"/>
              </w:rPr>
              <w:t>consideration</w:t>
            </w:r>
          </w:p>
        </w:tc>
        <w:tc>
          <w:tcPr>
            <w:tcW w:w="22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Depreciation and amortization</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5,644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8,877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10,993</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18,504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Total operating expenses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50,748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46,351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99,892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93,027</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Pr>
          <w:p>
            <w:pPr>
              <w:ind w:left="20"/>
              <w:spacing w:after="0"/>
              <w:rPr>
                <w:sz w:val="20"/>
                <w:szCs w:val="20"/>
                <w:color w:val="auto"/>
              </w:rPr>
            </w:pPr>
            <w:r>
              <w:rPr>
                <w:rFonts w:ascii="Arial" w:cs="Arial" w:eastAsia="Arial" w:hAnsi="Arial"/>
                <w:sz w:val="20"/>
                <w:szCs w:val="20"/>
                <w:color w:val="auto"/>
              </w:rPr>
              <w:t>Income from operations</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46,376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39,602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73,660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48,016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240"/>
              <w:spacing w:after="0"/>
              <w:rPr>
                <w:sz w:val="20"/>
                <w:szCs w:val="20"/>
                <w:color w:val="auto"/>
              </w:rPr>
            </w:pPr>
            <w:r>
              <w:rPr>
                <w:rFonts w:ascii="Arial" w:cs="Arial" w:eastAsia="Arial" w:hAnsi="Arial"/>
                <w:sz w:val="20"/>
                <w:szCs w:val="20"/>
                <w:color w:val="auto"/>
              </w:rPr>
              <w:t>Interest income</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3,800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4,782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7,119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8,462</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Interest expense</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(16,803)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(17,554)</w:t>
            </w:r>
          </w:p>
        </w:tc>
        <w:tc>
          <w:tcPr>
            <w:tcW w:w="0" w:type="dxa"/>
            <w:vAlign w:val="bottom"/>
          </w:tcPr>
          <w:p>
            <w:pPr>
              <w:spacing w:after="0"/>
              <w:rPr>
                <w:sz w:val="1"/>
                <w:szCs w:val="1"/>
                <w:color w:val="auto"/>
              </w:rPr>
            </w:pPr>
          </w:p>
        </w:tc>
      </w:tr>
      <w:tr>
        <w:trPr>
          <w:trHeight w:val="256"/>
        </w:trPr>
        <w:tc>
          <w:tcPr>
            <w:tcW w:w="4240" w:type="dxa"/>
            <w:vAlign w:val="bottom"/>
          </w:tcPr>
          <w:p>
            <w:pPr>
              <w:ind w:left="240"/>
              <w:spacing w:after="0"/>
              <w:rPr>
                <w:sz w:val="20"/>
                <w:szCs w:val="20"/>
                <w:color w:val="auto"/>
              </w:rPr>
            </w:pPr>
            <w:r>
              <w:rPr>
                <w:rFonts w:ascii="Arial" w:cs="Arial" w:eastAsia="Arial" w:hAnsi="Arial"/>
                <w:sz w:val="20"/>
                <w:szCs w:val="20"/>
                <w:color w:val="auto"/>
              </w:rPr>
              <w:t>Foreign currency gain (loss), net</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1,343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2,032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(967)</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Gain on extinguishment of debts, net</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14,207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14,207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expense, net</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(980)</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580"/>
              <w:spacing w:after="0"/>
              <w:rPr>
                <w:sz w:val="20"/>
                <w:szCs w:val="20"/>
                <w:color w:val="auto"/>
              </w:rPr>
            </w:pPr>
            <w:r>
              <w:rPr>
                <w:rFonts w:ascii="Arial" w:cs="Arial" w:eastAsia="Arial" w:hAnsi="Arial"/>
                <w:sz w:val="20"/>
                <w:szCs w:val="20"/>
                <w:color w:val="auto"/>
              </w:rPr>
              <w:t>Total other income (expense), net</w:t>
            </w: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10,503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(6,094)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6,499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(11,039)</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before income tax expense</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56,879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80,159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36,977</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Income tax expense</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13,617</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20,151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9,114</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43,262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60,008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27,863</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Preferred dividends and accretion</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14,788</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13,749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29,231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27,251</w:t>
            </w: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to common shareholders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28,474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30,777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per common share</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260"/>
              <w:spacing w:after="0"/>
              <w:rPr>
                <w:sz w:val="20"/>
                <w:szCs w:val="20"/>
                <w:color w:val="auto"/>
              </w:rPr>
            </w:pPr>
            <w:r>
              <w:rPr>
                <w:rFonts w:ascii="Arial" w:cs="Arial" w:eastAsia="Arial" w:hAnsi="Arial"/>
                <w:sz w:val="20"/>
                <w:szCs w:val="20"/>
                <w:color w:val="auto"/>
              </w:rPr>
              <w:t>Basic</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0.19</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0.20</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Diluted</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line="182" w:lineRule="exact"/>
              <w:rPr>
                <w:sz w:val="20"/>
                <w:szCs w:val="20"/>
                <w:color w:val="auto"/>
              </w:rPr>
            </w:pPr>
            <w:r>
              <w:rPr>
                <w:rFonts w:ascii="Arial" w:cs="Arial" w:eastAsia="Arial" w:hAnsi="Arial"/>
                <w:sz w:val="20"/>
                <w:szCs w:val="20"/>
                <w:color w:val="auto"/>
              </w:rPr>
              <w:t>Weighted average number of common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4240" w:type="dxa"/>
            <w:vAlign w:val="bottom"/>
          </w:tcPr>
          <w:p>
            <w:pPr>
              <w:ind w:left="20"/>
              <w:spacing w:after="0"/>
              <w:rPr>
                <w:sz w:val="20"/>
                <w:szCs w:val="20"/>
                <w:color w:val="auto"/>
              </w:rPr>
            </w:pPr>
            <w:r>
              <w:rPr>
                <w:rFonts w:ascii="Arial" w:cs="Arial" w:eastAsia="Arial" w:hAnsi="Arial"/>
                <w:sz w:val="20"/>
                <w:szCs w:val="20"/>
                <w:color w:val="auto"/>
              </w:rPr>
              <w:t>outstanding</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Basic</w:t>
            </w:r>
          </w:p>
        </w:tc>
        <w:tc>
          <w:tcPr>
            <w:tcW w:w="2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152,584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151,797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152,331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151,574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240" w:type="dxa"/>
            <w:vAlign w:val="bottom"/>
          </w:tcPr>
          <w:p>
            <w:pPr>
              <w:ind w:left="260"/>
              <w:spacing w:after="0"/>
              <w:rPr>
                <w:sz w:val="20"/>
                <w:szCs w:val="20"/>
                <w:color w:val="auto"/>
              </w:rPr>
            </w:pPr>
            <w:r>
              <w:rPr>
                <w:rFonts w:ascii="Arial" w:cs="Arial" w:eastAsia="Arial" w:hAnsi="Arial"/>
                <w:sz w:val="20"/>
                <w:szCs w:val="20"/>
                <w:color w:val="auto"/>
              </w:rPr>
              <w:t>Diluted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153,068</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152,207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152,958</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152,170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sectPr>
      </w:pPr>
    </w:p>
    <w:bookmarkStart w:id="6" w:name="page7"/>
    <w:bookmarkEnd w:id="6"/>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80" w:type="dxa"/>
            <w:vAlign w:val="bottom"/>
            <w:gridSpan w:val="5"/>
          </w:tcPr>
          <w:p>
            <w:pPr>
              <w:ind w:left="80"/>
              <w:spacing w:after="0"/>
              <w:rPr>
                <w:sz w:val="20"/>
                <w:szCs w:val="20"/>
                <w:color w:val="auto"/>
              </w:rPr>
            </w:pPr>
            <w:r>
              <w:rPr>
                <w:rFonts w:ascii="Arial" w:cs="Arial" w:eastAsia="Arial" w:hAnsi="Arial"/>
                <w:sz w:val="20"/>
                <w:szCs w:val="20"/>
                <w:b w:val="1"/>
                <w:bCs w:val="1"/>
                <w:color w:val="auto"/>
              </w:rPr>
              <w:t>Three Months Ended June 30,</w:t>
            </w:r>
          </w:p>
        </w:tc>
        <w:tc>
          <w:tcPr>
            <w:tcW w:w="280" w:type="dxa"/>
            <w:vAlign w:val="bottom"/>
          </w:tcPr>
          <w:p>
            <w:pPr>
              <w:spacing w:after="0"/>
              <w:rPr>
                <w:sz w:val="23"/>
                <w:szCs w:val="23"/>
                <w:color w:val="auto"/>
              </w:rPr>
            </w:pPr>
          </w:p>
        </w:tc>
        <w:tc>
          <w:tcPr>
            <w:tcW w:w="3160" w:type="dxa"/>
            <w:vAlign w:val="bottom"/>
            <w:gridSpan w:val="4"/>
          </w:tcPr>
          <w:p>
            <w:pPr>
              <w:jc w:val="right"/>
              <w:ind w:right="341"/>
              <w:spacing w:after="0"/>
              <w:rPr>
                <w:sz w:val="20"/>
                <w:szCs w:val="20"/>
                <w:color w:val="auto"/>
              </w:rPr>
            </w:pPr>
            <w:r>
              <w:rPr>
                <w:rFonts w:ascii="Arial" w:cs="Arial" w:eastAsia="Arial" w:hAnsi="Arial"/>
                <w:sz w:val="20"/>
                <w:szCs w:val="20"/>
                <w:b w:val="1"/>
                <w:bCs w:val="1"/>
                <w:color w:val="auto"/>
              </w:rPr>
              <w:t>Six Months Ended June 30,</w:t>
            </w:r>
          </w:p>
        </w:tc>
      </w:tr>
      <w:tr>
        <w:trPr>
          <w:trHeight w:val="250"/>
        </w:trPr>
        <w:tc>
          <w:tcPr>
            <w:tcW w:w="4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50"/>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43,262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center"/>
              <w:ind w:left="421"/>
              <w:spacing w:after="0"/>
              <w:rPr>
                <w:sz w:val="20"/>
                <w:szCs w:val="20"/>
                <w:color w:val="auto"/>
              </w:rPr>
            </w:pPr>
            <w:r>
              <w:rPr>
                <w:rFonts w:ascii="Arial" w:cs="Arial" w:eastAsia="Arial" w:hAnsi="Arial"/>
                <w:sz w:val="20"/>
                <w:szCs w:val="20"/>
                <w:color w:val="auto"/>
              </w:rPr>
              <w:t>25,698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60,008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center"/>
              <w:ind w:left="461"/>
              <w:spacing w:after="0"/>
              <w:rPr>
                <w:sz w:val="20"/>
                <w:szCs w:val="20"/>
                <w:color w:val="auto"/>
              </w:rPr>
            </w:pPr>
            <w:r>
              <w:rPr>
                <w:rFonts w:ascii="Arial" w:cs="Arial" w:eastAsia="Arial" w:hAnsi="Arial"/>
                <w:sz w:val="20"/>
                <w:szCs w:val="20"/>
                <w:color w:val="auto"/>
                <w:w w:val="98"/>
              </w:rPr>
              <w:t>27,863</w:t>
            </w:r>
          </w:p>
        </w:tc>
      </w:tr>
      <w:tr>
        <w:trPr>
          <w:trHeight w:val="257"/>
        </w:trPr>
        <w:tc>
          <w:tcPr>
            <w:tcW w:w="430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Foreign currency translation</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21,439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96"/>
              </w:rPr>
              <w:t>(43,768)</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36,716</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left="441"/>
              <w:spacing w:after="0"/>
              <w:rPr>
                <w:sz w:val="20"/>
                <w:szCs w:val="20"/>
                <w:color w:val="auto"/>
              </w:rPr>
            </w:pPr>
            <w:r>
              <w:rPr>
                <w:rFonts w:ascii="Arial" w:cs="Arial" w:eastAsia="Arial" w:hAnsi="Arial"/>
                <w:sz w:val="20"/>
                <w:szCs w:val="20"/>
                <w:color w:val="auto"/>
                <w:w w:val="99"/>
              </w:rPr>
              <w:t>(63,010)</w:t>
            </w:r>
          </w:p>
        </w:tc>
      </w:tr>
      <w:tr>
        <w:trPr>
          <w:trHeight w:val="27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64,701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center"/>
              <w:ind w:left="401"/>
              <w:spacing w:after="0"/>
              <w:rPr>
                <w:sz w:val="20"/>
                <w:szCs w:val="20"/>
                <w:color w:val="auto"/>
              </w:rPr>
            </w:pPr>
            <w:r>
              <w:rPr>
                <w:rFonts w:ascii="Arial" w:cs="Arial" w:eastAsia="Arial" w:hAnsi="Arial"/>
                <w:sz w:val="20"/>
                <w:szCs w:val="20"/>
                <w:color w:val="auto"/>
                <w:w w:val="96"/>
              </w:rPr>
              <w:t>(18,070)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96,724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center"/>
              <w:ind w:left="441"/>
              <w:spacing w:after="0"/>
              <w:rPr>
                <w:sz w:val="20"/>
                <w:szCs w:val="20"/>
                <w:color w:val="auto"/>
              </w:rPr>
            </w:pPr>
            <w:r>
              <w:rPr>
                <w:rFonts w:ascii="Arial" w:cs="Arial" w:eastAsia="Arial" w:hAnsi="Arial"/>
                <w:sz w:val="20"/>
                <w:szCs w:val="20"/>
                <w:color w:val="auto"/>
                <w:w w:val="99"/>
              </w:rPr>
              <w:t>(35,147)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36" w:lineRule="auto"/>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There are no tax effects on foreign currency adjustments.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7" w:name="page8"/>
    <w:bookmarkEnd w:id="7"/>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June 30, 2025</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Temporary Equity</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$421,374</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152,513</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286,079</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(353,878)</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(30,126)</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(97,774)</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Purchase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2031 Capped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Calls, net of</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w:t>
            </w:r>
          </w:p>
        </w:tc>
        <w:tc>
          <w:tcPr>
            <w:tcW w:w="720" w:type="dxa"/>
            <w:vAlign w:val="bottom"/>
            <w:gridSpan w:val="2"/>
            <w:vMerge w:val="continue"/>
            <w:shd w:val="clear" w:color="auto" w:fill="CCEEFF"/>
          </w:tcPr>
          <w:p>
            <w:pPr>
              <w:spacing w:after="0"/>
              <w:rPr>
                <w:sz w:val="20"/>
                <w:szCs w:val="20"/>
                <w:color w:val="auto"/>
              </w:rPr>
            </w:pPr>
          </w:p>
        </w:tc>
        <w:tc>
          <w:tcPr>
            <w:tcW w:w="960" w:type="dxa"/>
            <w:vAlign w:val="bottom"/>
            <w:tcBorders>
              <w:right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dividends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14,788</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(14,788)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35"/>
        </w:trPr>
        <w:tc>
          <w:tcPr>
            <w:tcW w:w="1180" w:type="dxa"/>
            <w:vAlign w:val="bottom"/>
          </w:tcPr>
          <w:p>
            <w:pPr>
              <w:ind w:left="20"/>
              <w:spacing w:after="0"/>
              <w:rPr>
                <w:sz w:val="20"/>
                <w:szCs w:val="20"/>
                <w:color w:val="auto"/>
              </w:rPr>
            </w:pPr>
            <w:r>
              <w:rPr>
                <w:rFonts w:ascii="Arial" w:cs="Arial" w:eastAsia="Arial" w:hAnsi="Arial"/>
                <w:sz w:val="18"/>
                <w:szCs w:val="18"/>
                <w:color w:val="auto"/>
              </w:rPr>
              <w:t>plus accretion</w:t>
            </w: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43,262</w:t>
            </w: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21,439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June 30,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436,162</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152,661</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248,285</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(310,616)</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(70,867)</w:t>
            </w:r>
          </w:p>
        </w:tc>
        <w:tc>
          <w:tcPr>
            <w:tcW w:w="0" w:type="dxa"/>
            <w:vAlign w:val="bottom"/>
          </w:tcPr>
          <w:p>
            <w:pPr>
              <w:spacing w:after="0"/>
              <w:rPr>
                <w:sz w:val="1"/>
                <w:szCs w:val="1"/>
                <w:color w:val="auto"/>
              </w:rPr>
            </w:pPr>
          </w:p>
        </w:tc>
      </w:tr>
      <w:tr>
        <w:trPr>
          <w:trHeight w:val="236"/>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8" w:name="page9"/>
    <w:bookmarkEnd w:id="8"/>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tbl>
      <w:tblPr>
        <w:tblLayout w:type="fixed"/>
        <w:tblInd w:w="0" w:type="dxa"/>
        <w:tblCellMar>
          <w:top w:w="0" w:type="dxa"/>
          <w:left w:w="0" w:type="dxa"/>
          <w:bottom w:w="0" w:type="dxa"/>
          <w:right w:w="0" w:type="dxa"/>
        </w:tblCellMar>
      </w:tblPr>
      <w:tr>
        <w:trPr>
          <w:trHeight w:val="261"/>
        </w:trPr>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6"/>
          </w:tcPr>
          <w:p>
            <w:pPr>
              <w:jc w:val="right"/>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370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Three Months Ended June 30, 2024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Loss</w:t>
            </w: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$364,762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151,727</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333,570</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(128,065)</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25,568</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231,224</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dividends</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35"/>
        </w:trPr>
        <w:tc>
          <w:tcPr>
            <w:tcW w:w="1180" w:type="dxa"/>
            <w:vAlign w:val="bottom"/>
          </w:tcPr>
          <w:p>
            <w:pPr>
              <w:ind w:left="20"/>
              <w:spacing w:after="0"/>
              <w:rPr>
                <w:sz w:val="20"/>
                <w:szCs w:val="20"/>
                <w:color w:val="auto"/>
              </w:rPr>
            </w:pPr>
            <w:r>
              <w:rPr>
                <w:rFonts w:ascii="Arial" w:cs="Arial" w:eastAsia="Arial" w:hAnsi="Arial"/>
                <w:sz w:val="18"/>
                <w:szCs w:val="18"/>
                <w:color w:val="auto"/>
              </w:rPr>
              <w:t>plus accretion</w:t>
            </w: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25,698</w:t>
            </w: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currency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(43,768)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(43,768)</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June 30,</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378,512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151,875</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320,379</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(102,367)</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199,963</w:t>
            </w:r>
          </w:p>
        </w:tc>
        <w:tc>
          <w:tcPr>
            <w:tcW w:w="0" w:type="dxa"/>
            <w:vAlign w:val="bottom"/>
          </w:tcPr>
          <w:p>
            <w:pPr>
              <w:spacing w:after="0"/>
              <w:rPr>
                <w:sz w:val="1"/>
                <w:szCs w:val="1"/>
                <w:color w:val="auto"/>
              </w:rPr>
            </w:pPr>
          </w:p>
        </w:tc>
      </w:tr>
      <w:tr>
        <w:trPr>
          <w:trHeight w:val="236"/>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9" w:name="page10"/>
    <w:bookmarkEnd w:id="9"/>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gridSpan w:val="6"/>
          </w:tcPr>
          <w:p>
            <w:pPr>
              <w:ind w:left="460"/>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3700" w:type="dxa"/>
            <w:vAlign w:val="bottom"/>
            <w:gridSpan w:val="10"/>
          </w:tcPr>
          <w:p>
            <w:pPr>
              <w:spacing w:after="0"/>
              <w:rPr>
                <w:sz w:val="20"/>
                <w:szCs w:val="20"/>
                <w:color w:val="auto"/>
              </w:rPr>
            </w:pPr>
            <w:r>
              <w:rPr>
                <w:rFonts w:ascii="Arial" w:cs="Arial" w:eastAsia="Arial" w:hAnsi="Arial"/>
                <w:sz w:val="20"/>
                <w:szCs w:val="20"/>
                <w:b w:val="1"/>
                <w:bCs w:val="1"/>
                <w:i w:val="1"/>
                <w:iCs w:val="1"/>
                <w:color w:val="auto"/>
              </w:rPr>
              <w:t>Six Months Ended June 30, 2025</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gridSpan w:val="4"/>
          </w:tcPr>
          <w:p>
            <w:pPr>
              <w:jc w:val="center"/>
              <w:ind w:right="8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$406,931</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151,952</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297,780</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(370,624)</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(45,403)</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31, 2024</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2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Purchase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2031 Capped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Calls, net of</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w:t>
            </w:r>
          </w:p>
        </w:tc>
        <w:tc>
          <w:tcPr>
            <w:tcW w:w="72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dividends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29,231</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(29,231)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(29,231)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plus accretion</w:t>
            </w: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36,716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36,716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June 30,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436,162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152,661</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248,285</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(310,616)</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0" w:name="page11"/>
    <w:bookmarkEnd w:id="10"/>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tbl>
      <w:tblPr>
        <w:tblLayout w:type="fixed"/>
        <w:tblInd w:w="0" w:type="dxa"/>
        <w:tblCellMar>
          <w:top w:w="0" w:type="dxa"/>
          <w:left w:w="0" w:type="dxa"/>
          <w:bottom w:w="0" w:type="dxa"/>
          <w:right w:w="0" w:type="dxa"/>
        </w:tblCellMar>
      </w:tblPr>
      <w:tr>
        <w:trPr>
          <w:trHeight w:val="261"/>
        </w:trPr>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6"/>
          </w:tcPr>
          <w:p>
            <w:pPr>
              <w:jc w:val="right"/>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370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Six Months Ended June 30, 2024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Loss</w:t>
            </w: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$351,260</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151,242</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259,248</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31, 2023</w:t>
            </w: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(1,722)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dividends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0" w:type="dxa"/>
            <w:vAlign w:val="bottom"/>
          </w:tcPr>
          <w:p>
            <w:pPr>
              <w:spacing w:after="0"/>
              <w:rPr>
                <w:sz w:val="1"/>
                <w:szCs w:val="1"/>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accretion</w:t>
            </w: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27,863</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(63,010)</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June 30,</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378,512</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151,875</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320,379</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(102,367)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(18,200)</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199,963</w:t>
            </w:r>
          </w:p>
        </w:tc>
        <w:tc>
          <w:tcPr>
            <w:tcW w:w="0" w:type="dxa"/>
            <w:vAlign w:val="bottom"/>
          </w:tcPr>
          <w:p>
            <w:pPr>
              <w:spacing w:after="0"/>
              <w:rPr>
                <w:sz w:val="1"/>
                <w:szCs w:val="1"/>
                <w:color w:val="auto"/>
              </w:rPr>
            </w:pPr>
          </w:p>
        </w:tc>
      </w:tr>
      <w:tr>
        <w:trPr>
          <w:trHeight w:val="256"/>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1" w:name="page12"/>
    <w:bookmarkEnd w:id="11"/>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38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20"/>
                <w:szCs w:val="20"/>
                <w:b w:val="1"/>
                <w:bCs w:val="1"/>
                <w:color w:val="auto"/>
              </w:rPr>
              <w:t>Six Months Ended June 30,</w:t>
            </w:r>
          </w:p>
        </w:tc>
        <w:tc>
          <w:tcPr>
            <w:tcW w:w="840" w:type="dxa"/>
            <w:vAlign w:val="bottom"/>
            <w:tcBorders>
              <w:bottom w:val="single" w:sz="8" w:color="auto"/>
            </w:tcBorders>
          </w:tcPr>
          <w:p>
            <w:pPr>
              <w:spacing w:after="0"/>
              <w:rPr>
                <w:sz w:val="23"/>
                <w:szCs w:val="23"/>
                <w:color w:val="auto"/>
              </w:rPr>
            </w:pPr>
          </w:p>
        </w:tc>
      </w:tr>
      <w:tr>
        <w:trPr>
          <w:trHeight w:val="250"/>
        </w:trPr>
        <w:tc>
          <w:tcPr>
            <w:tcW w:w="65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840" w:type="dxa"/>
            <w:vAlign w:val="bottom"/>
            <w:tcBorders>
              <w:bottom w:val="single" w:sz="8" w:color="auto"/>
            </w:tcBorders>
          </w:tcPr>
          <w:p>
            <w:pPr>
              <w:spacing w:after="0"/>
              <w:rPr>
                <w:sz w:val="21"/>
                <w:szCs w:val="21"/>
                <w:color w:val="auto"/>
              </w:rPr>
            </w:pPr>
          </w:p>
        </w:tc>
      </w:tr>
      <w:tr>
        <w:trPr>
          <w:trHeight w:val="264"/>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activities</w:t>
            </w:r>
          </w:p>
        </w:tc>
        <w:tc>
          <w:tcPr>
            <w:tcW w:w="1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6"/>
        </w:trPr>
        <w:tc>
          <w:tcPr>
            <w:tcW w:w="650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146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60,008</w:t>
            </w:r>
          </w:p>
        </w:tc>
        <w:tc>
          <w:tcPr>
            <w:tcW w:w="80" w:type="dxa"/>
            <w:vAlign w:val="bottom"/>
          </w:tcPr>
          <w:p>
            <w:pPr>
              <w:spacing w:after="0"/>
              <w:rPr>
                <w:sz w:val="22"/>
                <w:szCs w:val="22"/>
                <w:color w:val="auto"/>
              </w:rPr>
            </w:pPr>
          </w:p>
        </w:tc>
        <w:tc>
          <w:tcPr>
            <w:tcW w:w="1460" w:type="dxa"/>
            <w:vAlign w:val="bottom"/>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27,863</w:t>
            </w:r>
          </w:p>
        </w:tc>
      </w:tr>
      <w:tr>
        <w:trPr>
          <w:trHeight w:val="194"/>
        </w:trPr>
        <w:tc>
          <w:tcPr>
            <w:tcW w:w="65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Adjustments to reconcile net income to cash provided by operating</w:t>
            </w:r>
          </w:p>
        </w:tc>
        <w:tc>
          <w:tcPr>
            <w:tcW w:w="1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51"/>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activities:</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Provision for bad debts</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1,910</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1,696</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benefit</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(246)</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(3,501)</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12,188</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19,456</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developed technology</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7,279</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7,279</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3,457</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3,101</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Gain on extinguishment of debts, net</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(14,207)</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6500" w:type="dxa"/>
            <w:vAlign w:val="bottom"/>
          </w:tcPr>
          <w:p>
            <w:pPr>
              <w:ind w:left="460"/>
              <w:spacing w:after="0"/>
              <w:rPr>
                <w:sz w:val="20"/>
                <w:szCs w:val="20"/>
                <w:color w:val="auto"/>
              </w:rPr>
            </w:pPr>
            <w:r>
              <w:rPr>
                <w:rFonts w:ascii="Arial" w:cs="Arial" w:eastAsia="Arial" w:hAnsi="Arial"/>
                <w:sz w:val="20"/>
                <w:szCs w:val="20"/>
                <w:color w:val="auto"/>
              </w:rPr>
              <w:t>Equity-based compensation</w:t>
            </w:r>
          </w:p>
        </w:tc>
        <w:tc>
          <w:tcPr>
            <w:tcW w:w="1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6,696</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4,836</w:t>
            </w:r>
          </w:p>
        </w:tc>
      </w:tr>
      <w:tr>
        <w:trPr>
          <w:trHeight w:val="256"/>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Change in fair value of contingent consideration</w:t>
            </w:r>
          </w:p>
        </w:tc>
        <w:tc>
          <w:tcPr>
            <w:tcW w:w="14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Warranty provision</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5,336</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Inventory reserve</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2,682</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1,227</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Loss on disposal of fixed assets</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Changes in working capital, net</w:t>
            </w:r>
          </w:p>
        </w:tc>
        <w:tc>
          <w:tcPr>
            <w:tcW w:w="1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(54,331)</w:t>
            </w:r>
          </w:p>
        </w:tc>
        <w:tc>
          <w:tcPr>
            <w:tcW w:w="80" w:type="dxa"/>
            <w:vAlign w:val="bottom"/>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(10,205)</w:t>
            </w:r>
          </w:p>
        </w:tc>
      </w:tr>
      <w:tr>
        <w:trPr>
          <w:trHeight w:val="262"/>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20"/>
                <w:szCs w:val="20"/>
                <w:color w:val="auto"/>
              </w:rPr>
              <w:t>Net cash provided by operating activities</w:t>
            </w:r>
          </w:p>
        </w:tc>
        <w:tc>
          <w:tcPr>
            <w:tcW w:w="1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30,782</w:t>
            </w: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51,459</w:t>
            </w:r>
          </w:p>
        </w:tc>
      </w:tr>
      <w:tr>
        <w:trPr>
          <w:trHeight w:val="265"/>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Investing activities</w:t>
            </w:r>
          </w:p>
        </w:tc>
        <w:tc>
          <w:tcPr>
            <w:tcW w:w="1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(8,983)</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(4,527)</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Retirement/disposal of property, plant and equipment</w:t>
            </w:r>
          </w:p>
        </w:tc>
        <w:tc>
          <w:tcPr>
            <w:tcW w:w="14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w:t>
            </w:r>
          </w:p>
        </w:tc>
      </w:tr>
      <w:tr>
        <w:trPr>
          <w:trHeight w:val="262"/>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20"/>
                <w:szCs w:val="20"/>
                <w:color w:val="auto"/>
              </w:rPr>
              <w:t>Net cash used in investing activities</w:t>
            </w:r>
          </w:p>
        </w:tc>
        <w:tc>
          <w:tcPr>
            <w:tcW w:w="14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(8,983)</w:t>
            </w:r>
          </w:p>
        </w:tc>
        <w:tc>
          <w:tcPr>
            <w:tcW w:w="8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(4,488)</w:t>
            </w:r>
          </w:p>
        </w:tc>
      </w:tr>
      <w:tr>
        <w:trPr>
          <w:trHeight w:val="265"/>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Financing activities</w:t>
            </w:r>
          </w:p>
        </w:tc>
        <w:tc>
          <w:tcPr>
            <w:tcW w:w="1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bl>
    <w:p>
      <w:pPr>
        <w:spacing w:after="0" w:line="5" w:lineRule="exact"/>
        <w:rPr>
          <w:sz w:val="20"/>
          <w:szCs w:val="20"/>
          <w:color w:val="auto"/>
        </w:rPr>
      </w:pPr>
    </w:p>
    <w:p>
      <w:pPr>
        <w:sectPr>
          <w:pgSz w:w="11900" w:h="16838" w:orient="portrait"/>
          <w:cols w:equalWidth="0" w:num="1">
            <w:col w:w="11200"/>
          </w:cols>
          <w:pgMar w:left="340" w:top="602" w:right="359" w:bottom="1440" w:gutter="0" w:footer="0" w:header="0"/>
        </w:sectPr>
      </w:pPr>
    </w:p>
    <w:p>
      <w:pPr>
        <w:ind w:left="240"/>
        <w:spacing w:after="0"/>
        <w:rPr>
          <w:sz w:val="20"/>
          <w:szCs w:val="20"/>
          <w:color w:val="auto"/>
        </w:rPr>
      </w:pPr>
      <w:r>
        <w:rPr>
          <w:rFonts w:ascii="Arial" w:cs="Arial" w:eastAsia="Arial" w:hAnsi="Arial"/>
          <w:sz w:val="20"/>
          <w:szCs w:val="20"/>
          <w:color w:val="auto"/>
        </w:rPr>
        <w:t>Proceeds from issuance of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Proceeds from issuance of convertible notes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Premium paid on capped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Fees paid on issuance of convertible notes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Repayments of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Repayments of term loan facility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Repayments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Contingent consideration payments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Other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used in financing activities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change in cash and cash equivalents and restricted cash</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and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6500" w:val="left"/>
        </w:tabs>
        <w:rPr>
          <w:sz w:val="20"/>
          <w:szCs w:val="20"/>
          <w:color w:val="auto"/>
        </w:rPr>
      </w:pPr>
      <w:r>
        <w:rPr>
          <w:rFonts w:ascii="Arial" w:cs="Arial" w:eastAsia="Arial" w:hAnsi="Arial"/>
          <w:sz w:val="20"/>
          <w:szCs w:val="20"/>
          <w:color w:val="auto"/>
        </w:rPr>
        <w:t>Cash and cash equivalents and restricted cash, end of period</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57,064</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12,684</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345,000</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(35,087)</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(10,434)</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(54,754)</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(12,671)</w:t>
            </w:r>
          </w:p>
        </w:tc>
      </w:tr>
      <w:tr>
        <w:trPr>
          <w:trHeight w:val="284"/>
        </w:trPr>
        <w:tc>
          <w:tcPr>
            <w:tcW w:w="960" w:type="dxa"/>
            <w:vAlign w:val="bottom"/>
          </w:tcPr>
          <w:p>
            <w:pPr>
              <w:jc w:val="right"/>
              <w:ind w:right="1"/>
              <w:spacing w:after="0"/>
              <w:rPr>
                <w:sz w:val="20"/>
                <w:szCs w:val="20"/>
                <w:color w:val="auto"/>
              </w:rPr>
            </w:pPr>
            <w:r>
              <w:rPr>
                <w:rFonts w:ascii="Arial" w:cs="Arial" w:eastAsia="Arial" w:hAnsi="Arial"/>
                <w:sz w:val="20"/>
                <w:szCs w:val="20"/>
                <w:color w:val="auto"/>
                <w:w w:val="98"/>
              </w:rPr>
              <w:t>(233,875)</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(2,150)</w:t>
            </w:r>
          </w:p>
        </w:tc>
      </w:tr>
      <w:tr>
        <w:trPr>
          <w:trHeight w:val="283"/>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(78,363)</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(1,204)</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(1,427)</w:t>
            </w:r>
          </w:p>
        </w:tc>
      </w:tr>
      <w:tr>
        <w:trPr>
          <w:trHeight w:val="284"/>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(1,123)</w:t>
            </w: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(580)</w:t>
            </w:r>
          </w:p>
        </w:tc>
      </w:tr>
      <w:tr>
        <w:trPr>
          <w:trHeight w:val="263"/>
        </w:trPr>
        <w:tc>
          <w:tcPr>
            <w:tcW w:w="960" w:type="dxa"/>
            <w:vAlign w:val="bottom"/>
          </w:tcPr>
          <w:p>
            <w:pPr>
              <w:jc w:val="right"/>
              <w:ind w:right="1"/>
              <w:spacing w:after="0"/>
              <w:rPr>
                <w:sz w:val="20"/>
                <w:szCs w:val="20"/>
                <w:color w:val="auto"/>
              </w:rPr>
            </w:pPr>
            <w:r>
              <w:rPr>
                <w:rFonts w:ascii="Arial" w:cs="Arial" w:eastAsia="Arial" w:hAnsi="Arial"/>
                <w:sz w:val="20"/>
                <w:szCs w:val="20"/>
                <w:color w:val="auto"/>
              </w:rPr>
              <w:t>(12,776)</w:t>
            </w:r>
          </w:p>
        </w:tc>
        <w:tc>
          <w:tcPr>
            <w:tcW w:w="8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(4,144)</w:t>
            </w:r>
          </w:p>
        </w:tc>
      </w:tr>
      <w:tr>
        <w:trPr>
          <w:trHeight w:val="26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5,606</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(9,587)</w:t>
            </w:r>
          </w:p>
        </w:tc>
      </w:tr>
      <w:tr>
        <w:trPr>
          <w:trHeight w:val="284"/>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14,629</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33,240</w:t>
            </w:r>
          </w:p>
        </w:tc>
      </w:tr>
      <w:tr>
        <w:trPr>
          <w:trHeight w:val="283"/>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364,141</w:t>
            </w: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249,080</w:t>
            </w:r>
          </w:p>
        </w:tc>
      </w:tr>
      <w:tr>
        <w:trPr>
          <w:trHeight w:val="254"/>
        </w:trPr>
        <w:tc>
          <w:tcPr>
            <w:tcW w:w="960" w:type="dxa"/>
            <w:vAlign w:val="bottom"/>
          </w:tcPr>
          <w:p>
            <w:pPr>
              <w:jc w:val="right"/>
              <w:ind w:right="61"/>
              <w:spacing w:after="0"/>
              <w:rPr>
                <w:sz w:val="20"/>
                <w:szCs w:val="20"/>
                <w:color w:val="auto"/>
              </w:rPr>
            </w:pPr>
            <w:r>
              <w:rPr>
                <w:rFonts w:ascii="Arial" w:cs="Arial" w:eastAsia="Arial" w:hAnsi="Arial"/>
                <w:sz w:val="20"/>
                <w:szCs w:val="20"/>
                <w:color w:val="auto"/>
              </w:rPr>
              <w:t>378,770</w:t>
            </w:r>
          </w:p>
        </w:tc>
        <w:tc>
          <w:tcPr>
            <w:tcW w:w="8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282,320</w:t>
            </w:r>
          </w:p>
        </w:tc>
      </w:tr>
      <w:tr>
        <w:trPr>
          <w:trHeight w:val="20"/>
        </w:trPr>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-8255</wp:posOffset>
            </wp:positionV>
            <wp:extent cx="1465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-744855</wp:posOffset>
            </wp:positionV>
            <wp:extent cx="1465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720"/>
            <w:col w:w="3260"/>
          </w:cols>
          <w:pgMar w:left="340" w:top="602" w:right="35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accompanying Notes to Condensed Consolidated Financial Statements.</w:t>
      </w:r>
    </w:p>
    <w:p>
      <w:pPr>
        <w:sectPr>
          <w:pgSz w:w="11900" w:h="16838" w:orient="portrait"/>
          <w:cols w:equalWidth="0" w:num="1">
            <w:col w:w="11200"/>
          </w:cols>
          <w:pgMar w:left="340" w:top="6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Array Technologies, Inc. (the “Company”) is a leading global provider of solar tracking technology products, software, and services for utility-scale solar energy projects and distributed generation customers, who construct, develop and operate solar PV sites, and is headquartered in Albuquerque, New Mexico.</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January 11, 2022,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w:t>
      </w:r>
    </w:p>
    <w:p>
      <w:pPr>
        <w:spacing w:after="0" w:line="192"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Upon completion of the STI Acquisition, the Company began operating as two reportable operating segments: the Array legacy operating segment (“Array Legacy Operations”) and the acquired operating segment (“STI Operations”) pertaining to STI.</w:t>
      </w:r>
    </w:p>
    <w:p>
      <w:pPr>
        <w:spacing w:after="0" w:line="166"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accompanying unaudited condensed consolidated financial statements in this Quarterly Report have been prepared on the accrual basis of accounting in accordance with accounting principles generally accepted in the United States of America (“U.S. GAAP”) for interim financial information and pursuant to the instructions to Form 10-Q and Article 10 of Regulation S-X of the Securities and Exchange Commission (the “SEC”). Accordingly, these interim financial statements do not include all of the information and footnotes required by U.S. GAAP for annual financial statements. In the opinion of Array’s management, all adjustments (consisting only of normal recurring adjustments) considered necessary for a fair statement of results for the interim periods reported have been included. These unaudited condensed consolidated financial statements should be read in conjunction with the Company’s audited consolidated financial statements included in our Annual Report on Form 10-K for the year ended December 31, 2024, filed with the SEC on March 3, 2025.</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condensed consolidated financial statements include the accounts of Array Technologies, Inc. and its subsidiaries. All intercompany accounts and transactions have been eliminated upon consolidation.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 Although management believes its estimates are reasonable,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Vendor Rebates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August 16, 2022, the Inflation Reduction Act of 2022 (“IRA”) was enacted into law, which includes numerous green energy credits. The 45X advanced manufacturing production tax credit (“45X Credit”) was established as part of the IRA. The section 45X Credit is a per-unit tax credit that is earned over time for each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line="312"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clean energy component domestically produced and sold by a manufacturer. The Company has, and will continue to enter into, arrangements with manufacturing vendors that produce section 45X Credit eligible parts, in which the vendors agree to share a portion of the benefit received related to Array purchases, in the form of “Vendor Rebates.”</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accounts for these Vendor Rebates as a reduction of the purchase prices of the vendors’ products and therefore a reduction in the cost of inventory until the inventory is sold, at which time the Company recognizes such rebates as a reduction of cost of product and service revenue on the condensed consolidated statements of operations. For vendor rebates related to past purchases that are owed to the Company upon execution of the agreement, the Company defers recognition of this portion of the rebate and recognizes the amounts as a reduction to cost of product and service revenue as future purchases occur.</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 xml:space="preserve">As of June 30, 2025, the Company had an outstanding Vendor Rebate receivable of $69.9 million and $ 55.7 million included in Prepaid expenses and other and Other assets, respectively. As of December 31, 2024 the Company had an outstanding Vendor Rebate receivable of $115.5 million and </w:t>
      </w:r>
      <w:r>
        <w:rPr>
          <w:rFonts w:ascii="Arial" w:cs="Arial" w:eastAsia="Arial" w:hAnsi="Arial"/>
          <w:sz w:val="21"/>
          <w:szCs w:val="21"/>
          <w:color w:val="auto"/>
        </w:rPr>
        <w:t>zero</w:t>
      </w:r>
      <w:r>
        <w:rPr>
          <w:rFonts w:ascii="Arial" w:cs="Arial" w:eastAsia="Arial" w:hAnsi="Arial"/>
          <w:sz w:val="20"/>
          <w:szCs w:val="20"/>
          <w:color w:val="auto"/>
        </w:rPr>
        <w:t>, included in Prepaid expenses and other and Other assets,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45X Credits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Company accounts for the 45X Advanced Manufacturing Production Credit established by the IRA, under IAS 20 - Accounting for Government Grants and Disclosure of Government Assistance (“IAS 20”), as a reduction to production costs. The tax credit is recorded as a reduction to the Income tax payable on the condensed consolidated balance sheets dated June 30, 2025 and December 31, 2024. On July 4, 2025, President Trump signed into law the One Big Beautiful Bill Act (“OBBB”). The OBBB extended key provisions of the 2017 Tax Cuts and Jobs Act including, but not limited to, federal bonus depreciation and deductions for domestic research and development expenditures. The Company is currently evaluating the income tax impact of OBBB on the Company’s future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Indefinite-Lived Intangible Assets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The Company does not amortize goodwill but instead tests goodwill for impairment annually, or more frequently if events or changes in circumstances indicate that it is more likely than not that the asset is impaired. Such triggering events potentially warranting an annual or interim goodwill impairment assessment include, among other factors, declines in historical or projected revenue, operating income or cash flows, and sustained decreases in the Company’s stock price or market capitalization.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Goodwill is assessed for impairment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1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value of the reporting unit is less than the carrying amount of the reporting unit, and an impairment charge is recognized for the differential.</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When determining the fair value of a reporting unit using the quantitative approach, we determine the fair value of the reporting unit using an income approach based on discounted cash flows. The fair value determined under the income approach is then compared to guideline publicly-traded companies (“GPC”) market place EBITDA multiples to corroborate the fair value of the reporting unit determined under the income approach.</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has not identified any indicators of impairment that would require the Company to test its goodwill for impairment as of June 30,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Investment</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November 6, 2024, Array invested $3.0 million through a Simple Agreement for Future Equity (“SAFE”) with a technology company. On June 2, 2025, the SAFE investment converted into 182,669 preferred shares of the company at the predetermined price. Array will invest up to $2.0 million in future SAFEs contingent upon the achievement of defined milestones by the technology company.</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initial investment of $3.0 million was recorded as an equity investment at cost and is included within Other assets on the condensed consolidated balance sheet. The investment will be carried at cost and remeasured to fair value if impaired or if there are observable transaction prices. The conversion did not result in the recognition of a gain or loss.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In testing long-lived assets and goodwill for impairment, the Company first tests its long-lived assets for impairment, and then tests the goodwill of a reporting unit that includes the long-lived assets covered under the long-lived asset test for impairment. If an asset group includes only a portion of a reporting unit, the carrying amount of goodwill is not included in the asset group. The carrying values are adjusted, if necessary, for the result of each impairment test prior to performing the next test.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 An impairment loss is recognized based on the difference between the carrying value of the asset group and its estimated fair value. The loss is allocated to the long-lived assets.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has not identified indicators of impairment that would require the Company to test its long-lived assets for impairment as of June 30, 2025.</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incurs research and development costs while researching and developing new products and significant enhancements to existing products. Research and development costs consist primarily of personnel-related costs associated with our internal engineers, third-party consultants, materials and overhead. The Company expenses these costs as incurred prior to a respective product being ready for commercial production. Research and development expense was $2.5 million and $1.8 million during the three months ended June 30, 2025 and 2024, respectively, and $4.9 million and $3.7 million during the six months ended June 30, 2025 and 2024,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December 2023, the Financial Accounting Standards Board (the “FASB”) issued ASU 2023-09, Income Taxes (Topic 740): Improvements to Income Tax Disclosures, which requires disclosure of disaggregated income taxes paid, prescribes standard categories for the components of the effective tax rate reconciliation, and modifies other income tax-related disclosures. The standard will become effective for the Company’s fiscal year ending December 31, 2025, with early adoption permitted. The Company will adopt this reporting standard with its annual report on Form 10-K for 2025 and expects no material impacts upon adoption.</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November 2024, the FASB issued ASU 2024-03, Income Statement - Reporting Comprehensive Income - Expense Disaggregation Disclosures (Subtopic 220-40), which requires public entities to disclose additional information about specific expense categories in the notes to the financial statements on an interim and annual basis. ASU 2024-03 is effective for fiscal years beginning after December 31, 2026, and for interim periods beginning after December 31, 2027, with early adoption permitted. The Company is currently evaluating the impact of adopting ASU 2024-03.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400" w:type="dxa"/>
            <w:vAlign w:val="bottom"/>
          </w:tcPr>
          <w:p>
            <w:pPr>
              <w:spacing w:after="0"/>
              <w:rPr>
                <w:sz w:val="20"/>
                <w:szCs w:val="20"/>
                <w:color w:val="auto"/>
              </w:rPr>
            </w:pPr>
            <w:r>
              <w:rPr>
                <w:rFonts w:ascii="Arial" w:cs="Arial" w:eastAsia="Arial" w:hAnsi="Arial"/>
                <w:sz w:val="20"/>
                <w:szCs w:val="20"/>
                <w:b w:val="1"/>
                <w:bCs w:val="1"/>
                <w:color w:val="auto"/>
              </w:rPr>
              <w:t>3.  Condensed Consolidated Balance Sheet Details</w:t>
            </w:r>
          </w:p>
        </w:tc>
        <w:tc>
          <w:tcPr>
            <w:tcW w:w="3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476"/>
        </w:trPr>
        <w:tc>
          <w:tcPr>
            <w:tcW w:w="6400" w:type="dxa"/>
            <w:vAlign w:val="bottom"/>
          </w:tcPr>
          <w:p>
            <w:pPr>
              <w:spacing w:after="0"/>
              <w:rPr>
                <w:sz w:val="20"/>
                <w:szCs w:val="20"/>
                <w:color w:val="auto"/>
              </w:rPr>
            </w:pPr>
            <w:r>
              <w:rPr>
                <w:rFonts w:ascii="Arial" w:cs="Arial" w:eastAsia="Arial" w:hAnsi="Arial"/>
                <w:sz w:val="20"/>
                <w:szCs w:val="20"/>
                <w:i w:val="1"/>
                <w:iCs w:val="1"/>
                <w:color w:val="auto"/>
              </w:rPr>
              <w:t>Inventories, net</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64"/>
        </w:trPr>
        <w:tc>
          <w:tcPr>
            <w:tcW w:w="6400" w:type="dxa"/>
            <w:vAlign w:val="bottom"/>
          </w:tcPr>
          <w:p>
            <w:pPr>
              <w:spacing w:after="0"/>
              <w:rPr>
                <w:sz w:val="20"/>
                <w:szCs w:val="20"/>
                <w:color w:val="auto"/>
              </w:rPr>
            </w:pPr>
            <w:r>
              <w:rPr>
                <w:rFonts w:ascii="Arial" w:cs="Arial" w:eastAsia="Arial" w:hAnsi="Arial"/>
                <w:sz w:val="20"/>
                <w:szCs w:val="20"/>
                <w:color w:val="auto"/>
              </w:rPr>
              <w:t>Inventories, net consisted of the following (in thousands):</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2"/>
          </w:tcPr>
          <w:p>
            <w:pPr>
              <w:ind w:left="180"/>
              <w:spacing w:after="0"/>
              <w:rPr>
                <w:sz w:val="20"/>
                <w:szCs w:val="20"/>
                <w:color w:val="auto"/>
              </w:rPr>
            </w:pPr>
            <w:r>
              <w:rPr>
                <w:rFonts w:ascii="Arial" w:cs="Arial" w:eastAsia="Arial" w:hAnsi="Arial"/>
                <w:sz w:val="20"/>
                <w:szCs w:val="20"/>
                <w:b w:val="1"/>
                <w:bCs w:val="1"/>
                <w:color w:val="auto"/>
              </w:rPr>
              <w:t>June 30, 2025</w:t>
            </w:r>
          </w:p>
        </w:tc>
        <w:tc>
          <w:tcPr>
            <w:tcW w:w="26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2024</w:t>
            </w:r>
          </w:p>
        </w:tc>
      </w:tr>
      <w:tr>
        <w:trPr>
          <w:trHeight w:val="28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3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57,594</w:t>
            </w: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60,588</w:t>
            </w:r>
          </w:p>
        </w:tc>
      </w:tr>
      <w:tr>
        <w:trPr>
          <w:trHeight w:val="27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Finished goods</w:t>
            </w: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120,372</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140,230</w:t>
            </w:r>
          </w:p>
        </w:tc>
      </w:tr>
      <w:tr>
        <w:trPr>
          <w:trHeight w:val="302"/>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Total Inventories, net</w:t>
            </w:r>
          </w:p>
        </w:tc>
        <w:tc>
          <w:tcPr>
            <w:tcW w:w="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177,966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200,818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values inventory using the moving average cost method that approximates the first-in, first-out method (“FIFO”). As of June 30, 2025, inventory valued using moving average cost and FIFO was $139.6 million and $38.3 million, respectively. As of December 31, 2024, inventory valued using moving average cost and FIFO, was $154.4 million and $46.4 million,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540" w:type="dxa"/>
            <w:vAlign w:val="bottom"/>
          </w:tcPr>
          <w:p>
            <w:pPr>
              <w:spacing w:after="0"/>
              <w:rPr>
                <w:sz w:val="20"/>
                <w:szCs w:val="20"/>
                <w:color w:val="auto"/>
              </w:rPr>
            </w:pPr>
            <w:r>
              <w:rPr>
                <w:rFonts w:ascii="Arial" w:cs="Arial" w:eastAsia="Arial" w:hAnsi="Arial"/>
                <w:sz w:val="20"/>
                <w:szCs w:val="20"/>
                <w:i w:val="1"/>
                <w:iCs w:val="1"/>
                <w:color w:val="auto"/>
              </w:rPr>
              <w:t>Prepaid expenses and other current assets</w:t>
            </w: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351"/>
        </w:trPr>
        <w:tc>
          <w:tcPr>
            <w:tcW w:w="9180" w:type="dxa"/>
            <w:vAlign w:val="bottom"/>
            <w:gridSpan w:val="5"/>
          </w:tcPr>
          <w:p>
            <w:pPr>
              <w:spacing w:after="0"/>
              <w:rPr>
                <w:sz w:val="20"/>
                <w:szCs w:val="20"/>
                <w:color w:val="auto"/>
              </w:rPr>
            </w:pPr>
            <w:r>
              <w:rPr>
                <w:rFonts w:ascii="Arial" w:cs="Arial" w:eastAsia="Arial" w:hAnsi="Arial"/>
                <w:sz w:val="20"/>
                <w:szCs w:val="20"/>
                <w:color w:val="auto"/>
                <w:w w:val="99"/>
              </w:rPr>
              <w:t>The following table shows the components of Prepaid expenses and other current assets (in thousands):</w:t>
            </w:r>
          </w:p>
        </w:tc>
        <w:tc>
          <w:tcPr>
            <w:tcW w:w="2060" w:type="dxa"/>
            <w:vAlign w:val="bottom"/>
          </w:tcPr>
          <w:p>
            <w:pPr>
              <w:spacing w:after="0"/>
              <w:rPr>
                <w:sz w:val="24"/>
                <w:szCs w:val="24"/>
                <w:color w:val="auto"/>
              </w:rPr>
            </w:pPr>
          </w:p>
        </w:tc>
      </w:tr>
      <w:tr>
        <w:trPr>
          <w:trHeight w:val="297"/>
        </w:trPr>
        <w:tc>
          <w:tcPr>
            <w:tcW w:w="6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2025</w:t>
            </w:r>
          </w:p>
        </w:tc>
        <w:tc>
          <w:tcPr>
            <w:tcW w:w="240" w:type="dxa"/>
            <w:vAlign w:val="bottom"/>
          </w:tcPr>
          <w:p>
            <w:pPr>
              <w:spacing w:after="0"/>
              <w:rPr>
                <w:sz w:val="24"/>
                <w:szCs w:val="24"/>
                <w:color w:val="auto"/>
              </w:rPr>
            </w:pPr>
          </w:p>
        </w:tc>
        <w:tc>
          <w:tcPr>
            <w:tcW w:w="2060" w:type="dxa"/>
            <w:vAlign w:val="bottom"/>
          </w:tcPr>
          <w:p>
            <w:pPr>
              <w:jc w:val="right"/>
              <w:ind w:right="161"/>
              <w:spacing w:after="0"/>
              <w:rPr>
                <w:sz w:val="20"/>
                <w:szCs w:val="20"/>
                <w:color w:val="auto"/>
              </w:rPr>
            </w:pPr>
            <w:r>
              <w:rPr>
                <w:rFonts w:ascii="Arial" w:cs="Arial" w:eastAsia="Arial" w:hAnsi="Arial"/>
                <w:sz w:val="20"/>
                <w:szCs w:val="20"/>
                <w:b w:val="1"/>
                <w:bCs w:val="1"/>
                <w:color w:val="auto"/>
                <w:w w:val="98"/>
              </w:rPr>
              <w:t>December 31, 2024</w:t>
            </w:r>
          </w:p>
        </w:tc>
      </w:tr>
      <w:tr>
        <w:trPr>
          <w:trHeight w:val="26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IRA vendor rebates</w:t>
            </w:r>
          </w:p>
        </w:tc>
        <w:tc>
          <w:tcPr>
            <w:tcW w:w="3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69,906</w:t>
            </w:r>
          </w:p>
        </w:tc>
        <w:tc>
          <w:tcPr>
            <w:tcW w:w="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115,458</w:t>
            </w:r>
          </w:p>
        </w:tc>
      </w:tr>
      <w:tr>
        <w:trPr>
          <w:trHeight w:val="282"/>
        </w:trPr>
        <w:tc>
          <w:tcPr>
            <w:tcW w:w="6540" w:type="dxa"/>
            <w:vAlign w:val="bottom"/>
          </w:tcPr>
          <w:p>
            <w:pPr>
              <w:ind w:left="20"/>
              <w:spacing w:after="0"/>
              <w:rPr>
                <w:sz w:val="20"/>
                <w:szCs w:val="20"/>
                <w:color w:val="auto"/>
              </w:rPr>
            </w:pPr>
            <w:r>
              <w:rPr>
                <w:rFonts w:ascii="Arial" w:cs="Arial" w:eastAsia="Arial" w:hAnsi="Arial"/>
                <w:sz w:val="20"/>
                <w:szCs w:val="20"/>
                <w:color w:val="auto"/>
              </w:rPr>
              <w:t>Prepaid taxes</w:t>
            </w:r>
          </w:p>
        </w:tc>
        <w:tc>
          <w:tcPr>
            <w:tcW w:w="320" w:type="dxa"/>
            <w:vAlign w:val="bottom"/>
          </w:tcPr>
          <w:p>
            <w:pPr>
              <w:spacing w:after="0"/>
              <w:rPr>
                <w:sz w:val="24"/>
                <w:szCs w:val="24"/>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25,305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14,650</w:t>
            </w:r>
          </w:p>
        </w:tc>
      </w:tr>
      <w:tr>
        <w:trPr>
          <w:trHeight w:val="28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19,332</w:t>
            </w:r>
          </w:p>
        </w:tc>
        <w:tc>
          <w:tcPr>
            <w:tcW w:w="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27,819</w:t>
            </w:r>
          </w:p>
        </w:tc>
      </w:tr>
      <w:tr>
        <w:trPr>
          <w:trHeight w:val="252"/>
        </w:trPr>
        <w:tc>
          <w:tcPr>
            <w:tcW w:w="6540" w:type="dxa"/>
            <w:vAlign w:val="bottom"/>
          </w:tcPr>
          <w:p>
            <w:pPr>
              <w:ind w:left="240"/>
              <w:spacing w:after="0"/>
              <w:rPr>
                <w:sz w:val="20"/>
                <w:szCs w:val="20"/>
                <w:color w:val="auto"/>
              </w:rPr>
            </w:pPr>
            <w:r>
              <w:rPr>
                <w:rFonts w:ascii="Arial" w:cs="Arial" w:eastAsia="Arial" w:hAnsi="Arial"/>
                <w:sz w:val="20"/>
                <w:szCs w:val="20"/>
                <w:color w:val="auto"/>
              </w:rPr>
              <w:t>Total Prepaid expenses and other current assets</w:t>
            </w: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114,543</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157,927</w:t>
            </w:r>
          </w:p>
        </w:tc>
      </w:tr>
      <w:tr>
        <w:trPr>
          <w:trHeight w:val="21"/>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 Net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820" w:type="dxa"/>
            <w:vAlign w:val="bottom"/>
            <w:gridSpan w:val="5"/>
          </w:tcPr>
          <w:p>
            <w:pPr>
              <w:spacing w:after="0"/>
              <w:rPr>
                <w:sz w:val="20"/>
                <w:szCs w:val="20"/>
                <w:color w:val="auto"/>
              </w:rPr>
            </w:pPr>
            <w:r>
              <w:rPr>
                <w:rFonts w:ascii="Arial" w:cs="Arial" w:eastAsia="Arial" w:hAnsi="Arial"/>
                <w:sz w:val="20"/>
                <w:szCs w:val="20"/>
                <w:color w:val="auto"/>
              </w:rPr>
              <w:t>Property, plant and equipment, net consisted of the following (in thousands, except useful lives):</w:t>
            </w:r>
          </w:p>
        </w:tc>
        <w:tc>
          <w:tcPr>
            <w:tcW w:w="3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2780" w:type="dxa"/>
            <w:vAlign w:val="bottom"/>
          </w:tcPr>
          <w:p>
            <w:pPr>
              <w:jc w:val="center"/>
              <w:ind w:left="281"/>
              <w:spacing w:after="0" w:line="223" w:lineRule="exact"/>
              <w:rPr>
                <w:sz w:val="20"/>
                <w:szCs w:val="20"/>
                <w:color w:val="auto"/>
              </w:rPr>
            </w:pPr>
            <w:r>
              <w:rPr>
                <w:rFonts w:ascii="Arial" w:cs="Arial" w:eastAsia="Arial" w:hAnsi="Arial"/>
                <w:sz w:val="20"/>
                <w:szCs w:val="20"/>
                <w:b w:val="1"/>
                <w:bCs w:val="1"/>
                <w:color w:val="auto"/>
                <w:w w:val="98"/>
              </w:rPr>
              <w:t>Estimated Useful Lives</w:t>
            </w:r>
          </w:p>
        </w:tc>
        <w:tc>
          <w:tcPr>
            <w:tcW w:w="420" w:type="dxa"/>
            <w:vAlign w:val="bottom"/>
          </w:tcPr>
          <w:p>
            <w:pPr>
              <w:spacing w:after="0"/>
              <w:rPr>
                <w:sz w:val="19"/>
                <w:szCs w:val="19"/>
                <w:color w:val="auto"/>
              </w:rPr>
            </w:pPr>
          </w:p>
        </w:tc>
        <w:tc>
          <w:tcPr>
            <w:tcW w:w="206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June 30, 2025</w:t>
            </w:r>
          </w:p>
        </w:tc>
        <w:tc>
          <w:tcPr>
            <w:tcW w:w="300" w:type="dxa"/>
            <w:vAlign w:val="bottom"/>
          </w:tcPr>
          <w:p>
            <w:pPr>
              <w:spacing w:after="0"/>
              <w:rPr>
                <w:sz w:val="19"/>
                <w:szCs w:val="19"/>
                <w:color w:val="auto"/>
              </w:rPr>
            </w:pPr>
          </w:p>
        </w:tc>
        <w:tc>
          <w:tcPr>
            <w:tcW w:w="21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98"/>
              </w:rPr>
              <w:t>December 31, 2024</w:t>
            </w:r>
          </w:p>
        </w:tc>
        <w:tc>
          <w:tcPr>
            <w:tcW w:w="0" w:type="dxa"/>
            <w:vAlign w:val="bottom"/>
          </w:tcPr>
          <w:p>
            <w:pPr>
              <w:spacing w:after="0"/>
              <w:rPr>
                <w:sz w:val="1"/>
                <w:szCs w:val="1"/>
                <w:color w:val="auto"/>
              </w:rPr>
            </w:pPr>
          </w:p>
        </w:tc>
      </w:tr>
      <w:tr>
        <w:trPr>
          <w:trHeight w:val="267"/>
        </w:trPr>
        <w:tc>
          <w:tcPr>
            <w:tcW w:w="3560" w:type="dxa"/>
            <w:vAlign w:val="bottom"/>
          </w:tcPr>
          <w:p>
            <w:pPr>
              <w:spacing w:after="0"/>
              <w:rPr>
                <w:sz w:val="23"/>
                <w:szCs w:val="23"/>
                <w:color w:val="auto"/>
              </w:rPr>
            </w:pPr>
          </w:p>
        </w:tc>
        <w:tc>
          <w:tcPr>
            <w:tcW w:w="2780" w:type="dxa"/>
            <w:vAlign w:val="bottom"/>
          </w:tcPr>
          <w:p>
            <w:pPr>
              <w:jc w:val="center"/>
              <w:ind w:left="301"/>
              <w:spacing w:after="0"/>
              <w:rPr>
                <w:sz w:val="20"/>
                <w:szCs w:val="20"/>
                <w:color w:val="auto"/>
              </w:rPr>
            </w:pPr>
            <w:r>
              <w:rPr>
                <w:rFonts w:ascii="Arial" w:cs="Arial" w:eastAsia="Arial" w:hAnsi="Arial"/>
                <w:sz w:val="20"/>
                <w:szCs w:val="20"/>
                <w:b w:val="1"/>
                <w:bCs w:val="1"/>
                <w:color w:val="auto"/>
                <w:w w:val="97"/>
              </w:rPr>
              <w:t>(Years)</w:t>
            </w:r>
          </w:p>
        </w:tc>
        <w:tc>
          <w:tcPr>
            <w:tcW w:w="420" w:type="dxa"/>
            <w:vAlign w:val="bottom"/>
          </w:tcPr>
          <w:p>
            <w:pPr>
              <w:spacing w:after="0"/>
              <w:rPr>
                <w:sz w:val="23"/>
                <w:szCs w:val="23"/>
                <w:color w:val="auto"/>
              </w:rPr>
            </w:pPr>
          </w:p>
        </w:tc>
        <w:tc>
          <w:tcPr>
            <w:tcW w:w="2060" w:type="dxa"/>
            <w:vAlign w:val="bottom"/>
            <w:gridSpan w:val="2"/>
            <w:vMerge w:val="continue"/>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780" w:type="dxa"/>
            <w:vAlign w:val="bottom"/>
            <w:tcBorders>
              <w:top w:val="single" w:sz="8" w:color="CCEEFF"/>
            </w:tcBorders>
            <w:shd w:val="clear" w:color="auto" w:fill="CCEEFF"/>
          </w:tcPr>
          <w:p>
            <w:pPr>
              <w:jc w:val="center"/>
              <w:ind w:left="281"/>
              <w:spacing w:after="0"/>
              <w:rPr>
                <w:sz w:val="20"/>
                <w:szCs w:val="20"/>
                <w:color w:val="auto"/>
              </w:rPr>
            </w:pPr>
            <w:r>
              <w:rPr>
                <w:rFonts w:ascii="Arial" w:cs="Arial" w:eastAsia="Arial" w:hAnsi="Arial"/>
                <w:sz w:val="20"/>
                <w:szCs w:val="20"/>
                <w:color w:val="auto"/>
                <w:w w:val="95"/>
              </w:rPr>
              <w:t>N/A</w:t>
            </w:r>
          </w:p>
        </w:tc>
        <w:tc>
          <w:tcPr>
            <w:tcW w:w="4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1,650</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1,585</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780" w:type="dxa"/>
            <w:vAlign w:val="bottom"/>
          </w:tcPr>
          <w:p>
            <w:pPr>
              <w:jc w:val="center"/>
              <w:ind w:left="301"/>
              <w:spacing w:after="0"/>
              <w:rPr>
                <w:sz w:val="20"/>
                <w:szCs w:val="20"/>
                <w:color w:val="auto"/>
              </w:rPr>
            </w:pPr>
            <w:r>
              <w:rPr>
                <w:rFonts w:ascii="Arial" w:cs="Arial" w:eastAsia="Arial" w:hAnsi="Arial"/>
                <w:sz w:val="20"/>
                <w:szCs w:val="20"/>
                <w:color w:val="auto"/>
                <w:w w:val="97"/>
              </w:rPr>
              <w:t>15-39</w:t>
            </w:r>
          </w:p>
        </w:tc>
        <w:tc>
          <w:tcPr>
            <w:tcW w:w="4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10,871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9,108</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rPr>
              <w:t>7</w:t>
            </w: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29,002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27,853</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780" w:type="dxa"/>
            <w:vAlign w:val="bottom"/>
          </w:tcPr>
          <w:p>
            <w:pPr>
              <w:jc w:val="center"/>
              <w:ind w:left="281"/>
              <w:spacing w:after="0"/>
              <w:rPr>
                <w:sz w:val="20"/>
                <w:szCs w:val="20"/>
                <w:color w:val="auto"/>
              </w:rPr>
            </w:pPr>
            <w:r>
              <w:rPr>
                <w:rFonts w:ascii="Arial" w:cs="Arial" w:eastAsia="Arial" w:hAnsi="Arial"/>
                <w:sz w:val="20"/>
                <w:szCs w:val="20"/>
                <w:color w:val="auto"/>
                <w:w w:val="96"/>
              </w:rPr>
              <w:t>5-7</w:t>
            </w:r>
          </w:p>
        </w:tc>
        <w:tc>
          <w:tcPr>
            <w:tcW w:w="4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5,370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4,287</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rPr>
              <w:t>5</w:t>
            </w: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603</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Hardware</w:t>
            </w:r>
          </w:p>
        </w:tc>
        <w:tc>
          <w:tcPr>
            <w:tcW w:w="2780" w:type="dxa"/>
            <w:vAlign w:val="bottom"/>
          </w:tcPr>
          <w:p>
            <w:pPr>
              <w:jc w:val="center"/>
              <w:ind w:left="281"/>
              <w:spacing w:after="0"/>
              <w:rPr>
                <w:sz w:val="20"/>
                <w:szCs w:val="20"/>
                <w:color w:val="auto"/>
              </w:rPr>
            </w:pPr>
            <w:r>
              <w:rPr>
                <w:rFonts w:ascii="Arial" w:cs="Arial" w:eastAsia="Arial" w:hAnsi="Arial"/>
                <w:sz w:val="20"/>
                <w:szCs w:val="20"/>
                <w:color w:val="auto"/>
                <w:w w:val="96"/>
              </w:rPr>
              <w:t>3-5</w:t>
            </w:r>
          </w:p>
        </w:tc>
        <w:tc>
          <w:tcPr>
            <w:tcW w:w="4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3,946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3,603</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Construction in progress</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w w:val="95"/>
              </w:rPr>
              <w:t>N/A</w:t>
            </w:r>
          </w:p>
        </w:tc>
        <w:tc>
          <w:tcPr>
            <w:tcW w:w="42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9,789</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3,948</w:t>
            </w:r>
          </w:p>
        </w:tc>
        <w:tc>
          <w:tcPr>
            <w:tcW w:w="0" w:type="dxa"/>
            <w:vAlign w:val="bottom"/>
          </w:tcPr>
          <w:p>
            <w:pPr>
              <w:spacing w:after="0"/>
              <w:rPr>
                <w:sz w:val="1"/>
                <w:szCs w:val="1"/>
                <w:color w:val="auto"/>
              </w:rPr>
            </w:pPr>
          </w:p>
        </w:tc>
      </w:tr>
      <w:tr>
        <w:trPr>
          <w:trHeight w:val="262"/>
        </w:trPr>
        <w:tc>
          <w:tcPr>
            <w:tcW w:w="3560" w:type="dxa"/>
            <w:vAlign w:val="bottom"/>
          </w:tcPr>
          <w:p>
            <w:pPr>
              <w:ind w:left="240"/>
              <w:spacing w:after="0"/>
              <w:rPr>
                <w:sz w:val="20"/>
                <w:szCs w:val="20"/>
                <w:color w:val="auto"/>
              </w:rPr>
            </w:pPr>
            <w:r>
              <w:rPr>
                <w:rFonts w:ascii="Arial" w:cs="Arial" w:eastAsia="Arial" w:hAnsi="Arial"/>
                <w:sz w:val="20"/>
                <w:szCs w:val="20"/>
                <w:color w:val="auto"/>
              </w:rPr>
              <w:t>Total</w:t>
            </w:r>
          </w:p>
        </w:tc>
        <w:tc>
          <w:tcPr>
            <w:tcW w:w="2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61,255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50,987</w:t>
            </w:r>
          </w:p>
        </w:tc>
        <w:tc>
          <w:tcPr>
            <w:tcW w:w="0" w:type="dxa"/>
            <w:vAlign w:val="bottom"/>
          </w:tcPr>
          <w:p>
            <w:pPr>
              <w:spacing w:after="0"/>
              <w:rPr>
                <w:sz w:val="1"/>
                <w:szCs w:val="1"/>
                <w:color w:val="auto"/>
              </w:rPr>
            </w:pPr>
          </w:p>
        </w:tc>
      </w:tr>
      <w:tr>
        <w:trPr>
          <w:trHeight w:val="285"/>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7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(26,174)</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(24,765)</w:t>
            </w:r>
          </w:p>
        </w:tc>
        <w:tc>
          <w:tcPr>
            <w:tcW w:w="0" w:type="dxa"/>
            <w:vAlign w:val="bottom"/>
          </w:tcPr>
          <w:p>
            <w:pPr>
              <w:spacing w:after="0"/>
              <w:rPr>
                <w:sz w:val="1"/>
                <w:szCs w:val="1"/>
                <w:color w:val="auto"/>
              </w:rPr>
            </w:pPr>
          </w:p>
        </w:tc>
      </w:tr>
      <w:tr>
        <w:trPr>
          <w:trHeight w:val="270"/>
        </w:trPr>
        <w:tc>
          <w:tcPr>
            <w:tcW w:w="356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780" w:type="dxa"/>
            <w:vAlign w:val="bottom"/>
          </w:tcPr>
          <w:p>
            <w:pPr>
              <w:spacing w:after="0"/>
              <w:rPr>
                <w:sz w:val="23"/>
                <w:szCs w:val="23"/>
                <w:color w:val="auto"/>
              </w:rPr>
            </w:pPr>
          </w:p>
        </w:tc>
        <w:tc>
          <w:tcPr>
            <w:tcW w:w="4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35,081</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$1.1 million and $1.1 million for the three months ended June 30, 2025 and 2024, respectively, of which $0.6 million and $0.4 million, respectively, was included in Cost of product and service revenue and $0.5 million and $0.7 million, respectively, was included in Depreciation and amortization on the accompanying condensed consolidated statements of operations.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$2.2 million and $2.0 million for the six months ended June 30, 2025 and 2024, respectively, of which $1.2 million and $0.9 million, respectively, was included in Cost of product and service revenue and $1.0 million and $1.1 million, respectively, was included in Depreciation and amortization on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1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37"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Changes in the carrying amount of goodwill by operating segment during the six months ended June 30, 2025,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9"/>
              </w:rPr>
              <w:t>Array Legacy</w:t>
            </w: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67"/>
        </w:trPr>
        <w:tc>
          <w:tcPr>
            <w:tcW w:w="4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20"/>
                <w:szCs w:val="20"/>
                <w:b w:val="1"/>
                <w:bCs w:val="1"/>
                <w:color w:val="auto"/>
                <w:w w:val="98"/>
              </w:rPr>
              <w:t>Operations</w:t>
            </w:r>
          </w:p>
        </w:tc>
        <w:tc>
          <w:tcPr>
            <w:tcW w:w="300" w:type="dxa"/>
            <w:vAlign w:val="bottom"/>
          </w:tcPr>
          <w:p>
            <w:pPr>
              <w:spacing w:after="0"/>
              <w:rPr>
                <w:sz w:val="23"/>
                <w:szCs w:val="23"/>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STI Operations</w:t>
            </w:r>
          </w:p>
        </w:tc>
        <w:tc>
          <w:tcPr>
            <w:tcW w:w="520" w:type="dxa"/>
            <w:vAlign w:val="bottom"/>
          </w:tcPr>
          <w:p>
            <w:pPr>
              <w:spacing w:after="0"/>
              <w:rPr>
                <w:sz w:val="23"/>
                <w:szCs w:val="23"/>
                <w:color w:val="auto"/>
              </w:rPr>
            </w:pPr>
          </w:p>
        </w:tc>
        <w:tc>
          <w:tcPr>
            <w:tcW w:w="1780" w:type="dxa"/>
            <w:vAlign w:val="bottom"/>
          </w:tcPr>
          <w:p>
            <w:pPr>
              <w:jc w:val="right"/>
              <w:ind w:right="821"/>
              <w:spacing w:after="0"/>
              <w:rPr>
                <w:sz w:val="20"/>
                <w:szCs w:val="20"/>
                <w:color w:val="auto"/>
              </w:rPr>
            </w:pPr>
            <w:r>
              <w:rPr>
                <w:rFonts w:ascii="Arial" w:cs="Arial" w:eastAsia="Arial" w:hAnsi="Arial"/>
                <w:sz w:val="20"/>
                <w:szCs w:val="20"/>
                <w:b w:val="1"/>
                <w:bCs w:val="1"/>
                <w:color w:val="auto"/>
              </w:rPr>
              <w:t>Total</w:t>
            </w:r>
          </w:p>
        </w:tc>
      </w:tr>
      <w:tr>
        <w:trPr>
          <w:trHeight w:val="26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90,462</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160,189</w:t>
            </w:r>
          </w:p>
        </w:tc>
      </w:tr>
      <w:tr>
        <w:trPr>
          <w:trHeight w:val="268"/>
        </w:trPr>
        <w:tc>
          <w:tcPr>
            <w:tcW w:w="4160" w:type="dxa"/>
            <w:vAlign w:val="bottom"/>
          </w:tcPr>
          <w:p>
            <w:pPr>
              <w:ind w:left="20"/>
              <w:spacing w:after="0"/>
              <w:rPr>
                <w:sz w:val="20"/>
                <w:szCs w:val="20"/>
                <w:color w:val="auto"/>
              </w:rPr>
            </w:pPr>
            <w:r>
              <w:rPr>
                <w:rFonts w:ascii="Arial" w:cs="Arial" w:eastAsia="Arial" w:hAnsi="Arial"/>
                <w:sz w:val="20"/>
                <w:szCs w:val="20"/>
                <w:color w:val="auto"/>
              </w:rPr>
              <w:t>Foreign currency translation</w:t>
            </w:r>
          </w:p>
        </w:tc>
        <w:tc>
          <w:tcPr>
            <w:tcW w:w="320" w:type="dxa"/>
            <w:vAlign w:val="bottom"/>
          </w:tcPr>
          <w:p>
            <w:pPr>
              <w:spacing w:after="0"/>
              <w:rPr>
                <w:sz w:val="23"/>
                <w:szCs w:val="23"/>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12,419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12,419</w:t>
            </w:r>
          </w:p>
        </w:tc>
      </w:tr>
      <w:tr>
        <w:trPr>
          <w:trHeight w:val="290"/>
        </w:trPr>
        <w:tc>
          <w:tcPr>
            <w:tcW w:w="4160" w:type="dxa"/>
            <w:vAlign w:val="bottom"/>
            <w:tcBorders>
              <w:top w:val="single" w:sz="8" w:color="CCEEFF"/>
              <w:bottom w:val="single" w:sz="8" w:color="CCEEFF"/>
            </w:tcBorders>
            <w:shd w:val="clear" w:color="auto" w:fill="CCEEFF"/>
          </w:tcPr>
          <w:p>
            <w:pPr>
              <w:ind w:left="20"/>
              <w:spacing w:after="0" w:line="265" w:lineRule="exact"/>
              <w:rPr>
                <w:sz w:val="20"/>
                <w:szCs w:val="20"/>
                <w:color w:val="auto"/>
              </w:rPr>
            </w:pPr>
            <w:r>
              <w:rPr>
                <w:rFonts w:ascii="Arial" w:cs="Arial" w:eastAsia="Arial" w:hAnsi="Arial"/>
                <w:sz w:val="20"/>
                <w:szCs w:val="20"/>
                <w:color w:val="auto"/>
              </w:rPr>
              <w:t xml:space="preserve">Ending balance </w:t>
            </w:r>
            <w:r>
              <w:rPr>
                <w:rFonts w:ascii="Arial" w:cs="Arial" w:eastAsia="Arial" w:hAnsi="Arial"/>
                <w:sz w:val="25"/>
                <w:szCs w:val="25"/>
                <w:color w:val="auto"/>
                <w:vertAlign w:val="superscript"/>
              </w:rPr>
              <w:t>(1)</w:t>
            </w:r>
          </w:p>
        </w:tc>
        <w:tc>
          <w:tcPr>
            <w:tcW w:w="3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102,881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172,608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07" w:lineRule="auto"/>
        <w:tabs>
          <w:tab w:leader="none" w:pos="228"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Goodwill attributable to Array Legacy Operations is net of cumulative impairments of $51.9 million. Goodwill attributable to STI Operations is net of cumulative impairments of $236.0 million.</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tests goodwill for impairment annually or more frequently if facts and circumstances indicate that it is more likely than not that the fair value of its reporting units is less than their carrying value, which would require the Company to perform an interim goodwill impairment test. There were no indicators of impairment as of June 30, 2025.</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 Lived Assets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assesses long-lived assets classified as “held and used,” including property, plant and equipment, lease assets and intangible assets for impairment whenever events or changes in circumstances arise, including consideration of technological obsolescence, that may indicate that the carrying amount of such assets may not be recoverable.</w:t>
      </w:r>
    </w:p>
    <w:p>
      <w:pPr>
        <w:spacing w:after="0" w:line="192" w:lineRule="exact"/>
        <w:rPr>
          <w:sz w:val="20"/>
          <w:szCs w:val="20"/>
          <w:color w:val="auto"/>
        </w:rPr>
      </w:pPr>
    </w:p>
    <w:p>
      <w:pPr>
        <w:ind w:right="240"/>
        <w:spacing w:after="0" w:line="300" w:lineRule="auto"/>
        <w:rPr>
          <w:sz w:val="20"/>
          <w:szCs w:val="20"/>
          <w:color w:val="auto"/>
        </w:rPr>
      </w:pPr>
      <w:r>
        <w:rPr>
          <w:rFonts w:ascii="Arial" w:cs="Arial" w:eastAsia="Arial" w:hAnsi="Arial"/>
          <w:sz w:val="20"/>
          <w:szCs w:val="20"/>
          <w:color w:val="auto"/>
        </w:rPr>
        <w:t>As of June 30, 2025, no events or circumstances were noted that would indicate the carrying amount of any of Array Legacy’s Operations or STI Operations assets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520" w:type="dxa"/>
            <w:vAlign w:val="bottom"/>
          </w:tcPr>
          <w:p>
            <w:pPr>
              <w:spacing w:after="0"/>
              <w:rPr>
                <w:sz w:val="20"/>
                <w:szCs w:val="20"/>
                <w:color w:val="auto"/>
              </w:rPr>
            </w:pPr>
            <w:r>
              <w:rPr>
                <w:rFonts w:ascii="Arial" w:cs="Arial" w:eastAsia="Arial" w:hAnsi="Arial"/>
                <w:sz w:val="20"/>
                <w:szCs w:val="20"/>
                <w:b w:val="1"/>
                <w:bCs w:val="1"/>
                <w:color w:val="auto"/>
              </w:rPr>
              <w:t>Other Intangible Assets, Net</w:t>
            </w:r>
          </w:p>
        </w:tc>
        <w:tc>
          <w:tcPr>
            <w:tcW w:w="2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8880" w:type="dxa"/>
            <w:vAlign w:val="bottom"/>
            <w:gridSpan w:val="5"/>
          </w:tcPr>
          <w:p>
            <w:pPr>
              <w:spacing w:after="0"/>
              <w:rPr>
                <w:sz w:val="20"/>
                <w:szCs w:val="20"/>
                <w:color w:val="auto"/>
              </w:rPr>
            </w:pPr>
            <w:r>
              <w:rPr>
                <w:rFonts w:ascii="Arial" w:cs="Arial" w:eastAsia="Arial" w:hAnsi="Arial"/>
                <w:sz w:val="20"/>
                <w:szCs w:val="20"/>
                <w:color w:val="auto"/>
              </w:rPr>
              <w:t>Other intangible assets, net consisted of the following (in thousands, except useful lives):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920" w:type="dxa"/>
            <w:vAlign w:val="bottom"/>
          </w:tcPr>
          <w:p>
            <w:pPr>
              <w:jc w:val="center"/>
              <w:ind w:left="381"/>
              <w:spacing w:after="0" w:line="223" w:lineRule="exact"/>
              <w:rPr>
                <w:sz w:val="20"/>
                <w:szCs w:val="20"/>
                <w:color w:val="auto"/>
              </w:rPr>
            </w:pPr>
            <w:r>
              <w:rPr>
                <w:rFonts w:ascii="Arial" w:cs="Arial" w:eastAsia="Arial" w:hAnsi="Arial"/>
                <w:sz w:val="20"/>
                <w:szCs w:val="20"/>
                <w:b w:val="1"/>
                <w:bCs w:val="1"/>
                <w:color w:val="auto"/>
                <w:w w:val="98"/>
              </w:rPr>
              <w:t>Estimated Useful Lives</w:t>
            </w:r>
          </w:p>
        </w:tc>
        <w:tc>
          <w:tcPr>
            <w:tcW w:w="380" w:type="dxa"/>
            <w:vAlign w:val="bottom"/>
          </w:tcPr>
          <w:p>
            <w:pPr>
              <w:spacing w:after="0"/>
              <w:rPr>
                <w:sz w:val="19"/>
                <w:szCs w:val="19"/>
                <w:color w:val="auto"/>
              </w:rPr>
            </w:pPr>
          </w:p>
        </w:tc>
        <w:tc>
          <w:tcPr>
            <w:tcW w:w="206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auto"/>
              </w:rPr>
              <w:t>June 30, 2025</w:t>
            </w: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2024</w:t>
            </w:r>
          </w:p>
        </w:tc>
        <w:tc>
          <w:tcPr>
            <w:tcW w:w="0" w:type="dxa"/>
            <w:vAlign w:val="bottom"/>
          </w:tcPr>
          <w:p>
            <w:pPr>
              <w:spacing w:after="0"/>
              <w:rPr>
                <w:sz w:val="1"/>
                <w:szCs w:val="1"/>
                <w:color w:val="auto"/>
              </w:rPr>
            </w:pPr>
          </w:p>
        </w:tc>
      </w:tr>
      <w:tr>
        <w:trPr>
          <w:trHeight w:val="280"/>
        </w:trPr>
        <w:tc>
          <w:tcPr>
            <w:tcW w:w="3520" w:type="dxa"/>
            <w:vAlign w:val="bottom"/>
          </w:tcPr>
          <w:p>
            <w:pPr>
              <w:spacing w:after="0"/>
              <w:rPr>
                <w:sz w:val="24"/>
                <w:szCs w:val="24"/>
                <w:color w:val="auto"/>
              </w:rPr>
            </w:pPr>
          </w:p>
        </w:tc>
        <w:tc>
          <w:tcPr>
            <w:tcW w:w="2920" w:type="dxa"/>
            <w:vAlign w:val="bottom"/>
          </w:tcPr>
          <w:p>
            <w:pPr>
              <w:jc w:val="center"/>
              <w:ind w:left="401"/>
              <w:spacing w:after="0"/>
              <w:rPr>
                <w:sz w:val="20"/>
                <w:szCs w:val="20"/>
                <w:color w:val="auto"/>
              </w:rPr>
            </w:pPr>
            <w:r>
              <w:rPr>
                <w:rFonts w:ascii="Arial" w:cs="Arial" w:eastAsia="Arial" w:hAnsi="Arial"/>
                <w:sz w:val="20"/>
                <w:szCs w:val="20"/>
                <w:b w:val="1"/>
                <w:bCs w:val="1"/>
                <w:color w:val="auto"/>
                <w:w w:val="97"/>
              </w:rPr>
              <w:t>(Years)</w:t>
            </w:r>
          </w:p>
        </w:tc>
        <w:tc>
          <w:tcPr>
            <w:tcW w:w="38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9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Developed technology</w:t>
            </w:r>
          </w:p>
        </w:tc>
        <w:tc>
          <w:tcPr>
            <w:tcW w:w="2920" w:type="dxa"/>
            <w:vAlign w:val="bottom"/>
          </w:tcPr>
          <w:p>
            <w:pPr>
              <w:jc w:val="center"/>
              <w:ind w:left="401"/>
              <w:spacing w:after="0"/>
              <w:rPr>
                <w:sz w:val="20"/>
                <w:szCs w:val="20"/>
                <w:color w:val="auto"/>
              </w:rPr>
            </w:pPr>
            <w:r>
              <w:rPr>
                <w:rFonts w:ascii="Arial" w:cs="Arial" w:eastAsia="Arial" w:hAnsi="Arial"/>
                <w:sz w:val="20"/>
                <w:szCs w:val="20"/>
                <w:color w:val="auto"/>
                <w:w w:val="98"/>
              </w:rPr>
              <w:t>14</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980" w:type="dxa"/>
            <w:vAlign w:val="bottom"/>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Computer software</w:t>
            </w:r>
          </w:p>
        </w:tc>
        <w:tc>
          <w:tcPr>
            <w:tcW w:w="292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89"/>
              </w:rPr>
              <w:t>3</w:t>
            </w: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15,906</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15,826</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2920" w:type="dxa"/>
            <w:vAlign w:val="bottom"/>
          </w:tcPr>
          <w:p>
            <w:pPr>
              <w:jc w:val="center"/>
              <w:ind w:left="401"/>
              <w:spacing w:after="0"/>
              <w:rPr>
                <w:sz w:val="20"/>
                <w:szCs w:val="20"/>
                <w:color w:val="auto"/>
              </w:rPr>
            </w:pPr>
            <w:r>
              <w:rPr>
                <w:rFonts w:ascii="Arial" w:cs="Arial" w:eastAsia="Arial" w:hAnsi="Arial"/>
                <w:sz w:val="20"/>
                <w:szCs w:val="20"/>
                <w:color w:val="auto"/>
                <w:w w:val="98"/>
              </w:rPr>
              <w:t>10</w:t>
            </w:r>
          </w:p>
        </w:tc>
        <w:tc>
          <w:tcPr>
            <w:tcW w:w="3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191,480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179,166</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Backlog</w:t>
            </w:r>
          </w:p>
        </w:tc>
        <w:tc>
          <w:tcPr>
            <w:tcW w:w="292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89"/>
              </w:rPr>
              <w:t>1</w:t>
            </w: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19,195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16,877</w:t>
            </w:r>
          </w:p>
        </w:tc>
        <w:tc>
          <w:tcPr>
            <w:tcW w:w="0" w:type="dxa"/>
            <w:vAlign w:val="bottom"/>
          </w:tcPr>
          <w:p>
            <w:pPr>
              <w:spacing w:after="0"/>
              <w:rPr>
                <w:sz w:val="1"/>
                <w:szCs w:val="1"/>
                <w:color w:val="auto"/>
              </w:rPr>
            </w:pPr>
          </w:p>
        </w:tc>
      </w:tr>
      <w:tr>
        <w:trPr>
          <w:trHeight w:val="277"/>
        </w:trPr>
        <w:tc>
          <w:tcPr>
            <w:tcW w:w="35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Trade name</w:t>
            </w:r>
          </w:p>
        </w:tc>
        <w:tc>
          <w:tcPr>
            <w:tcW w:w="2920" w:type="dxa"/>
            <w:vAlign w:val="bottom"/>
            <w:tcBorders>
              <w:bottom w:val="single" w:sz="8" w:color="CCEEFF"/>
            </w:tcBorders>
          </w:tcPr>
          <w:p>
            <w:pPr>
              <w:jc w:val="center"/>
              <w:ind w:left="401"/>
              <w:spacing w:after="0"/>
              <w:rPr>
                <w:sz w:val="20"/>
                <w:szCs w:val="20"/>
                <w:color w:val="auto"/>
              </w:rPr>
            </w:pPr>
            <w:r>
              <w:rPr>
                <w:rFonts w:ascii="Arial" w:cs="Arial" w:eastAsia="Arial" w:hAnsi="Arial"/>
                <w:sz w:val="20"/>
                <w:szCs w:val="20"/>
                <w:color w:val="auto"/>
                <w:w w:val="98"/>
              </w:rPr>
              <w:t>20</w:t>
            </w: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17,193</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15,117</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w:t>
            </w:r>
          </w:p>
        </w:tc>
        <w:tc>
          <w:tcPr>
            <w:tcW w:w="29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447,574</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430,786</w:t>
            </w:r>
          </w:p>
        </w:tc>
        <w:tc>
          <w:tcPr>
            <w:tcW w:w="0" w:type="dxa"/>
            <w:vAlign w:val="bottom"/>
          </w:tcPr>
          <w:p>
            <w:pPr>
              <w:spacing w:after="0"/>
              <w:rPr>
                <w:sz w:val="1"/>
                <w:szCs w:val="1"/>
                <w:color w:val="auto"/>
              </w:rPr>
            </w:pPr>
          </w:p>
        </w:tc>
      </w:tr>
      <w:tr>
        <w:trPr>
          <w:trHeight w:val="255"/>
        </w:trPr>
        <w:tc>
          <w:tcPr>
            <w:tcW w:w="3520" w:type="dxa"/>
            <w:vAlign w:val="bottom"/>
          </w:tcPr>
          <w:p>
            <w:pPr>
              <w:ind w:left="20"/>
              <w:spacing w:after="0"/>
              <w:rPr>
                <w:sz w:val="20"/>
                <w:szCs w:val="20"/>
                <w:color w:val="auto"/>
              </w:rPr>
            </w:pPr>
            <w:r>
              <w:rPr>
                <w:rFonts w:ascii="Arial" w:cs="Arial" w:eastAsia="Arial" w:hAnsi="Arial"/>
                <w:sz w:val="20"/>
                <w:szCs w:val="20"/>
                <w:color w:val="auto"/>
              </w:rPr>
              <w:t>Accumulated amortization:</w:t>
            </w:r>
          </w:p>
        </w:tc>
        <w:tc>
          <w:tcPr>
            <w:tcW w:w="2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2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130,740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123,462</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Computer software</w:t>
            </w:r>
          </w:p>
        </w:tc>
        <w:tc>
          <w:tcPr>
            <w:tcW w:w="2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14,836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14,552</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Customer relationships</w:t>
            </w:r>
          </w:p>
        </w:tc>
        <w:tc>
          <w:tcPr>
            <w:tcW w:w="2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115,774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102,541</w:t>
            </w:r>
          </w:p>
        </w:tc>
        <w:tc>
          <w:tcPr>
            <w:tcW w:w="0" w:type="dxa"/>
            <w:vAlign w:val="bottom"/>
          </w:tcPr>
          <w:p>
            <w:pPr>
              <w:spacing w:after="0"/>
              <w:rPr>
                <w:sz w:val="1"/>
                <w:szCs w:val="1"/>
                <w:color w:val="auto"/>
              </w:rPr>
            </w:pPr>
          </w:p>
        </w:tc>
      </w:tr>
      <w:tr>
        <w:trPr>
          <w:trHeight w:val="282"/>
        </w:trPr>
        <w:tc>
          <w:tcPr>
            <w:tcW w:w="3520" w:type="dxa"/>
            <w:vAlign w:val="bottom"/>
          </w:tcPr>
          <w:p>
            <w:pPr>
              <w:ind w:left="360"/>
              <w:spacing w:after="0"/>
              <w:rPr>
                <w:sz w:val="20"/>
                <w:szCs w:val="20"/>
                <w:color w:val="auto"/>
              </w:rPr>
            </w:pPr>
            <w:r>
              <w:rPr>
                <w:rFonts w:ascii="Arial" w:cs="Arial" w:eastAsia="Arial" w:hAnsi="Arial"/>
                <w:sz w:val="20"/>
                <w:szCs w:val="20"/>
                <w:color w:val="auto"/>
              </w:rPr>
              <w:t>Backlog</w:t>
            </w: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19,195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16,877</w:t>
            </w:r>
          </w:p>
        </w:tc>
        <w:tc>
          <w:tcPr>
            <w:tcW w:w="0" w:type="dxa"/>
            <w:vAlign w:val="bottom"/>
          </w:tcPr>
          <w:p>
            <w:pPr>
              <w:spacing w:after="0"/>
              <w:rPr>
                <w:sz w:val="1"/>
                <w:szCs w:val="1"/>
                <w:color w:val="auto"/>
              </w:rPr>
            </w:pPr>
          </w:p>
        </w:tc>
      </w:tr>
      <w:tr>
        <w:trPr>
          <w:trHeight w:val="285"/>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Trade name</w:t>
            </w:r>
          </w:p>
        </w:tc>
        <w:tc>
          <w:tcPr>
            <w:tcW w:w="29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2,983</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2,245</w:t>
            </w:r>
          </w:p>
        </w:tc>
        <w:tc>
          <w:tcPr>
            <w:tcW w:w="0" w:type="dxa"/>
            <w:vAlign w:val="bottom"/>
          </w:tcPr>
          <w:p>
            <w:pPr>
              <w:spacing w:after="0"/>
              <w:rPr>
                <w:sz w:val="1"/>
                <w:szCs w:val="1"/>
                <w:color w:val="auto"/>
              </w:rPr>
            </w:pPr>
          </w:p>
        </w:tc>
      </w:tr>
      <w:tr>
        <w:trPr>
          <w:trHeight w:val="271"/>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accumulated amortization</w:t>
            </w:r>
          </w:p>
        </w:tc>
        <w:tc>
          <w:tcPr>
            <w:tcW w:w="29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283,528</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259,677</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2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164,046</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171,109</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w:t>
            </w:r>
          </w:p>
        </w:tc>
        <w:tc>
          <w:tcPr>
            <w:tcW w:w="2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240"/>
              <w:spacing w:after="0"/>
              <w:rPr>
                <w:sz w:val="20"/>
                <w:szCs w:val="20"/>
                <w:color w:val="auto"/>
              </w:rPr>
            </w:pPr>
            <w:r>
              <w:rPr>
                <w:rFonts w:ascii="Arial" w:cs="Arial" w:eastAsia="Arial" w:hAnsi="Arial"/>
                <w:sz w:val="20"/>
                <w:szCs w:val="20"/>
                <w:color w:val="auto"/>
              </w:rPr>
              <w:t>Trade name</w:t>
            </w:r>
          </w:p>
        </w:tc>
        <w:tc>
          <w:tcPr>
            <w:tcW w:w="2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79"/>
        </w:trPr>
        <w:tc>
          <w:tcPr>
            <w:tcW w:w="352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920" w:type="dxa"/>
            <w:vAlign w:val="bottom"/>
          </w:tcPr>
          <w:p>
            <w:pPr>
              <w:spacing w:after="0"/>
              <w:rPr>
                <w:sz w:val="23"/>
                <w:szCs w:val="23"/>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174,346</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181,409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expense related to intangible assets was $8.7 million and $11.8 million for the three months ended June 30, 2025 and 2024, respectively, of which $3.6 million was included in Amortization of developed technology, a component of cost of revenue, in both periods and $5.1 million and $8.1 million, respectively, was included in Depreciation and amortization, on the accompanying condensed consolidated statements of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expense related to intangible assets was $17.3 million and $24.7 million for the six months ended June 30, 2025 and 2024, respectively, of which $7.3 million was included in Amortization of developed technology, a component of cost of revenue, in both periods and $10.0 million and $17.4 million, respectively, was included in Depreciation and amortization, on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amortization expense of intangible assets as of June 30, 2025, is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8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Amount</w:t>
            </w:r>
          </w:p>
        </w:tc>
      </w:tr>
      <w:tr>
        <w:trPr>
          <w:trHeight w:val="281"/>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 of 2025</w:t>
            </w: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18,032</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2026</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30,577</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25,614</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2028</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25,614</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2029</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25,614</w:t>
            </w:r>
          </w:p>
        </w:tc>
      </w:tr>
      <w:tr>
        <w:trPr>
          <w:trHeight w:val="282"/>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38,595</w:t>
            </w:r>
          </w:p>
        </w:tc>
      </w:tr>
      <w:tr>
        <w:trPr>
          <w:trHeight w:val="297"/>
        </w:trPr>
        <w:tc>
          <w:tcPr>
            <w:tcW w:w="88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164,046</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recorded Income tax expense of $13.6 million and $7.8 million for the three months ended June 30, 2025 and 2024, respectively, and an expense of $20.2 million and $9.1 million for the six months ended June 30, 2025 and 2024, respectively.</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income tax expense for the three and six months ended June 30, 2025 was favorably impacted by tax credits recorded during the periods. Additionally, tax expense of $0.1 million and $1.2 million related to equity-based compensation was recorded discretely for the three and six months ended June 30, 2025, respectively.</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income tax expense for the three and six months ended June 30, 2024 was impacted by higher profits in non-US jurisdictions. Additionally, tax expense of $0.1 million and $0.5 million related to equity-based compensation was recorded discretely for the three and six months ended June 30, 2024.</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OBBB, as defined in Note 2, extended key provisions of the 2017 Tax Cuts and Jobs Act, including, but not limited to, federal bonus depreciation and deductions for domestic research and development expenditures. The Company is currently evaluating the income tax impact of OBBB on the Company’s future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2025 and 2024, the balance of reserves for uncertain tax positions was $0.7 million and zero,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10"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total debt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2025</w:t>
            </w:r>
          </w:p>
        </w:tc>
        <w:tc>
          <w:tcPr>
            <w:tcW w:w="18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6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Senior Secured Credit Facility:</w:t>
            </w:r>
          </w:p>
        </w:tc>
        <w:tc>
          <w:tcPr>
            <w:tcW w:w="320" w:type="dxa"/>
            <w:vAlign w:val="bottom"/>
            <w:tcBorders>
              <w:top w:val="single" w:sz="8" w:color="auto"/>
            </w:tcBorders>
            <w:shd w:val="clear" w:color="auto" w:fill="CCEEFF"/>
          </w:tcPr>
          <w:p>
            <w:pPr>
              <w:spacing w:after="0"/>
              <w:rPr>
                <w:sz w:val="22"/>
                <w:szCs w:val="22"/>
                <w:color w:val="auto"/>
              </w:rPr>
            </w:pPr>
          </w:p>
        </w:tc>
        <w:tc>
          <w:tcPr>
            <w:tcW w:w="20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spacing w:after="0"/>
              <w:rPr>
                <w:sz w:val="22"/>
                <w:szCs w:val="22"/>
                <w:color w:val="auto"/>
              </w:rPr>
            </w:pPr>
          </w:p>
        </w:tc>
      </w:tr>
      <w:tr>
        <w:trPr>
          <w:trHeight w:val="275"/>
        </w:trPr>
        <w:tc>
          <w:tcPr>
            <w:tcW w:w="6540" w:type="dxa"/>
            <w:vAlign w:val="bottom"/>
          </w:tcPr>
          <w:p>
            <w:pPr>
              <w:ind w:left="240"/>
              <w:spacing w:after="0"/>
              <w:rPr>
                <w:sz w:val="20"/>
                <w:szCs w:val="20"/>
                <w:color w:val="auto"/>
              </w:rPr>
            </w:pPr>
            <w:r>
              <w:rPr>
                <w:rFonts w:ascii="Arial" w:cs="Arial" w:eastAsia="Arial" w:hAnsi="Arial"/>
                <w:sz w:val="20"/>
                <w:szCs w:val="20"/>
                <w:color w:val="auto"/>
              </w:rPr>
              <w:t>Term loan facility</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20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233,875</w:t>
            </w:r>
          </w:p>
        </w:tc>
      </w:tr>
      <w:tr>
        <w:trPr>
          <w:trHeight w:val="292"/>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Revolving credit facility</w:t>
            </w:r>
          </w:p>
        </w:tc>
        <w:tc>
          <w:tcPr>
            <w:tcW w:w="32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1"/>
        </w:trPr>
        <w:tc>
          <w:tcPr>
            <w:tcW w:w="6540" w:type="dxa"/>
            <w:vAlign w:val="bottom"/>
          </w:tcPr>
          <w:p>
            <w:pPr>
              <w:ind w:left="460"/>
              <w:spacing w:after="0"/>
              <w:rPr>
                <w:sz w:val="20"/>
                <w:szCs w:val="20"/>
                <w:color w:val="auto"/>
              </w:rPr>
            </w:pPr>
            <w:r>
              <w:rPr>
                <w:rFonts w:ascii="Arial" w:cs="Arial" w:eastAsia="Arial" w:hAnsi="Arial"/>
                <w:sz w:val="20"/>
                <w:szCs w:val="20"/>
                <w:color w:val="auto"/>
              </w:rPr>
              <w:t>Total secured credit facility</w:t>
            </w:r>
          </w:p>
        </w:tc>
        <w:tc>
          <w:tcPr>
            <w:tcW w:w="320" w:type="dxa"/>
            <w:vAlign w:val="bottom"/>
          </w:tcPr>
          <w:p>
            <w:pPr>
              <w:spacing w:after="0"/>
              <w:rPr>
                <w:sz w:val="23"/>
                <w:szCs w:val="23"/>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233,875</w:t>
            </w:r>
          </w:p>
        </w:tc>
      </w:tr>
      <w:tr>
        <w:trPr>
          <w:trHeight w:val="257"/>
        </w:trPr>
        <w:tc>
          <w:tcPr>
            <w:tcW w:w="65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20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spacing w:after="0"/>
              <w:rPr>
                <w:sz w:val="22"/>
                <w:szCs w:val="22"/>
                <w:color w:val="auto"/>
              </w:rPr>
            </w:pPr>
          </w:p>
        </w:tc>
      </w:tr>
      <w:tr>
        <w:trPr>
          <w:trHeight w:val="275"/>
        </w:trPr>
        <w:tc>
          <w:tcPr>
            <w:tcW w:w="6540" w:type="dxa"/>
            <w:vAlign w:val="bottom"/>
          </w:tcPr>
          <w:p>
            <w:pPr>
              <w:ind w:left="20"/>
              <w:spacing w:after="0"/>
              <w:rPr>
                <w:sz w:val="20"/>
                <w:szCs w:val="20"/>
                <w:color w:val="auto"/>
              </w:rPr>
            </w:pPr>
            <w:r>
              <w:rPr>
                <w:rFonts w:ascii="Arial" w:cs="Arial" w:eastAsia="Arial" w:hAnsi="Arial"/>
                <w:sz w:val="20"/>
                <w:szCs w:val="20"/>
                <w:color w:val="auto"/>
              </w:rPr>
              <w:t>2028 Convertible notes</w:t>
            </w:r>
          </w:p>
        </w:tc>
        <w:tc>
          <w:tcPr>
            <w:tcW w:w="320" w:type="dxa"/>
            <w:vAlign w:val="bottom"/>
          </w:tcPr>
          <w:p>
            <w:pPr>
              <w:spacing w:after="0"/>
              <w:rPr>
                <w:sz w:val="23"/>
                <w:szCs w:val="23"/>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325,000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425,000</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2031 Convertible notes</w:t>
            </w:r>
          </w:p>
        </w:tc>
        <w:tc>
          <w:tcPr>
            <w:tcW w:w="32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345,000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debt</w:t>
            </w: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39,325</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34,042</w:t>
            </w:r>
          </w:p>
        </w:tc>
      </w:tr>
      <w:tr>
        <w:trPr>
          <w:trHeight w:val="284"/>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principal</w:t>
            </w:r>
          </w:p>
        </w:tc>
        <w:tc>
          <w:tcPr>
            <w:tcW w:w="32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709,325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692,917</w:t>
            </w:r>
          </w:p>
        </w:tc>
      </w:tr>
      <w:tr>
        <w:trPr>
          <w:trHeight w:val="275"/>
        </w:trPr>
        <w:tc>
          <w:tcPr>
            <w:tcW w:w="6540" w:type="dxa"/>
            <w:vAlign w:val="bottom"/>
          </w:tcPr>
          <w:p>
            <w:pPr>
              <w:ind w:left="20"/>
              <w:spacing w:after="0"/>
              <w:rPr>
                <w:sz w:val="20"/>
                <w:szCs w:val="20"/>
                <w:color w:val="auto"/>
              </w:rPr>
            </w:pPr>
            <w:r>
              <w:rPr>
                <w:rFonts w:ascii="Arial" w:cs="Arial" w:eastAsia="Arial" w:hAnsi="Arial"/>
                <w:sz w:val="20"/>
                <w:szCs w:val="20"/>
                <w:color w:val="auto"/>
              </w:rPr>
              <w:t>Unamortized discount and issuance costs, total</w:t>
            </w:r>
          </w:p>
        </w:tc>
        <w:tc>
          <w:tcPr>
            <w:tcW w:w="3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(15,477)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(15,633)</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portion of debt</w:t>
            </w:r>
          </w:p>
        </w:tc>
        <w:tc>
          <w:tcPr>
            <w:tcW w:w="32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(36,257)</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(30,714)</w:t>
            </w:r>
          </w:p>
        </w:tc>
      </w:tr>
      <w:tr>
        <w:trPr>
          <w:trHeight w:val="271"/>
        </w:trPr>
        <w:tc>
          <w:tcPr>
            <w:tcW w:w="6540" w:type="dxa"/>
            <w:vAlign w:val="bottom"/>
          </w:tcPr>
          <w:p>
            <w:pPr>
              <w:ind w:left="20"/>
              <w:spacing w:after="0"/>
              <w:rPr>
                <w:sz w:val="20"/>
                <w:szCs w:val="20"/>
                <w:color w:val="auto"/>
              </w:rPr>
            </w:pPr>
            <w:r>
              <w:rPr>
                <w:rFonts w:ascii="Arial" w:cs="Arial" w:eastAsia="Arial" w:hAnsi="Arial"/>
                <w:sz w:val="20"/>
                <w:szCs w:val="20"/>
                <w:color w:val="auto"/>
              </w:rPr>
              <w:t>Total long-term debt, net of current portion</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657,591</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646,570</w:t>
            </w:r>
          </w:p>
        </w:tc>
      </w:tr>
      <w:tr>
        <w:trPr>
          <w:trHeight w:val="27"/>
        </w:trPr>
        <w:tc>
          <w:tcPr>
            <w:tcW w:w="6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on February 26, 2021 and again on March 2, 2023 (the “Third Amendment”).</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May 1, 2025, Array Tech, Inc. and ATI Investment Sub, Inc., both wholly owned subsidiaries of the Company, entered into an amendment (the “Fourth Amendment”) to the Credit Agreement. The Fourth Amendment, among other things, (i) refinanced the Revolving Credit Facility with new revolving commitments and loans thereunder and (ii) revised the Consolidated First Lien Secured Leverage Ratio as applicable under Section 7.09 (Financial Covenant) of the Credit Agreement from 7.10:1.00 to 5.50:1.00.</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amended by the Fourth Amendment, the Revolving Credit Facility has total commitments of $166 million and a maturity date of October 14, 2028. The Company was in compliance with all applicable covenants under the Credit Agreement as of June 30,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At December 31, 2024, the outstanding balance on the Term Loan Facility was $233.9 million, presented in the accompanying condensed consolidated balance sheets net of debt discount and issuance costs of $7.9 million. During the second quarter of 2025, the Company repaid in full the remaining balance of the Term Loan Facility using proceeds from the issuance of the 2031 Convertible Notes (as defined below). As a result, the Term Loan Facility was fully extinguished and no longer outstanding as of June 30, 2025. The $5.9 million in unamortized debt discount and issuance costs were written off in connection with the extinguishment and recorded in Gain on extinguishment of debts, net.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had no outstanding balance under the Revolving Credit Facility at both June 30, 2025 and December 31, 2024. At June 30, 2025 and December 31, 2024 the Company had $32.3 million and $28.0 million, respectively, in standby letters of credit, and $133.7 million and $ 172.0 million, respectively, available to withdraw against total commitments under the Revolving Credit Facility of $166.0 million and $200.0 million, respectively. The Revolving Credit Facility incurs interest at the Company’s election, at either (x) for SOFR Loans at Adjusted Term SOFR (as defined in the Credit Agreement) plus 3.25% or (y) for Base Rate Loans at the higher of the Prime Rate (each as defined in the Credit Agreement), one half of 1.00% above the Federal Funds Rate (as defined in the Credit Agreement) or the Adjusted Term SOFR for one-month interest period, after giving effect to any floor plus 1.00%, plus 2.25%.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December 3, 2021 and December 9, 2021, the Company completed a $425 million private offering ($375 million and $50 million, respectively), of its 1.00% Convertible Senior Notes due 2028 (the “2028 Convertible Notes”), resulting in net proceeds of $413.3 million ($364.7 million and $48.6 million, respectively), after deducting the original issue discount of 2.75% but before deducting initial purchasers’ discounts and offering expenses. The 2028 Convertible Notes were issued pursuant to an indenture, dated December 3, 2021, between the Company and U.S. Bank National Association, as trustee. The 2028 Convertible Notes are senior unsecured obligations of the Company and will mature on December 1, 2028, unless earlier converted, redeemed, or repurchased. Interest is payable semiannually in arrears at a rate of 1.00% per year on June 1 and December 1 of each year, beginning on June 1, 2022.</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June 27, 2025, the Company issued aggregate principal amount of $345 million of its 2.875% Convertible Senior Notes due 2031 (the “2031 Convertible Notes” and, together with the 2028 Convertible Notes, the “Convertible Notes”) in a private placement. The Company incurred $10.4 million of initial purchasers’ discounts and offering expenses, resulting in net proceeds of $334.6 million. The 2031 Convertible Notes were issued pursuant to an indenture, dated June 27, 2025, between the Company and U.S. Bank Trust Company, National Association, as trustee (the “2031 Indenture”). 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used approximately $78.4 million of the proceeds from the 2031 Convertible Notes to repurchase $100.0 million aggregate principal amount of the 2028 Convertible Notes. The repurchased 2028 Convertible Notes had a net carrying value of $98.5 million, inclusive of unamortized debt discount, resulting in a gain on extinguishment of debt of approximately $20.1 million. This gain is recorded in Gain on extinguishment of debts, net in the Company’s condensed consolidated statements of operations.</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As of June 30, 2025 and December 31, 2024, the principal balance of the 2028 Convertible Notes was $325.0 million and $425.0 million, respectively, with unamortized discount and issuance costs of $5.0 million and $7.5 million, respectively, for a net carrying amount of $320.0 million and $417.5 million, respectively. As of June 30, 2025, the principal balance of the 2031 Convertible Notes was $345.0 million with unamortized issuance costs of $10.4 million, for a net carrying amount of $334.6 million.</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Neither the 2028 Convertible Notes nor the 2031 Convertible Notes were convertible during the three and six months ended June 30, 2025, and none have been converted to date. As the average market price of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Company’s common stock has not exceeded the applicable conversion prices, there was no dilutive impact from either series of Convertible Notes for the three and six months ended June 30, 2025.</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any time prior to the close of business on the business day immediately preceding April 1, 2031, the 2031 Convertible Notes are convertible at the option of the holders only under the following circumstances: (1) during any calendar quarter commencing after the calendar quarter ending on September 30, 2025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then in effect on each applicable trading day; (2) during the five business day period after any ten consecutive trading day period (the “measurement period”) in which the trading price per $1,000 principal amount of the 2031 Convertible Notes for each trading day of the measurement period was less than 98% of the product of the last reported sale price of the Company’s common stock and the conversion rate for the 2031 Convertible Notes on each such trading day; (3) if the Company calls such 2031 Convertible Notes for redemption, at any time prior to the close of business on the second scheduled trading day immediately preceding the redemption date, but only with respect to the 2031 Convertible Notes called (or deemed called) for redemption; or (4) upon the occurrence of specified corporate events as described in the Indenture. On or after April 1, 2031, until the close of business on the second scheduled trading day immediately preceding the maturity date, holders of the 2031 Convertible Notes may convert all or any portion of their 2031 Convertible Notes at any time regardless of the foregoing circumstances. Upon conversion of the 2031 Convertible Notes, the Company will pay cash up to the aggregate principal amount of the 2031 Convertible Notes to be converted and pay or deliver, as the case may be, cash, shares of the Company’s common stock or a combination of cash and shares of the Company’s common stock, at the Company’s election, in respect of the remainder, if any, of the Company’s conversion obligation in excess of the aggregate principal amount of the 2031 Convertible Notes being converte</w:t>
      </w:r>
      <w:r>
        <w:rPr>
          <w:rFonts w:ascii="Times New Roman" w:cs="Times New Roman" w:eastAsia="Times New Roman" w:hAnsi="Times New Roman"/>
          <w:sz w:val="21"/>
          <w:szCs w:val="21"/>
          <w:color w:val="auto"/>
        </w:rPr>
        <w:t>d</w:t>
      </w:r>
      <w:r>
        <w:rPr>
          <w:rFonts w:ascii="Arial" w:cs="Arial" w:eastAsia="Arial" w:hAnsi="Arial"/>
          <w:sz w:val="20"/>
          <w:szCs w:val="20"/>
          <w:color w:val="auto"/>
        </w:rPr>
        <w:t>.</w:t>
      </w:r>
    </w:p>
    <w:p>
      <w:pPr>
        <w:spacing w:after="0" w:line="2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T</w:t>
      </w:r>
      <w:r>
        <w:rPr>
          <w:rFonts w:ascii="Arial" w:cs="Arial" w:eastAsia="Arial" w:hAnsi="Arial"/>
          <w:sz w:val="19"/>
          <w:szCs w:val="19"/>
          <w:color w:val="auto"/>
        </w:rPr>
        <w:t>he Company may redeem (an “Optional Redemption”) for cash all or any portion of the 2031 Convertible Notes, at its option,</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on or after July 6, 2029,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2031 Convertible Notes to be redeemed, plus accrued and unpaid interest to, but excluding, the redemption date. If the Company redeems less than all the outstanding 2031 Convertible Notes, at least $100 million aggregate principal amount of 2031 Convertible Notes must be outstanding and not subject to redemption as of the date of the relevant notice of redemption. No sinking fund is provided for the 2031 Convertible Notes.</w:t>
      </w: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conversion rate for the 2028 Convertible Notes was initially, and remains currently, 41.9054 shares of the Company’s common stock per $1,000 principal amount, which is equivalent to an initial conversion price of approximately $23.86 per share, or 10.1 million shares of common stock. The conversion rate for the 2031 Convertible Notes was initially 123.1262 shares per $1,000 principal amount, equivalent to a conversion price of approximately $8.12 per share of common stock. The conversion rate for the Convertible Notes is subject to adjustment under certain circumstances in accordance with the terms of each of the Indentures. In addition, following certain corporate events that occur prior to the maturity date of the 2031 Convertible Notes or if the Company delivers a notice of redemption in respect of the 2031 Convertible Notes, the Company will, under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certain circumstances, increase the conversion rate of the 2031 Convertible Notes for a holder who elects to convert its 2031 Convertible Notes (or any portion thereof) in connection with such a corporate event or convert its 2031 Convertible Notes called (or deemed called) for redemption during the related Redemption Period (as defined in the 2031 Indenture), as the case may be.</w:t>
      </w:r>
    </w:p>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If the Company undergoes a Fundamental Change (as defined in the 2031 Indenture), holders may require, subject to certain conditions and exceptions, the Company to repurchase for cash all or any portion of their 2031 Convertible Notes at a Fundamental Change Repurchase Price (as defined in the Indenture) equal to 100% of the principal amount of the 2031 Convertible Notes to be repurchased, plus accrued and unpaid interest, to, but excluding, the Fundamental Change Repurchase Date (as defined in the 2031 Indenture).</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Indenture includes customary covenants and sets forth certain events of default after which the 2031 Convertible Notes may be declared immediately due and payable and sets forth certain types of bankruptcy or insolvency events of default involving the Company or certain of its subsidiaries after which the 2031 Convertible Notes become automatically due and payable.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Capped Calls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connection with the issuances of the Convertible Notes, the Company entered into separate capped call transactions with certain financial institutions. The capped calls are designed to reduce potential dilution to the Company’s common stockholders upon conversion of the related series of Convertible Notes and/or offset any cash payments the Company may be required to make in excess of the principal amount of the 2028 Convertible Notes or 2031 Convertible Notes, as applicable.</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connection with the issuance of the 2028 Convertible Notes, the Company paid $52.9 million to enter into capped calls (the “2028 Capped Calls”). These instruments cover approximately 17.8 million shares of common stock, with an initial strike price of $23.86 and a cap price of $36.02 per share, subject to customary anti-dilution adjustments. These instruments are scheduled to expire on December 1, 2028. In connection with the early extinguishment of a portion of the 2028 Convertible Notes, none of the 2028 Capped Calls were settled, and the Company has not unwound, terminated, or otherwise adjusted any portion of these instruments.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connection with the issuance of the 2031 Convertible Notes, the Company paid $35.1 million to enter into the capped calls (the “2031 Capped Calls”). These instruments cover approximately 42.5 million shares of common stock, with an initial strike price of $8.12 and a cap price of $12.74 per share, subject to anti-dilution adjustments. These instruments are scheduled to expire on July 1, 2031. The net effect of the 2031 Capped Calls raises the conversion price on the 2031 Convertible Notes from $8.12 to $12.74. However, the 2031 Capped Calls are separate transactions from the 2031 Convertible Notes and do not affect the terms of the 2031 Convertible Notes nor the rights of the note holders. Upon conversion of the 2031 Convertible Notes, the 2031 Capped Calls are expected to reduce potential dilution by delivering shares of the Company’s common stock (or, at the Company’s election and subject to certain conditions, the cash equivalent value) to the Company.</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Together, the 2028 Capped Calls and the 2031 Capped Calls are collectively referred to herein as the “Capped Calls”. At issuance of each of the Capped Calls, the Company concluded that the Capped Calls met the criteria for equity classification because they are indexed to the Company’s common stock and the Company has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discretion to settle the Capped Calls in shares or cash. As a result, the amount paid for the Capped Calls was recorded as a reduction to Additional paid-in capital.</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made a tax election to integrate the 2031 Convertible Notes and the 2031 Capped Calls. The accounting impact of this tax election makes the 2031 Capped Calls deductible as original issue discount interest for tax purposes over the term of the note, and as a result, the Company established a Deferred income tax asset of $8.6 million at inception, with an offsetting adjustment to Additional paid-in capital on the consolidated balance sheets as of June 30, 2025.</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If the Convertible Notes are converted, the number of shares to be issued by the Company would be effectively partially offset by the shares of common stock received by the Company under the Capped Calls, thereby mitigating dilution. The Capped Calls are subject to termination or adjustment upon the occurrence of certain events, including mergers, tender offers, nationalization, insolvency, delisting of the Company’s common stock, events of default, changes in law, failure to deliver, stock splits, combinations, dividends, repurchases, or early conversion of the Convertible Notes.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Other debt consists of the debt obligations of STI Operations (“Other Debt”). Interest rates on Other Debt are based on SOFR or EURIBOR plus a spread and range from 2.4% to 6.1% annually. Of the $39.3 million carrying value of the Other Debt balance as of June 30, 2025, $19.4 million is denominated in Euros and $19.9 million is denominated in U.S. dollar. These debt obligations mature between 2025 and 2027.</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At June 30, 2025, STI Operations had three notes payable with a carrying value of $19.1 million outstanding, which resulted from reverse factoring arrangements with a bank. The notes payable mature within a year from issuance and are included in the carrying value of Other Debt of $39.3 million.</w:t>
      </w:r>
    </w:p>
    <w:p>
      <w:pPr>
        <w:spacing w:after="0" w:line="190"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entered into a Securities Purchase Agreement, dated August 10, 2021, pursuant to which the Company issued 400,000 shares of its Series A Redeemable Perpetual Preferred Stock (the “Series A Shares”) and 9,000,000 shares of the Company’s common stock for an aggregate purchase price of approximately $395.4 million (the “Initial Closing”). The Series A Shares have no maturity date.</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classified the Series A Shares as temporary equity and is accreting the carrying amount to its full redemption amount from the date of issuance to the earliest redemption date, which is August 10, 2026, using the effective interest method. Such accretion totaled $ 7.4 million and $6.8 million for the three months ended June 30, 2025 and 2024, respectively, and $14.6 million and $13.5 million for the six months ended June 30, 2025 and 2024,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(each as defined below) of 6.25%, or (iii) a combination thereof. Following the fifth anniversary of the Initial Closing, dividends on the Series A Shares are payable only in cash. To the extent the Company does not declare such dividends and pay in cash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volume-weighted average share price of the Company’s common stock.</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used herein, “Liquidation Preference” means, with respect to the Series A Shares, the initial liquidation preference of $1,000 per share, plus accrued dividends of such share at the time of the determination.</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three months ended June 30, 2025 and 2024, the Company accrued dividends on the Series A Shares at the Accrued Regular Dividend rate of 6.25%, totaling $7.4 million and $6.9 million, respectively. During the six months ended June 30, 2025 and 2024, such dividends totaled $14.6 million and $13.8 million, respectively. As of June 30, 2025 and December 31, 2024, total accrued and unpaid dividends were $75.5 million and $60.9 million, respectively.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w:t>
      </w:r>
    </w:p>
    <w:p>
      <w:pPr>
        <w:spacing w:after="0" w:line="202"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72" w:lineRule="exact"/>
        <w:rPr>
          <w:sz w:val="20"/>
          <w:szCs w:val="20"/>
          <w:color w:val="auto"/>
        </w:rPr>
      </w:pPr>
    </w:p>
    <w:p>
      <w:pPr>
        <w:jc w:val="both"/>
        <w:ind w:right="20"/>
        <w:spacing w:after="0" w:line="266" w:lineRule="auto"/>
        <w:rPr>
          <w:sz w:val="20"/>
          <w:szCs w:val="20"/>
          <w:color w:val="auto"/>
        </w:rPr>
      </w:pPr>
      <w:r>
        <w:rPr>
          <w:rFonts w:ascii="Arial" w:cs="Arial" w:eastAsia="Arial" w:hAnsi="Arial"/>
          <w:sz w:val="20"/>
          <w:szCs w:val="20"/>
          <w:color w:val="auto"/>
        </w:rPr>
        <w:t>The Company disaggregates its revenue from contracts with customers by sales recorded over time and sales recorded at a point in time. The following table presents the Company’s disaggregated revenues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300" w:type="dxa"/>
            <w:vAlign w:val="bottom"/>
            <w:gridSpan w:val="5"/>
          </w:tcPr>
          <w:p>
            <w:pPr>
              <w:ind w:left="100"/>
              <w:spacing w:after="0"/>
              <w:rPr>
                <w:sz w:val="20"/>
                <w:szCs w:val="20"/>
                <w:color w:val="auto"/>
              </w:rPr>
            </w:pPr>
            <w:r>
              <w:rPr>
                <w:rFonts w:ascii="Arial" w:cs="Arial" w:eastAsia="Arial" w:hAnsi="Arial"/>
                <w:sz w:val="20"/>
                <w:szCs w:val="20"/>
                <w:b w:val="1"/>
                <w:bCs w:val="1"/>
                <w:color w:val="auto"/>
              </w:rPr>
              <w:t>Three Months Ended June 30,</w:t>
            </w:r>
          </w:p>
        </w:tc>
        <w:tc>
          <w:tcPr>
            <w:tcW w:w="260" w:type="dxa"/>
            <w:vAlign w:val="bottom"/>
          </w:tcPr>
          <w:p>
            <w:pPr>
              <w:spacing w:after="0"/>
              <w:rPr>
                <w:sz w:val="23"/>
                <w:szCs w:val="23"/>
                <w:color w:val="auto"/>
              </w:rPr>
            </w:pPr>
          </w:p>
        </w:tc>
        <w:tc>
          <w:tcPr>
            <w:tcW w:w="3160" w:type="dxa"/>
            <w:vAlign w:val="bottom"/>
            <w:gridSpan w:val="4"/>
          </w:tcPr>
          <w:p>
            <w:pPr>
              <w:jc w:val="right"/>
              <w:ind w:right="341"/>
              <w:spacing w:after="0"/>
              <w:rPr>
                <w:sz w:val="20"/>
                <w:szCs w:val="20"/>
                <w:color w:val="auto"/>
              </w:rPr>
            </w:pPr>
            <w:r>
              <w:rPr>
                <w:rFonts w:ascii="Arial" w:cs="Arial" w:eastAsia="Arial" w:hAnsi="Arial"/>
                <w:sz w:val="20"/>
                <w:szCs w:val="20"/>
                <w:b w:val="1"/>
                <w:bCs w:val="1"/>
                <w:color w:val="auto"/>
              </w:rPr>
              <w:t>Six Months Ended June 30,</w:t>
            </w:r>
          </w:p>
        </w:tc>
      </w:tr>
      <w:tr>
        <w:trPr>
          <w:trHeight w:val="263"/>
        </w:trPr>
        <w:tc>
          <w:tcPr>
            <w:tcW w:w="43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7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322,545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242424"/>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242424"/>
              </w:rPr>
              <w:t>209,598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584,167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333,934</w:t>
            </w:r>
          </w:p>
        </w:tc>
      </w:tr>
      <w:tr>
        <w:trPr>
          <w:trHeight w:val="27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39,698</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242424"/>
              </w:rPr>
              <w:t>46,168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80,439</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75,235</w:t>
            </w:r>
          </w:p>
        </w:tc>
      </w:tr>
      <w:tr>
        <w:trPr>
          <w:trHeight w:val="302"/>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362,243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242424"/>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242424"/>
              </w:rPr>
              <w:t>255,766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664,606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409,169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with agreed-upon contractual terms, which generally coincide with the shipment of one or more phases of the project. For certain customer contracts, billing can occur in advance of shipment, resulting in contract liabilities. Billing sometimes occurs subsequent to revenue recognition, resulting in contract assets. The changes in contract assets and the corresponding amounts recorded in Revenue relate to fluctuations in the timing and volume of billings.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Contract assets consisting of unbilled receivables are recorded within Accounts receivable, net on the condensed consolidated balance sheets on a contract-by-contract basis at the end of the reporting period and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7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3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110,435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94,045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recorded within Deferred revenue, relate to advanced orders and payments received by the Company.</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Contract liabilities are recorded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3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151,758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six months ended June 30, 2025, the Company converted $ 86.2 million in Deferred revenue to Revenue, which represented 72% of the prior year’s Deferred revenue balance. Included in Deferred revenue as of December 31, 2024 are cash advances for signed contracts that begin several months subsequent to receiving the advance. In addition, Deferred revenue includes paid extended warranty, which can be recognized upon expiration of the warranty.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did not recognize any revenue from bill-and-hold arrangements during the six months ended June 30, 2025. During the six months ended June 30, 2024, the Company recognized $1.9 million in revenue from one customer under such arrangements.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21" w:lineRule="exact"/>
        <w:rPr>
          <w:sz w:val="20"/>
          <w:szCs w:val="20"/>
          <w:color w:val="auto"/>
        </w:rPr>
      </w:pPr>
    </w:p>
    <w:p>
      <w:pPr>
        <w:ind w:right="20"/>
        <w:spacing w:after="0" w:line="300" w:lineRule="auto"/>
        <w:rPr>
          <w:sz w:val="20"/>
          <w:szCs w:val="20"/>
          <w:color w:val="auto"/>
        </w:rPr>
      </w:pPr>
      <w:r>
        <w:rPr>
          <w:rFonts w:ascii="Arial" w:cs="Arial" w:eastAsia="Arial" w:hAnsi="Arial"/>
          <w:sz w:val="20"/>
          <w:szCs w:val="20"/>
          <w:color w:val="auto"/>
        </w:rPr>
        <w:t>As of June 30, 2025, the Company had $644.5 million of remaining performance obligations. The Company expects to recognize revenue on 97% of these performance obligations in the next twelve months.</w:t>
      </w:r>
    </w:p>
    <w:p>
      <w:pPr>
        <w:spacing w:after="0" w:line="16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computation of basic and diluted income per share (in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20"/>
                <w:szCs w:val="20"/>
                <w:b w:val="1"/>
                <w:bCs w:val="1"/>
                <w:color w:val="auto"/>
              </w:rPr>
              <w:t>Three Months Ended June 30,</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160" w:type="dxa"/>
            <w:vAlign w:val="bottom"/>
            <w:tcBorders>
              <w:bottom w:val="single" w:sz="8" w:color="auto"/>
            </w:tcBorders>
            <w:gridSpan w:val="5"/>
          </w:tcPr>
          <w:p>
            <w:pPr>
              <w:jc w:val="right"/>
              <w:ind w:right="341"/>
              <w:spacing w:after="0"/>
              <w:rPr>
                <w:sz w:val="20"/>
                <w:szCs w:val="20"/>
                <w:color w:val="auto"/>
              </w:rPr>
            </w:pPr>
            <w:r>
              <w:rPr>
                <w:rFonts w:ascii="Arial" w:cs="Arial" w:eastAsia="Arial" w:hAnsi="Arial"/>
                <w:sz w:val="20"/>
                <w:szCs w:val="20"/>
                <w:b w:val="1"/>
                <w:bCs w:val="1"/>
                <w:color w:val="auto"/>
              </w:rPr>
              <w:t>Six Months Ended June 30,</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63"/>
        </w:trPr>
        <w:tc>
          <w:tcPr>
            <w:tcW w:w="4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43,262</w:t>
            </w:r>
          </w:p>
        </w:tc>
        <w:tc>
          <w:tcPr>
            <w:tcW w:w="46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25,698</w:t>
            </w:r>
          </w:p>
        </w:tc>
        <w:tc>
          <w:tcPr>
            <w:tcW w:w="360" w:type="dxa"/>
            <w:vAlign w:val="bottom"/>
            <w:gridSpan w:val="2"/>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60,008</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27,863</w:t>
            </w: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preferred dividends and accretion</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14,788</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13,749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29,231</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27,251</w:t>
            </w:r>
          </w:p>
        </w:tc>
        <w:tc>
          <w:tcPr>
            <w:tcW w:w="0" w:type="dxa"/>
            <w:vAlign w:val="bottom"/>
          </w:tcPr>
          <w:p>
            <w:pPr>
              <w:spacing w:after="0"/>
              <w:rPr>
                <w:sz w:val="1"/>
                <w:szCs w:val="1"/>
                <w:color w:val="auto"/>
              </w:rPr>
            </w:pPr>
          </w:p>
        </w:tc>
      </w:tr>
      <w:tr>
        <w:trPr>
          <w:trHeight w:val="27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to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28,474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11,949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30,777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152,584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151,797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152,331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151,574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100" w:type="dxa"/>
            <w:vAlign w:val="bottom"/>
          </w:tcPr>
          <w:p>
            <w:pPr>
              <w:ind w:left="300"/>
              <w:spacing w:after="0"/>
              <w:rPr>
                <w:sz w:val="20"/>
                <w:szCs w:val="20"/>
                <w:color w:val="auto"/>
              </w:rPr>
            </w:pPr>
            <w:r>
              <w:rPr>
                <w:rFonts w:ascii="Arial" w:cs="Arial" w:eastAsia="Arial" w:hAnsi="Arial"/>
                <w:sz w:val="20"/>
                <w:szCs w:val="20"/>
                <w:color w:val="auto"/>
              </w:rPr>
              <w:t>Income per share</w:t>
            </w:r>
          </w:p>
        </w:tc>
        <w:tc>
          <w:tcPr>
            <w:tcW w:w="40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0.19</w:t>
            </w:r>
          </w:p>
        </w:tc>
        <w:tc>
          <w:tcPr>
            <w:tcW w:w="4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0.08</w:t>
            </w:r>
          </w:p>
        </w:tc>
        <w:tc>
          <w:tcPr>
            <w:tcW w:w="3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0.20</w:t>
            </w:r>
          </w:p>
        </w:tc>
        <w:tc>
          <w:tcPr>
            <w:tcW w:w="80" w:type="dxa"/>
            <w:vAlign w:val="bottom"/>
          </w:tcPr>
          <w:p>
            <w:pPr>
              <w:spacing w:after="0"/>
              <w:rPr>
                <w:sz w:val="22"/>
                <w:szCs w:val="22"/>
                <w:color w:val="auto"/>
              </w:rPr>
            </w:pPr>
          </w:p>
        </w:tc>
        <w:tc>
          <w:tcPr>
            <w:tcW w:w="360" w:type="dxa"/>
            <w:vAlign w:val="bottom"/>
            <w:gridSpan w:val="2"/>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00" w:type="dxa"/>
            <w:vAlign w:val="bottom"/>
          </w:tcPr>
          <w:p>
            <w:pPr>
              <w:ind w:left="240"/>
              <w:spacing w:after="0"/>
              <w:rPr>
                <w:sz w:val="20"/>
                <w:szCs w:val="20"/>
                <w:color w:val="auto"/>
              </w:rPr>
            </w:pPr>
            <w:r>
              <w:rPr>
                <w:rFonts w:ascii="Arial" w:cs="Arial" w:eastAsia="Arial" w:hAnsi="Arial"/>
                <w:sz w:val="20"/>
                <w:szCs w:val="20"/>
                <w:color w:val="auto"/>
              </w:rPr>
              <w:t>Effect of restricted stock and performance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100" w:type="dxa"/>
            <w:vAlign w:val="bottom"/>
          </w:tcPr>
          <w:p>
            <w:pPr>
              <w:ind w:left="240"/>
              <w:spacing w:after="0"/>
              <w:rPr>
                <w:sz w:val="20"/>
                <w:szCs w:val="20"/>
                <w:color w:val="auto"/>
              </w:rPr>
            </w:pPr>
            <w:r>
              <w:rPr>
                <w:rFonts w:ascii="Arial" w:cs="Arial" w:eastAsia="Arial" w:hAnsi="Arial"/>
                <w:sz w:val="20"/>
                <w:szCs w:val="20"/>
                <w:color w:val="auto"/>
              </w:rPr>
              <w:t>awards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484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627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596</w:t>
            </w:r>
          </w:p>
        </w:tc>
        <w:tc>
          <w:tcPr>
            <w:tcW w:w="0" w:type="dxa"/>
            <w:vAlign w:val="bottom"/>
          </w:tcPr>
          <w:p>
            <w:pPr>
              <w:spacing w:after="0"/>
              <w:rPr>
                <w:sz w:val="1"/>
                <w:szCs w:val="1"/>
                <w:color w:val="auto"/>
              </w:rPr>
            </w:pPr>
          </w:p>
        </w:tc>
      </w:tr>
      <w:tr>
        <w:trPr>
          <w:trHeight w:val="283"/>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153,068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152,207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152,958</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152,170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100" w:type="dxa"/>
            <w:vAlign w:val="bottom"/>
          </w:tcPr>
          <w:p>
            <w:pPr>
              <w:ind w:left="240"/>
              <w:spacing w:after="0"/>
              <w:rPr>
                <w:sz w:val="20"/>
                <w:szCs w:val="20"/>
                <w:color w:val="auto"/>
              </w:rPr>
            </w:pPr>
            <w:r>
              <w:rPr>
                <w:rFonts w:ascii="Arial" w:cs="Arial" w:eastAsia="Arial" w:hAnsi="Arial"/>
                <w:sz w:val="20"/>
                <w:szCs w:val="20"/>
                <w:color w:val="auto"/>
              </w:rPr>
              <w:t>Income per share</w:t>
            </w:r>
          </w:p>
        </w:tc>
        <w:tc>
          <w:tcPr>
            <w:tcW w:w="40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0.19</w:t>
            </w:r>
          </w:p>
        </w:tc>
        <w:tc>
          <w:tcPr>
            <w:tcW w:w="4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0.08</w:t>
            </w:r>
          </w:p>
        </w:tc>
        <w:tc>
          <w:tcPr>
            <w:tcW w:w="3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0.20</w:t>
            </w:r>
          </w:p>
        </w:tc>
        <w:tc>
          <w:tcPr>
            <w:tcW w:w="80" w:type="dxa"/>
            <w:vAlign w:val="bottom"/>
          </w:tcPr>
          <w:p>
            <w:pPr>
              <w:spacing w:after="0"/>
              <w:rPr>
                <w:sz w:val="22"/>
                <w:szCs w:val="22"/>
                <w:color w:val="auto"/>
              </w:rPr>
            </w:pPr>
          </w:p>
        </w:tc>
        <w:tc>
          <w:tcPr>
            <w:tcW w:w="360" w:type="dxa"/>
            <w:vAlign w:val="bottom"/>
            <w:gridSpan w:val="2"/>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Potentially dilutive common shares issuable pursuant to equity-based awards of 1,467,345 and 1,242,226 were excluded from the computation of diluted earnings per share for the three and six months ended June 30, 2025, respectively, as their effect would have been antidilutive. For the three and six months ended June 30, 2024, shares of 479,623 and 473,074 were also excluded for the same reason.</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In addition, there were no potentially dilutive common shares issuable pursuant to the Convertible Notes for both the six months ended June 30, 2025 and 2024, as the average market price of the Company’s common stock did not exceed the applicable conversion price during those periods.</w:t>
      </w:r>
    </w:p>
    <w:p>
      <w:pPr>
        <w:spacing w:after="0" w:line="19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May 14, 2021, a putative class action (the “Plymouth Action”) was filed in the U.S. District Court for the Southern District of New York against the Company and certain officers and directors alleging violations of Sections 10(b) and 20(a) of the Securities Exchange Act of 1934, as amended (the “Exchange Act”), and Rule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10b-5, promulgated thereunder, and Sections 11, 12(a)(2) and 15 of the Securities Act of 1933, as amended (the “Securities Act”). The complaint alleges misstatements and/or omissions in the Company’s registration statements and prospectuses related to the Company’s October 2020 initial public offering, the Company’s December 2020 offering, and the Company’s March 2021 offering during the putative class period of October 14, 2020 through May 11, 2021. A consolidated amended class action complaint was filed on December 7, 2021 with additional allegations regarding misstatements and/or omissions in: (1) in the Company’s Annual Report on Form 10-K and associated press release announcing results for the fourth quarter and full fiscal year 2020; and (2) in the Company’s November 5, 2020 and March 9, 2021 earnings calls.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June 30, 2021, a substantially similar second putative class action was filed in the Southern District of New York against the Company and certain officers and directors alleging violations of Sections 10(b) and 20(a) of the Exchange Act, and Rule 10b-5, promulgated thereunder, and Sections 11 and 15 of the Securities Act, which was consolidated with the Plymouth Action.</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 to the U.S. Court of Appeals for the Second Circuit. After full briefing, the court of appeals heard oral argument on June 26, 2024 and the case is still pending decision by the court.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The complaint alleges: (1) violations of Section 14(a) of the Exchange Act for misleading proxy statements, (2) breach of fiduciary duty, (3) unjust enrichment, (4) abuse of control, (5) gross mismanagement, (6) corporate waste, (7) aiding and abetting breach of fiduciary duty, and (8) contribution under sections 10(b) and 21D of the Exchange Act.</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July 30, 2021, a second verified derivative complaint was filed in the Southern District of New York against certain officers and directors of the Company. The complaint alleges: (1) violations of Section 14(a) of the Exchange Act for causing the issuance of a false/misleading proxy statement, (2) breach of fiduciary duty, and (3) aiding and abetting breaches of fiduciary duty.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August 24, 2021, the Southern District of New York derivative actions were consolidated, and the court appointed co-lead counsel. The consolidated cases remain stayed pending the outcome of the appeal of the Plymouth Action.</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against certain officers and directors of the Company, asserting claims for: (1) breach of fiduciary duty and (2) unjust enrichment.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11, 2022, a second verified derivative complaint was filed with the Court of Chancery against certain officers and directors of the Company, asserting claims for: (1) breach of fiduciary duty; (2) aiding and abetting breaches of fiduciary duty; (3) waste of corporate assets; (4) unjust enrichment; (5) insider selling; and (6) aiding and abetting insider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September 2, 2022, the derivative cases with the Court of Chancery were consolidated and the court appointed co-lead counsel. The consolidated cases remain stayed pending the outcome of the appeal of the Plymouth Action.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continues to believe the claims alleged in the actions are without merit and intends to continue to vigorously defend its position in these matters. The Company has not recorded any material loss contingency in the condensed consolidated balance sheets as of June 30, 2025.</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(ASC 450). Legal costs are expensed as incurred. It is possible that future results for any particular quarter or annual period may be materially affected by changes in our assumption or the effectiveness of the Company’s strategies relating to these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Supplier Settlement</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During March 2024, the Company reached a settlement with one of its vendors, in which the Company received $4.0 million in the form of a one-time $ 2.6 million cash payment due immediately, and $1.4 million in credits with the vendor which could be applied by the Company to future orders from the respective vendor. If the Company does not utilize all of the credits by January 2026, it will receive a one-time cash payment from the vendor for the remaining unused credit balance. During the first quarter of 2024, the Company recognized a $4.0 million reduction to cost of revenue on the condensed consolidated statements of operations and had a receivable of $4.0 million included in Prepaid and other expenses, net on the condensed consolidated balance sheets. Subsequent to December 31, 2024, the Company has collected the remaining outstanding amount.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the Company’s operating subsidiary, Array Tech, Inc. (f/k/a Array Technologies, Inc.), entered into a tax receivable agreement (the “TRA”) with the former majority shareholder of Array Tech, Inc.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June 30, 2025 and December 31, 2024, the fair value of the TRA was $7.9 million and $9.1 million, respectively.</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TRA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300" w:type="dxa"/>
            <w:vAlign w:val="bottom"/>
          </w:tcPr>
          <w:p>
            <w:pPr>
              <w:spacing w:after="0"/>
              <w:rPr>
                <w:sz w:val="23"/>
                <w:szCs w:val="23"/>
                <w:color w:val="auto"/>
              </w:rPr>
            </w:pPr>
          </w:p>
        </w:tc>
        <w:tc>
          <w:tcPr>
            <w:tcW w:w="3520" w:type="dxa"/>
            <w:vAlign w:val="bottom"/>
            <w:gridSpan w:val="6"/>
          </w:tcPr>
          <w:p>
            <w:pPr>
              <w:ind w:left="320"/>
              <w:spacing w:after="0"/>
              <w:rPr>
                <w:sz w:val="20"/>
                <w:szCs w:val="20"/>
                <w:color w:val="auto"/>
              </w:rPr>
            </w:pPr>
            <w:r>
              <w:rPr>
                <w:rFonts w:ascii="Arial" w:cs="Arial" w:eastAsia="Arial" w:hAnsi="Arial"/>
                <w:sz w:val="20"/>
                <w:szCs w:val="20"/>
                <w:b w:val="1"/>
                <w:bCs w:val="1"/>
                <w:color w:val="auto"/>
              </w:rPr>
              <w:t>Three Months Ended June 30,</w:t>
            </w:r>
          </w:p>
        </w:tc>
        <w:tc>
          <w:tcPr>
            <w:tcW w:w="260" w:type="dxa"/>
            <w:vAlign w:val="bottom"/>
          </w:tcPr>
          <w:p>
            <w:pPr>
              <w:spacing w:after="0"/>
              <w:rPr>
                <w:sz w:val="23"/>
                <w:szCs w:val="23"/>
                <w:color w:val="auto"/>
              </w:rPr>
            </w:pPr>
          </w:p>
        </w:tc>
        <w:tc>
          <w:tcPr>
            <w:tcW w:w="3160" w:type="dxa"/>
            <w:vAlign w:val="bottom"/>
            <w:gridSpan w:val="4"/>
          </w:tcPr>
          <w:p>
            <w:pPr>
              <w:jc w:val="right"/>
              <w:ind w:right="341"/>
              <w:spacing w:after="0"/>
              <w:rPr>
                <w:sz w:val="20"/>
                <w:szCs w:val="20"/>
                <w:color w:val="auto"/>
              </w:rPr>
            </w:pPr>
            <w:r>
              <w:rPr>
                <w:rFonts w:ascii="Arial" w:cs="Arial" w:eastAsia="Arial" w:hAnsi="Arial"/>
                <w:sz w:val="20"/>
                <w:szCs w:val="20"/>
                <w:b w:val="1"/>
                <w:bCs w:val="1"/>
                <w:color w:val="auto"/>
              </w:rPr>
              <w:t>Six Months Ended June 30,</w:t>
            </w:r>
          </w:p>
        </w:tc>
      </w:tr>
      <w:tr>
        <w:trPr>
          <w:trHeight w:val="250"/>
        </w:trPr>
        <w:tc>
          <w:tcPr>
            <w:tcW w:w="43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6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7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080" w:type="dxa"/>
            <w:vAlign w:val="bottom"/>
            <w:shd w:val="clear" w:color="auto" w:fill="CCEEFF"/>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7,707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9,061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10,363</w:t>
            </w:r>
          </w:p>
        </w:tc>
      </w:tr>
      <w:tr>
        <w:trPr>
          <w:trHeight w:val="282"/>
        </w:trPr>
        <w:tc>
          <w:tcPr>
            <w:tcW w:w="430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0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(1,204)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(1,427)</w:t>
            </w:r>
          </w:p>
        </w:tc>
      </w:tr>
      <w:tr>
        <w:trPr>
          <w:trHeight w:val="284"/>
        </w:trPr>
        <w:tc>
          <w:tcPr>
            <w:tcW w:w="43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w:t>
            </w:r>
          </w:p>
        </w:tc>
      </w:tr>
      <w:tr>
        <w:trPr>
          <w:trHeight w:val="279"/>
        </w:trPr>
        <w:tc>
          <w:tcPr>
            <w:tcW w:w="430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08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9"/>
              </w:rPr>
              <w:t>7,857</w:t>
            </w:r>
          </w:p>
        </w:tc>
        <w:tc>
          <w:tcPr>
            <w:tcW w:w="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8,704</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7,857</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8,704</w:t>
            </w:r>
          </w:p>
        </w:tc>
      </w:tr>
      <w:tr>
        <w:trPr>
          <w:trHeight w:val="21"/>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June 30, 2025, the Company posted surety bonds in the total amount of $248.5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pacing w:after="0" w:line="19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estimated fair values of the Company’s debt financial instruments were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ind w:left="940"/>
              <w:spacing w:after="0"/>
              <w:rPr>
                <w:sz w:val="20"/>
                <w:szCs w:val="20"/>
                <w:color w:val="auto"/>
              </w:rPr>
            </w:pPr>
            <w:r>
              <w:rPr>
                <w:rFonts w:ascii="Arial" w:cs="Arial" w:eastAsia="Arial" w:hAnsi="Arial"/>
                <w:sz w:val="20"/>
                <w:szCs w:val="20"/>
                <w:b w:val="1"/>
                <w:bCs w:val="1"/>
                <w:color w:val="auto"/>
              </w:rPr>
              <w:t>June 30, 2025</w:t>
            </w:r>
          </w:p>
        </w:tc>
        <w:tc>
          <w:tcPr>
            <w:tcW w:w="140" w:type="dxa"/>
            <w:vAlign w:val="bottom"/>
          </w:tcPr>
          <w:p>
            <w:pPr>
              <w:spacing w:after="0"/>
              <w:rPr>
                <w:sz w:val="24"/>
                <w:szCs w:val="24"/>
                <w:color w:val="auto"/>
              </w:rPr>
            </w:pPr>
          </w:p>
        </w:tc>
        <w:tc>
          <w:tcPr>
            <w:tcW w:w="3320" w:type="dxa"/>
            <w:vAlign w:val="bottom"/>
            <w:gridSpan w:val="4"/>
          </w:tcPr>
          <w:p>
            <w:pPr>
              <w:jc w:val="right"/>
              <w:ind w:right="741"/>
              <w:spacing w:after="0"/>
              <w:rPr>
                <w:sz w:val="20"/>
                <w:szCs w:val="20"/>
                <w:color w:val="auto"/>
              </w:rPr>
            </w:pPr>
            <w:r>
              <w:rPr>
                <w:rFonts w:ascii="Arial" w:cs="Arial" w:eastAsia="Arial" w:hAnsi="Arial"/>
                <w:sz w:val="20"/>
                <w:szCs w:val="20"/>
                <w:b w:val="1"/>
                <w:bCs w:val="1"/>
                <w:color w:val="auto"/>
              </w:rPr>
              <w:t>December 31, 2024</w:t>
            </w:r>
          </w:p>
        </w:tc>
      </w:tr>
      <w:tr>
        <w:trPr>
          <w:trHeight w:val="253"/>
        </w:trPr>
        <w:tc>
          <w:tcPr>
            <w:tcW w:w="42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2028 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320,002</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256,792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417,525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311,525</w:t>
            </w:r>
          </w:p>
        </w:tc>
      </w:tr>
      <w:tr>
        <w:trPr>
          <w:trHeight w:val="261"/>
        </w:trPr>
        <w:tc>
          <w:tcPr>
            <w:tcW w:w="4260" w:type="dxa"/>
            <w:vAlign w:val="bottom"/>
          </w:tcPr>
          <w:p>
            <w:pPr>
              <w:ind w:left="20"/>
              <w:spacing w:after="0"/>
              <w:rPr>
                <w:sz w:val="20"/>
                <w:szCs w:val="20"/>
                <w:color w:val="auto"/>
              </w:rPr>
            </w:pPr>
            <w:r>
              <w:rPr>
                <w:rFonts w:ascii="Arial" w:cs="Arial" w:eastAsia="Arial" w:hAnsi="Arial"/>
                <w:sz w:val="20"/>
                <w:szCs w:val="20"/>
                <w:color w:val="auto"/>
              </w:rPr>
              <w:t>2031 Convertible Notes</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334,580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341,443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32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fair value of the Term Loan Facility and Other Debt is estimated using Level 2 inputs. The carrying values of the Term Loan Facility outstanding under the Senior Secured Credit Facility recorded in the condensed consolidated balance sheets approximate fair value due to the variable nature of the interest rates.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Other Debt with an aggregate carrying value of $39.3 million, consists of variable and fixed rate obligations. Due to the relative short-term maturity of the fixed rate obligations, the Company believes the carrying value approximates fair value. The carrying value of the variable rate obligations approximates fair value due to the variable nature of the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1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Pursuant to the 2020 Plan, the Company grants time-based restricted stock units (“RSUs”) to employees and members of the Company’s board of directors. The fair value of the RSUs is determined using the market value of the Company’s common stock on the grant date and is recognized on a straight-line basis over the vesting term of the awards.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RSU activity under the 2020 Plan during the six months ended June 30, 2025,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67"/>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2024</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2,648,161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10.97</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2,668,649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6.11</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(751,244)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12.53</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(210,060)</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10.49</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June 30, 2025</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4,355,506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7.74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has granted performance-based restricted stock units (“PSUs”) to certain employees. The PSUs cliff vest after three years and upon meeting certain revenue and adjusted EPS targets. The PSUs also contain a modifier based on the total stock return compared to a certain index which modifies the number of PSUs that vest. The PSUs were valued using a Monte-Carlo simulation method on the date of grant based on the U.S. Treasury Constant Maturity rates, and the assigned fair value on grant date is recognized on a straight-line basis over the vesting term of the awards. The probability of the awards meeting the performance related vested conditions is not included in the grant date fair value, but rather is estimated quarterly and the expense recognition is trued- up accordingly upon any probability to vest revision.</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following assumptions were used in the Monte Carlo simulation for computing the grant date fair value of the PSUs issued during the six months ended June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94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2025</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tcPr>
          <w:p>
            <w:pPr>
              <w:jc w:val="right"/>
              <w:ind w:right="881"/>
              <w:spacing w:after="0"/>
              <w:rPr>
                <w:sz w:val="20"/>
                <w:szCs w:val="20"/>
                <w:color w:val="auto"/>
              </w:rPr>
            </w:pPr>
            <w:r>
              <w:rPr>
                <w:rFonts w:ascii="Arial" w:cs="Arial" w:eastAsia="Arial" w:hAnsi="Arial"/>
                <w:sz w:val="20"/>
                <w:szCs w:val="20"/>
                <w:b w:val="1"/>
                <w:bCs w:val="1"/>
                <w:color w:val="auto"/>
              </w:rPr>
              <w:t>2024</w:t>
            </w:r>
          </w:p>
        </w:tc>
      </w:tr>
      <w:tr>
        <w:trPr>
          <w:trHeight w:val="277"/>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158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76 %</w:t>
            </w:r>
          </w:p>
        </w:tc>
        <w:tc>
          <w:tcPr>
            <w:tcW w:w="8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79 %</w:t>
            </w:r>
          </w:p>
        </w:tc>
      </w:tr>
      <w:tr>
        <w:trPr>
          <w:trHeight w:val="275"/>
        </w:trPr>
        <w:tc>
          <w:tcPr>
            <w:tcW w:w="7940" w:type="dxa"/>
            <w:vAlign w:val="bottom"/>
            <w:gridSpan w:val="2"/>
          </w:tcPr>
          <w:p>
            <w:pPr>
              <w:ind w:left="20"/>
              <w:spacing w:after="0"/>
              <w:rPr>
                <w:sz w:val="20"/>
                <w:szCs w:val="20"/>
                <w:color w:val="auto"/>
              </w:rPr>
            </w:pPr>
            <w:r>
              <w:rPr>
                <w:rFonts w:ascii="Arial" w:cs="Arial" w:eastAsia="Arial" w:hAnsi="Arial"/>
                <w:sz w:val="20"/>
                <w:szCs w:val="20"/>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20"/>
                <w:szCs w:val="20"/>
                <w:color w:val="auto"/>
              </w:rPr>
              <w:t>4.04 %</w:t>
            </w:r>
          </w:p>
        </w:tc>
        <w:tc>
          <w:tcPr>
            <w:tcW w:w="8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20"/>
                <w:szCs w:val="20"/>
                <w:color w:val="auto"/>
              </w:rPr>
              <w:t>4.62 %</w:t>
            </w:r>
          </w:p>
        </w:tc>
      </w:tr>
      <w:tr>
        <w:trPr>
          <w:trHeight w:val="2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PSU activity under the 2020 Plan during the six months ended June 30, 2025,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67"/>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2024</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924,241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12.76</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659,773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6.55</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(17,859)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14.19</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June 30, 2025</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1,566,155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9.46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For three months ended June 30, 2025 and 2024, the Company recognized $3.9 million and $0.8 million, respectively, in equity-based compensation costs. For six months ended June 30, 2025 and 2024, the Company recognized $6.7 million and $4.8 million, respectively, in equity-based compensation costs. These amounts include equity-based compensation related to RSUs, PSUs, and the Company’s Employee Stock Purchase Plan (“ESPP”). The ESPP, approved by the Compensation Committee in December 2021, allows employees to purchase shares at a 15% discount off the lower of the stock price at the beginning or ending of each six months offering period through payroll deductions. The plan is considered compensatory in nature and the Company began recording equity-based compensation expense in 2022.</w:t>
      </w:r>
    </w:p>
    <w:p>
      <w:pPr>
        <w:spacing w:after="0" w:line="20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At June 30, 2025, the Company had $30.1 million of unrecognized compensation costs related to RSUs and PSUs, which are expected to be recognized over 2.2 years and 2.5 years, respectively.</w:t>
      </w:r>
    </w:p>
    <w:p>
      <w:pPr>
        <w:spacing w:after="0" w:line="15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information consists of the following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80" w:type="dxa"/>
            <w:vAlign w:val="bottom"/>
            <w:gridSpan w:val="5"/>
          </w:tcPr>
          <w:p>
            <w:pPr>
              <w:ind w:left="80"/>
              <w:spacing w:after="0"/>
              <w:rPr>
                <w:sz w:val="20"/>
                <w:szCs w:val="20"/>
                <w:color w:val="auto"/>
              </w:rPr>
            </w:pPr>
            <w:r>
              <w:rPr>
                <w:rFonts w:ascii="Arial" w:cs="Arial" w:eastAsia="Arial" w:hAnsi="Arial"/>
                <w:sz w:val="20"/>
                <w:szCs w:val="20"/>
                <w:b w:val="1"/>
                <w:bCs w:val="1"/>
                <w:color w:val="auto"/>
              </w:rPr>
              <w:t>Three Months Ended June 30,</w:t>
            </w:r>
          </w:p>
        </w:tc>
        <w:tc>
          <w:tcPr>
            <w:tcW w:w="300" w:type="dxa"/>
            <w:vAlign w:val="bottom"/>
          </w:tcPr>
          <w:p>
            <w:pPr>
              <w:spacing w:after="0"/>
              <w:rPr>
                <w:sz w:val="23"/>
                <w:szCs w:val="23"/>
                <w:color w:val="auto"/>
              </w:rPr>
            </w:pPr>
          </w:p>
        </w:tc>
        <w:tc>
          <w:tcPr>
            <w:tcW w:w="3160" w:type="dxa"/>
            <w:vAlign w:val="bottom"/>
            <w:gridSpan w:val="4"/>
          </w:tcPr>
          <w:p>
            <w:pPr>
              <w:jc w:val="right"/>
              <w:ind w:right="341"/>
              <w:spacing w:after="0"/>
              <w:rPr>
                <w:sz w:val="20"/>
                <w:szCs w:val="20"/>
                <w:color w:val="auto"/>
              </w:rPr>
            </w:pPr>
            <w:r>
              <w:rPr>
                <w:rFonts w:ascii="Arial" w:cs="Arial" w:eastAsia="Arial" w:hAnsi="Arial"/>
                <w:sz w:val="20"/>
                <w:szCs w:val="20"/>
                <w:b w:val="1"/>
                <w:bCs w:val="1"/>
                <w:color w:val="auto"/>
              </w:rPr>
              <w:t>Six Months Ended June 30,</w:t>
            </w:r>
          </w:p>
        </w:tc>
      </w:tr>
      <w:tr>
        <w:trPr>
          <w:trHeight w:val="250"/>
        </w:trPr>
        <w:tc>
          <w:tcPr>
            <w:tcW w:w="4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2024</w:t>
            </w:r>
          </w:p>
        </w:tc>
      </w:tr>
      <w:tr>
        <w:trPr>
          <w:trHeight w:val="263"/>
        </w:trPr>
        <w:tc>
          <w:tcPr>
            <w:tcW w:w="428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Cash paid for interest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9,370</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6,519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16,191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17,819</w:t>
            </w:r>
          </w:p>
        </w:tc>
      </w:tr>
      <w:tr>
        <w:trPr>
          <w:trHeight w:val="282"/>
        </w:trPr>
        <w:tc>
          <w:tcPr>
            <w:tcW w:w="4280" w:type="dxa"/>
            <w:vAlign w:val="bottom"/>
          </w:tcPr>
          <w:p>
            <w:pPr>
              <w:ind w:left="260"/>
              <w:spacing w:after="0"/>
              <w:rPr>
                <w:sz w:val="20"/>
                <w:szCs w:val="20"/>
                <w:color w:val="auto"/>
              </w:rPr>
            </w:pPr>
            <w:r>
              <w:rPr>
                <w:rFonts w:ascii="Arial" w:cs="Arial" w:eastAsia="Arial" w:hAnsi="Arial"/>
                <w:sz w:val="20"/>
                <w:szCs w:val="20"/>
                <w:color w:val="auto"/>
              </w:rPr>
              <w:t>Cash paid for income taxes</w:t>
            </w: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19,379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16,599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17,588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17,001</w:t>
            </w:r>
          </w:p>
        </w:tc>
      </w:tr>
      <w:tr>
        <w:trPr>
          <w:trHeight w:val="272"/>
        </w:trPr>
        <w:tc>
          <w:tcPr>
            <w:tcW w:w="4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bl>
    <w:p>
      <w:pPr>
        <w:spacing w:after="0" w:line="3" w:lineRule="exact"/>
        <w:rPr>
          <w:sz w:val="20"/>
          <w:szCs w:val="20"/>
          <w:color w:val="auto"/>
        </w:rPr>
      </w:pPr>
    </w:p>
    <w:p>
      <w:pPr>
        <w:sectPr>
          <w:pgSz w:w="11900" w:h="16838" w:orient="portrait"/>
          <w:cols w:equalWidth="0" w:num="1">
            <w:col w:w="11240"/>
          </w:cols>
          <w:pgMar w:left="320" w:top="1440" w:right="339" w:bottom="0" w:gutter="0" w:footer="0" w:header="0"/>
        </w:sectPr>
      </w:pPr>
    </w:p>
    <w:p>
      <w:pPr>
        <w:ind w:left="20"/>
        <w:spacing w:after="0"/>
        <w:rPr>
          <w:sz w:val="20"/>
          <w:szCs w:val="20"/>
          <w:color w:val="auto"/>
        </w:rPr>
      </w:pPr>
      <w:r>
        <w:rPr>
          <w:rFonts w:ascii="Arial" w:cs="Arial" w:eastAsia="Arial" w:hAnsi="Arial"/>
          <w:sz w:val="19"/>
          <w:szCs w:val="19"/>
          <w:b w:val="1"/>
          <w:bCs w:val="1"/>
          <w:color w:val="auto"/>
        </w:rPr>
        <w:t>Non-cash investing and financing activities</w:t>
      </w:r>
    </w:p>
    <w:p>
      <w:pPr>
        <w:spacing w:after="0" w:line="67" w:lineRule="exact"/>
        <w:rPr>
          <w:sz w:val="20"/>
          <w:szCs w:val="20"/>
          <w:color w:val="auto"/>
        </w:rPr>
      </w:pPr>
    </w:p>
    <w:p>
      <w:pPr>
        <w:ind w:left="260" w:right="540"/>
        <w:spacing w:after="0" w:line="267" w:lineRule="auto"/>
        <w:rPr>
          <w:sz w:val="20"/>
          <w:szCs w:val="20"/>
          <w:color w:val="auto"/>
        </w:rPr>
      </w:pPr>
      <w:r>
        <w:rPr>
          <w:rFonts w:ascii="Arial" w:cs="Arial" w:eastAsia="Arial" w:hAnsi="Arial"/>
          <w:sz w:val="20"/>
          <w:szCs w:val="20"/>
          <w:color w:val="auto"/>
        </w:rPr>
        <w:t>Property, plant and equipment acquisitions funded by liabilities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Preferred Series A dividends and accretion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180" w:type="dxa"/>
            <w:vAlign w:val="bottom"/>
          </w:tcPr>
          <w:p>
            <w:pPr>
              <w:jc w:val="right"/>
              <w:ind w:right="481"/>
              <w:spacing w:after="0"/>
              <w:rPr>
                <w:sz w:val="20"/>
                <w:szCs w:val="20"/>
                <w:color w:val="auto"/>
              </w:rPr>
            </w:pPr>
            <w:r>
              <w:rPr>
                <w:rFonts w:ascii="Arial" w:cs="Arial" w:eastAsia="Arial" w:hAnsi="Arial"/>
                <w:sz w:val="20"/>
                <w:szCs w:val="20"/>
                <w:color w:val="auto"/>
              </w:rPr>
              <w:t>1,746</w:t>
            </w:r>
          </w:p>
        </w:tc>
        <w:tc>
          <w:tcPr>
            <w:tcW w:w="1760" w:type="dxa"/>
            <w:vAlign w:val="bottom"/>
          </w:tcPr>
          <w:p>
            <w:pPr>
              <w:jc w:val="right"/>
              <w:ind w:right="481"/>
              <w:spacing w:after="0"/>
              <w:rPr>
                <w:sz w:val="20"/>
                <w:szCs w:val="20"/>
                <w:color w:val="auto"/>
              </w:rPr>
            </w:pPr>
            <w:r>
              <w:rPr>
                <w:rFonts w:ascii="Arial" w:cs="Arial" w:eastAsia="Arial" w:hAnsi="Arial"/>
                <w:sz w:val="20"/>
                <w:szCs w:val="20"/>
                <w:color w:val="auto"/>
              </w:rPr>
              <w:t>1,101</w:t>
            </w:r>
          </w:p>
        </w:tc>
        <w:tc>
          <w:tcPr>
            <w:tcW w:w="1780" w:type="dxa"/>
            <w:vAlign w:val="bottom"/>
          </w:tcPr>
          <w:p>
            <w:pPr>
              <w:jc w:val="right"/>
              <w:ind w:right="501"/>
              <w:spacing w:after="0"/>
              <w:rPr>
                <w:sz w:val="20"/>
                <w:szCs w:val="20"/>
                <w:color w:val="auto"/>
              </w:rPr>
            </w:pPr>
            <w:r>
              <w:rPr>
                <w:rFonts w:ascii="Arial" w:cs="Arial" w:eastAsia="Arial" w:hAnsi="Arial"/>
                <w:sz w:val="20"/>
                <w:szCs w:val="20"/>
                <w:color w:val="auto"/>
              </w:rPr>
              <w:t>1,746</w:t>
            </w:r>
          </w:p>
        </w:tc>
        <w:tc>
          <w:tcPr>
            <w:tcW w:w="1180" w:type="dxa"/>
            <w:vAlign w:val="bottom"/>
          </w:tcPr>
          <w:p>
            <w:pPr>
              <w:jc w:val="right"/>
              <w:spacing w:after="0"/>
              <w:rPr>
                <w:sz w:val="20"/>
                <w:szCs w:val="20"/>
                <w:color w:val="auto"/>
              </w:rPr>
            </w:pPr>
            <w:r>
              <w:rPr>
                <w:rFonts w:ascii="Arial" w:cs="Arial" w:eastAsia="Arial" w:hAnsi="Arial"/>
                <w:sz w:val="20"/>
                <w:szCs w:val="20"/>
                <w:color w:val="auto"/>
              </w:rPr>
              <w:t>1,101</w:t>
            </w:r>
          </w:p>
        </w:tc>
      </w:tr>
      <w:tr>
        <w:trPr>
          <w:trHeight w:val="283"/>
        </w:trPr>
        <w:tc>
          <w:tcPr>
            <w:tcW w:w="1180" w:type="dxa"/>
            <w:vAlign w:val="bottom"/>
          </w:tcPr>
          <w:p>
            <w:pPr>
              <w:jc w:val="right"/>
              <w:ind w:right="481"/>
              <w:spacing w:after="0"/>
              <w:rPr>
                <w:sz w:val="20"/>
                <w:szCs w:val="20"/>
                <w:color w:val="auto"/>
              </w:rPr>
            </w:pPr>
            <w:r>
              <w:rPr>
                <w:rFonts w:ascii="Arial" w:cs="Arial" w:eastAsia="Arial" w:hAnsi="Arial"/>
                <w:sz w:val="20"/>
                <w:szCs w:val="20"/>
                <w:color w:val="auto"/>
                <w:w w:val="94"/>
              </w:rPr>
              <w:t>14,789</w:t>
            </w:r>
          </w:p>
        </w:tc>
        <w:tc>
          <w:tcPr>
            <w:tcW w:w="1760" w:type="dxa"/>
            <w:vAlign w:val="bottom"/>
          </w:tcPr>
          <w:p>
            <w:pPr>
              <w:jc w:val="right"/>
              <w:ind w:right="481"/>
              <w:spacing w:after="0"/>
              <w:rPr>
                <w:sz w:val="20"/>
                <w:szCs w:val="20"/>
                <w:color w:val="auto"/>
              </w:rPr>
            </w:pPr>
            <w:r>
              <w:rPr>
                <w:rFonts w:ascii="Arial" w:cs="Arial" w:eastAsia="Arial" w:hAnsi="Arial"/>
                <w:sz w:val="20"/>
                <w:szCs w:val="20"/>
                <w:color w:val="auto"/>
              </w:rPr>
              <w:t>13,750</w:t>
            </w:r>
          </w:p>
        </w:tc>
        <w:tc>
          <w:tcPr>
            <w:tcW w:w="1780" w:type="dxa"/>
            <w:vAlign w:val="bottom"/>
          </w:tcPr>
          <w:p>
            <w:pPr>
              <w:jc w:val="right"/>
              <w:ind w:right="501"/>
              <w:spacing w:after="0"/>
              <w:rPr>
                <w:sz w:val="20"/>
                <w:szCs w:val="20"/>
                <w:color w:val="auto"/>
              </w:rPr>
            </w:pPr>
            <w:r>
              <w:rPr>
                <w:rFonts w:ascii="Arial" w:cs="Arial" w:eastAsia="Arial" w:hAnsi="Arial"/>
                <w:sz w:val="20"/>
                <w:szCs w:val="20"/>
                <w:color w:val="auto"/>
              </w:rPr>
              <w:t>29,232</w:t>
            </w:r>
          </w:p>
        </w:tc>
        <w:tc>
          <w:tcPr>
            <w:tcW w:w="1180" w:type="dxa"/>
            <w:vAlign w:val="bottom"/>
          </w:tcPr>
          <w:p>
            <w:pPr>
              <w:jc w:val="right"/>
              <w:spacing w:after="0"/>
              <w:rPr>
                <w:sz w:val="20"/>
                <w:szCs w:val="20"/>
                <w:color w:val="auto"/>
              </w:rPr>
            </w:pPr>
            <w:r>
              <w:rPr>
                <w:rFonts w:ascii="Arial" w:cs="Arial" w:eastAsia="Arial" w:hAnsi="Arial"/>
                <w:sz w:val="20"/>
                <w:szCs w:val="20"/>
                <w:color w:val="auto"/>
              </w:rPr>
              <w:t>27,252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-502920</wp:posOffset>
            </wp:positionV>
            <wp:extent cx="7132320"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5980"/>
          </w:cols>
          <w:pgMar w:left="320" w:top="1440" w:right="339" w:bottom="0" w:gutter="0" w:footer="0" w:header="0"/>
          <w:type w:val="continuous"/>
        </w:sectPr>
      </w:pPr>
    </w:p>
    <w:p>
      <w:pPr>
        <w:spacing w:after="0" w:line="104"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Segment Reporting</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CODM is the Chief Executive Officer of the Company.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works with engineering, procurement, and construction firms, to design a solar array to achieve the project’s desired power output. The Company provides the solar tracking system components, which include standard and nonstandard parts. The Company delivers the fully functioning tracker systems for the project sites and provides commissioning services. Although the solar array may use different components and technology depending on the geography and type of system, the Company conducts its operations in the United States (“U.S.”) and internationally, primarily in Spain and Brazil, and is expanding into other international markets through STI Operations.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two separate operating segments, Array Legacy Operations and STI Operations, which are also reportable segments. Array Legacy Operations consists primarily of amounts earned from the design, manufacture and sale of utility-scale solar tracker systems in the U.S., and STI Operations consists primarily of amounts earned from the design, manufacture and sale of utility-scale solar tracker systems outside of the U.S.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Company’s CODM assesses the performance of each operating segment by using gross profit. This measure is also predominantly used in the annual budget and forecasting process. The CODM primarily uses the annual operating plan and the monthly financial results for Array Legacy Operations and STI Operations when making decisions about the allocation of operating and capital resources to each segment.</w:t>
      </w:r>
    </w:p>
    <w:p>
      <w:pPr>
        <w:sectPr>
          <w:pgSz w:w="11900" w:h="16838" w:orient="portrait"/>
          <w:cols w:equalWidth="0" w:num="1">
            <w:col w:w="11240"/>
          </w:cols>
          <w:pgMar w:left="320" w:top="1440" w:right="339" w:bottom="0"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color w:val="auto"/>
        </w:rPr>
        <w:t>The following tables summarize the financial results by segment during the periods presented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80" w:type="dxa"/>
            <w:vAlign w:val="bottom"/>
            <w:tcBorders>
              <w:bottom w:val="single" w:sz="8" w:color="auto"/>
            </w:tcBorders>
            <w:gridSpan w:val="6"/>
          </w:tcPr>
          <w:p>
            <w:pPr>
              <w:jc w:val="center"/>
              <w:ind w:left="1981"/>
              <w:spacing w:after="0"/>
              <w:rPr>
                <w:sz w:val="20"/>
                <w:szCs w:val="20"/>
                <w:color w:val="auto"/>
              </w:rPr>
            </w:pPr>
            <w:r>
              <w:rPr>
                <w:rFonts w:ascii="Arial" w:cs="Arial" w:eastAsia="Arial" w:hAnsi="Arial"/>
                <w:sz w:val="20"/>
                <w:szCs w:val="20"/>
                <w:b w:val="1"/>
                <w:bCs w:val="1"/>
                <w:color w:val="auto"/>
                <w:w w:val="98"/>
              </w:rPr>
              <w:t>Three months ended June 30, 2025</w:t>
            </w:r>
          </w:p>
        </w:tc>
        <w:tc>
          <w:tcPr>
            <w:tcW w:w="2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480" w:type="dxa"/>
            <w:vAlign w:val="bottom"/>
          </w:tcPr>
          <w:p>
            <w:pPr>
              <w:spacing w:after="0"/>
              <w:rPr>
                <w:sz w:val="21"/>
                <w:szCs w:val="21"/>
                <w:color w:val="auto"/>
              </w:rPr>
            </w:pPr>
          </w:p>
        </w:tc>
        <w:tc>
          <w:tcPr>
            <w:tcW w:w="224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291,886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70,357</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362,243</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193,620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53,215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246,835</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3,640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16"/>
                <w:szCs w:val="16"/>
                <w:color w:val="auto"/>
              </w:rPr>
            </w:pPr>
          </w:p>
        </w:tc>
        <w:tc>
          <w:tcPr>
            <w:tcW w:w="22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3,640</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w:t>
            </w:r>
          </w:p>
        </w:tc>
        <w:tc>
          <w:tcPr>
            <w:tcW w:w="160" w:type="dxa"/>
            <w:vAlign w:val="bottom"/>
            <w:shd w:val="clear" w:color="auto" w:fill="CCEEFF"/>
          </w:tcPr>
          <w:p>
            <w:pPr>
              <w:spacing w:after="0"/>
              <w:rPr>
                <w:sz w:val="21"/>
                <w:szCs w:val="21"/>
                <w:color w:val="auto"/>
              </w:rPr>
            </w:pPr>
          </w:p>
        </w:tc>
        <w:tc>
          <w:tcPr>
            <w:tcW w:w="2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578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612</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10,043</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3,989</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14,032</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84,005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13,119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97,124</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(50,748)</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income,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10,503</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56,879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1,090,094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452,064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1,542,158</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6,497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6,631</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7,024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2,872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9,896</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3,600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3,800</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8,021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747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8,768</w:t>
            </w: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80" w:type="dxa"/>
            <w:vAlign w:val="bottom"/>
            <w:tcBorders>
              <w:bottom w:val="single" w:sz="8" w:color="auto"/>
            </w:tcBorders>
            <w:gridSpan w:val="6"/>
          </w:tcPr>
          <w:p>
            <w:pPr>
              <w:jc w:val="center"/>
              <w:ind w:left="1981"/>
              <w:spacing w:after="0"/>
              <w:rPr>
                <w:sz w:val="20"/>
                <w:szCs w:val="20"/>
                <w:color w:val="auto"/>
              </w:rPr>
            </w:pPr>
            <w:r>
              <w:rPr>
                <w:rFonts w:ascii="Arial" w:cs="Arial" w:eastAsia="Arial" w:hAnsi="Arial"/>
                <w:sz w:val="20"/>
                <w:szCs w:val="20"/>
                <w:b w:val="1"/>
                <w:bCs w:val="1"/>
                <w:color w:val="auto"/>
                <w:w w:val="98"/>
              </w:rPr>
              <w:t>Three months ended June 30, 2024</w:t>
            </w:r>
          </w:p>
        </w:tc>
        <w:tc>
          <w:tcPr>
            <w:tcW w:w="2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480" w:type="dxa"/>
            <w:vAlign w:val="bottom"/>
          </w:tcPr>
          <w:p>
            <w:pPr>
              <w:spacing w:after="0"/>
              <w:rPr>
                <w:sz w:val="21"/>
                <w:szCs w:val="21"/>
                <w:color w:val="auto"/>
              </w:rPr>
            </w:pPr>
          </w:p>
        </w:tc>
        <w:tc>
          <w:tcPr>
            <w:tcW w:w="224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185,160</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70,606</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255,766</w:t>
            </w: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97,575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60,634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158,209</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3,640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shd w:val="clear" w:color="auto" w:fill="CCEEFF"/>
          </w:tcPr>
          <w:p>
            <w:pPr>
              <w:spacing w:after="0"/>
              <w:rPr>
                <w:sz w:val="16"/>
                <w:szCs w:val="16"/>
                <w:color w:val="auto"/>
              </w:rPr>
            </w:pPr>
          </w:p>
        </w:tc>
        <w:tc>
          <w:tcPr>
            <w:tcW w:w="22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3,640</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w:t>
            </w:r>
          </w:p>
        </w:tc>
        <w:tc>
          <w:tcPr>
            <w:tcW w:w="160" w:type="dxa"/>
            <w:vAlign w:val="bottom"/>
            <w:shd w:val="clear" w:color="auto" w:fill="CCEEFF"/>
          </w:tcPr>
          <w:p>
            <w:pPr>
              <w:spacing w:after="0"/>
              <w:rPr>
                <w:sz w:val="21"/>
                <w:szCs w:val="21"/>
                <w:color w:val="auto"/>
              </w:rPr>
            </w:pPr>
          </w:p>
        </w:tc>
        <w:tc>
          <w:tcPr>
            <w:tcW w:w="2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368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395</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6,271</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1,298</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7,569</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77,306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8,647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85,953</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(46,351)</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(6,094)</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33,508</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879,073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772,449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1,651,522</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2,131</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6,413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6,558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12,971</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4,782</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8,205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409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20"/>
                <w:szCs w:val="20"/>
                <w:color w:val="auto"/>
              </w:rPr>
              <w:t>8,614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40" w:type="dxa"/>
            <w:vAlign w:val="bottom"/>
            <w:tcBorders>
              <w:bottom w:val="single" w:sz="8" w:color="auto"/>
            </w:tcBorders>
            <w:gridSpan w:val="6"/>
          </w:tcPr>
          <w:p>
            <w:pPr>
              <w:jc w:val="center"/>
              <w:ind w:left="2021"/>
              <w:spacing w:after="0"/>
              <w:rPr>
                <w:sz w:val="20"/>
                <w:szCs w:val="20"/>
                <w:color w:val="auto"/>
              </w:rPr>
            </w:pPr>
            <w:r>
              <w:rPr>
                <w:rFonts w:ascii="Arial" w:cs="Arial" w:eastAsia="Arial" w:hAnsi="Arial"/>
                <w:sz w:val="20"/>
                <w:szCs w:val="20"/>
                <w:b w:val="1"/>
                <w:bCs w:val="1"/>
                <w:color w:val="auto"/>
                <w:w w:val="98"/>
              </w:rPr>
              <w:t>Six months ended June 30, 2025</w:t>
            </w:r>
          </w:p>
        </w:tc>
        <w:tc>
          <w:tcPr>
            <w:tcW w:w="2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440" w:type="dxa"/>
            <w:vAlign w:val="bottom"/>
          </w:tcPr>
          <w:p>
            <w:pPr>
              <w:spacing w:after="0"/>
              <w:rPr>
                <w:sz w:val="21"/>
                <w:szCs w:val="21"/>
                <w:color w:val="auto"/>
              </w:rPr>
            </w:pPr>
          </w:p>
        </w:tc>
        <w:tc>
          <w:tcPr>
            <w:tcW w:w="228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505,100</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159,506</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664,606</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326,960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129,973</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456,933</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7,279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6"/>
                <w:szCs w:val="16"/>
                <w:color w:val="auto"/>
              </w:rPr>
            </w:pP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7,279</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w:t>
            </w:r>
          </w:p>
        </w:tc>
        <w:tc>
          <w:tcPr>
            <w:tcW w:w="160" w:type="dxa"/>
            <w:vAlign w:val="bottom"/>
            <w:shd w:val="clear" w:color="auto" w:fill="CCEEFF"/>
          </w:tcPr>
          <w:p>
            <w:pPr>
              <w:spacing w:after="0"/>
              <w:rPr>
                <w:sz w:val="21"/>
                <w:szCs w:val="21"/>
                <w:color w:val="auto"/>
              </w:rPr>
            </w:pPr>
          </w:p>
        </w:tc>
        <w:tc>
          <w:tcPr>
            <w:tcW w:w="2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1,128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1,195</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20,047</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5,600</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25,647</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149,686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23,866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173,552</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(99,892)</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income,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6,499</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80,159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1,090,094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452,064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1,542,158</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8,711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272</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8,983</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13,925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5,542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19,467</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6,647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472</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7,119</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15,543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1,260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16,803</w:t>
            </w: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40" w:type="dxa"/>
            <w:vAlign w:val="bottom"/>
            <w:tcBorders>
              <w:bottom w:val="single" w:sz="8" w:color="auto"/>
            </w:tcBorders>
            <w:gridSpan w:val="6"/>
          </w:tcPr>
          <w:p>
            <w:pPr>
              <w:jc w:val="center"/>
              <w:ind w:left="2021"/>
              <w:spacing w:after="0"/>
              <w:rPr>
                <w:sz w:val="20"/>
                <w:szCs w:val="20"/>
                <w:color w:val="auto"/>
              </w:rPr>
            </w:pPr>
            <w:r>
              <w:rPr>
                <w:rFonts w:ascii="Arial" w:cs="Arial" w:eastAsia="Arial" w:hAnsi="Arial"/>
                <w:sz w:val="20"/>
                <w:szCs w:val="20"/>
                <w:b w:val="1"/>
                <w:bCs w:val="1"/>
                <w:color w:val="auto"/>
                <w:w w:val="98"/>
              </w:rPr>
              <w:t>Six months ended June 30, 2024</w:t>
            </w:r>
          </w:p>
        </w:tc>
        <w:tc>
          <w:tcPr>
            <w:tcW w:w="2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440" w:type="dxa"/>
            <w:vAlign w:val="bottom"/>
          </w:tcPr>
          <w:p>
            <w:pPr>
              <w:spacing w:after="0"/>
              <w:rPr>
                <w:sz w:val="21"/>
                <w:szCs w:val="21"/>
                <w:color w:val="auto"/>
              </w:rPr>
            </w:pPr>
          </w:p>
        </w:tc>
        <w:tc>
          <w:tcPr>
            <w:tcW w:w="228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299,541</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109,628</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409,169</w:t>
            </w: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154,154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90,786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244,940</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7,279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shd w:val="clear" w:color="auto" w:fill="CCEEFF"/>
          </w:tcPr>
          <w:p>
            <w:pPr>
              <w:spacing w:after="0"/>
              <w:rPr>
                <w:sz w:val="16"/>
                <w:szCs w:val="16"/>
                <w:color w:val="auto"/>
              </w:rPr>
            </w:pP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7,279</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w:t>
            </w:r>
          </w:p>
        </w:tc>
        <w:tc>
          <w:tcPr>
            <w:tcW w:w="160" w:type="dxa"/>
            <w:vAlign w:val="bottom"/>
            <w:shd w:val="clear" w:color="auto" w:fill="CCEEFF"/>
          </w:tcPr>
          <w:p>
            <w:pPr>
              <w:spacing w:after="0"/>
              <w:rPr>
                <w:sz w:val="22"/>
                <w:szCs w:val="22"/>
                <w:color w:val="auto"/>
              </w:rPr>
            </w:pPr>
          </w:p>
        </w:tc>
        <w:tc>
          <w:tcPr>
            <w:tcW w:w="25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80" w:type="dxa"/>
            <w:vAlign w:val="bottom"/>
            <w:gridSpan w:val="2"/>
            <w:vMerge w:val="continue"/>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878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51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929</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10,838</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4,140</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14,978</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126,392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14,651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141,043</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(93,027)</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(11,039)</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Income before income taxes</w:t>
            </w: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36,977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879,073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772,449</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1,651,522</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3,297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4,527</w:t>
            </w: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13,525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13,210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26,735</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3,061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8,462</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16,400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1,154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17,554</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Includes 45X benefits realized.</w:t>
      </w:r>
    </w:p>
    <w:p>
      <w:pPr>
        <w:spacing w:after="0" w:line="31" w:lineRule="exact"/>
        <w:rPr>
          <w:rFonts w:ascii="Arial" w:cs="Arial" w:eastAsia="Arial" w:hAnsi="Arial"/>
          <w:sz w:val="20"/>
          <w:szCs w:val="20"/>
          <w:color w:val="auto"/>
        </w:rPr>
      </w:pPr>
    </w:p>
    <w:p>
      <w:pPr>
        <w:jc w:val="both"/>
        <w:ind w:left="340" w:hanging="332"/>
        <w:spacing w:after="0" w:line="287" w:lineRule="auto"/>
        <w:tabs>
          <w:tab w:leader="none" w:pos="33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Other is primarily comprised of outbound freight and certain overhead costs. Outbound freight for the three months ended June 30, 2025 and 2024 for Array Legacy Operations was $9.9 million and $6.2 million, respectively. Outbound freight for the six months ended June 30, 2025 and 2024 for Array Legacy Operations was $19.8 million and $10.6 million, respectively.</w:t>
      </w:r>
    </w:p>
    <w:p>
      <w:pPr>
        <w:sectPr>
          <w:pgSz w:w="11900" w:h="16838" w:orient="portrait"/>
          <w:cols w:equalWidth="0" w:num="1">
            <w:col w:w="11240"/>
          </w:cols>
          <w:pgMar w:left="320" w:top="1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2024, and the related Management’s Discussion and Analysis of Financial Condition and Results of Operations included in our Annual Report on Form 10-K for the year ended December 31, 2024 (“2024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our 2024 Annual Report, as filed as Exhibit 99.2 to our Current Report on Form 8-K filed with the U.S. Securities and Exchange Commission (the “SEC”) on June 24, 2025 (the “June 24, 2025 8-K”), and our other documents on file with the SEC.</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financing and investment plans, competitive position, industry and regulatory environment, including potential regulatory reform related to energy credits, uncertainty relating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“designed to” or similar expressions and the negatives of those terms.</w:t>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 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OBBB (as defined below),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36" w:name="page37"/>
    <w:bookmarkEnd w:id="36"/>
    <w:p>
      <w:pPr>
        <w:jc w:val="both"/>
        <w:spacing w:after="0" w:line="260" w:lineRule="auto"/>
        <w:rPr>
          <w:sz w:val="20"/>
          <w:szCs w:val="20"/>
          <w:color w:val="auto"/>
        </w:rPr>
      </w:pPr>
      <w:r>
        <w:rPr>
          <w:rFonts w:ascii="Arial" w:cs="Arial" w:eastAsia="Arial" w:hAnsi="Arial"/>
          <w:sz w:val="20"/>
          <w:szCs w:val="20"/>
          <w:color w:val="auto"/>
        </w:rPr>
        <w:t>environment, including the imposition of import tariffs or other import restrictions; geopolitical, macroeconomic and other market conditions unrelated to our operating performance including but not limited to a pandemic, the Ukraine-Russia war, attacks on shipping in the Red Sea, conflict in the Middle East,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including our ability to optimize those changes brought about by the passage of the Inflation Reduction Act (“IRA”) or any repeal thereof; our ability to consummate the APA transaction (as defined below) and to successfully integrate APA (defined below) into our existing operations and realize the anticipated benefits of the acquisition; and other factors described in more detail in the section captioned “Risk Factors” in this Quarterly Report, our 2024 Annual Report, as filed as Exhibit 99.2 to our June 24, 2025 8-K, and our other documents on file with the SEC.</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a leading global provider of solar tracking technology to utility-scale and distributed generation customers, who construct, develop and operate solar PV sites. With solutions engineered to withstand harsh weather conditions, Array’s high-quality solar trackers, software platforms and field services combine to maximize energy production and deliver value to our customers for the entire lifecycle of a project.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Trackers move solar panels throughout the day to maintain an optimal orientation to the sun, which significantly increases their energy production. Solar energy projects that use trackers typically generate more energy and deliver a lower Levelized Cost of Energy than projects that use “fixed tilt” mounting systems, which do not move. The vast majority of ground mounted solar systems in the U.S. use trackers.</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flagship tracker, DuraTrack®,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7" w:name="page38"/>
    <w:bookmarkEnd w:id="37"/>
    <w:p>
      <w:pPr>
        <w:jc w:val="both"/>
        <w:ind w:right="20"/>
        <w:spacing w:after="0" w:line="276" w:lineRule="auto"/>
        <w:rPr>
          <w:sz w:val="20"/>
          <w:szCs w:val="20"/>
          <w:color w:val="auto"/>
        </w:rPr>
      </w:pPr>
      <w:r>
        <w:rPr>
          <w:rFonts w:ascii="Arial" w:cs="Arial" w:eastAsia="Arial" w:hAnsi="Arial"/>
          <w:sz w:val="20"/>
          <w:szCs w:val="20"/>
          <w:color w:val="auto"/>
        </w:rPr>
        <w:t>lower installation costs, reduced maintenance requirements and competitive manufacturing costs. Our core U.S. patent is on a linked-row, single-driving apparatus that rotates a plurality of tracker rows connected by an articulating drive shaft. This patent does not expire until February 5, 2030.</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With our acquisition of Soluciones Técnicas Integrales Norland, S.L.U. and its subsidiaries (collectively, “STI”) in January 2022, we added a dual-row tracker design to our product portfolio, the Array STI H250. This tracker uses one motor to drive two connected rows and is ideally suited for sites with irregular and highly angled boundaries or fragmented project areas.</w:t>
      </w:r>
    </w:p>
    <w:p>
      <w:pPr>
        <w:spacing w:after="0" w:line="19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Our third tracker product, OmniTrack</w:t>
      </w:r>
      <w:r>
        <w:rPr>
          <w:rFonts w:ascii="Arial" w:cs="Arial" w:eastAsia="Arial" w:hAnsi="Arial"/>
          <w:sz w:val="25"/>
          <w:szCs w:val="25"/>
          <w:color w:val="auto"/>
          <w:vertAlign w:val="superscript"/>
        </w:rPr>
        <w:t>®</w:t>
      </w:r>
      <w:r>
        <w:rPr>
          <w:rFonts w:ascii="Arial" w:cs="Arial" w:eastAsia="Arial" w:hAnsi="Arial"/>
          <w:sz w:val="20"/>
          <w:szCs w:val="20"/>
          <w:color w:val="auto"/>
        </w:rPr>
        <w:t>, which was introduced in September 2022, requires significantly less grading and civil works permitting prior to installation in addition to accommodating uneven terrain.</w:t>
      </w:r>
    </w:p>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corporate headquarters are located in Albuquerque, New Mexico. We sell our products to engineering, procurement and construction firms (“EPCs”) that build solar energy projects and to large solar developers, independent power producers and utilities, often under master supply agreements or multi-year procurement contracts. During the six months ended June 30, 2025, we derived 72% and 28% of our revenues from customers in the U.S. and the rest of the world, respectively. As of June 30, 2025, we had shipped approximately 91 gigawatts of trackers to customers worldwide.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Purchase Agreement with APA Solar</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June 17, 2025, our wholly-owned subsidiary, STINorland USA, Inc. (“STI USA”), entered into a definitive agreement with APA Solar, LLC (“APA”), SunHoldings, LLC ("”SunHoldings”), and the guarantors thereto (such transaction, the “APA Transaction”) to acquire all of the issued and outstanding equity interests of APA, a company that designs, engineers, and manufactures solar racking, mounting and foundation systems. The APA Transaction is expected to close in the third quarter of 2025, subject to certain closing conditions customary for a transaction of this nature.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2.875% Convertible Senior Notes due 2031</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June 27, 2025, we completed a private placement of $345 million in aggregate principal amount of 2.875% Convertible Senior Notes due 2031 (the “2031 Convertible Notes”), resulting in net proceeds of $334.6 million after deducting initial purchasers’ discounts and offering expenses. The 2031 Convertible Notes were issued pursuant to an indenture, dated June 27, 2025, between the Company and U.S. Bank Trust Company, National Association, as trustee.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2031 Convertible Notes are senior unsecured obligations of the Company and will mature on July 1, 2031, unless earlier converted redeemed or repurchased. Interest is payable semiannually in arrears at a rate of 2.875% per year on January 1 and July 1 of each year, beginning on January 1, 2026.</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incur research and development (“R&amp;D”) costs during our process of researching and developing new products and significant enhancements to existing products. R&amp;D costs are a subset of our total engineering spend and consist primarily of personnel-related costs associated with our team of internal engineers, third-party consultants, materials and overhead. We expense these costs as incurred prior to a respective product being ready for commercial production. Total engineering expense was $4.5 million and $4.1 million during the three months ended June 30, 2025 and 2024, respectively, of which $2.5 million and $1.8 million were related to R&amp;D activities performed by the Company during the same periods, respectively. Total engineering expense was $8.9 million and $8.3 million during the six months ended June 30, 2025 and 2024, respectively, of which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$4.9 million and $3.7 million were related to R&amp;D activities performed by the Company during the same periods,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Project Timing</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has been affected by a number of factors including:</w:t>
      </w:r>
    </w:p>
    <w:p>
      <w:pPr>
        <w:spacing w:after="0" w:line="197" w:lineRule="exact"/>
        <w:rPr>
          <w:sz w:val="20"/>
          <w:szCs w:val="20"/>
          <w:color w:val="auto"/>
        </w:rPr>
      </w:pPr>
    </w:p>
    <w:p>
      <w:pPr>
        <w:jc w:val="both"/>
        <w:ind w:left="660" w:hanging="328"/>
        <w:spacing w:after="0" w:line="276"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Weather</w:t>
      </w:r>
      <w:r>
        <w:rPr>
          <w:rFonts w:ascii="Arial" w:cs="Arial" w:eastAsia="Arial" w:hAnsi="Arial"/>
          <w:sz w:val="20"/>
          <w:szCs w:val="20"/>
          <w:color w:val="auto"/>
        </w:rPr>
        <w:t>. Inclement weather can affect our customers’ ability to install their systems, particularly in the northeastern U.S.,</w:t>
      </w:r>
      <w:r>
        <w:rPr>
          <w:rFonts w:ascii="Arial" w:cs="Arial" w:eastAsia="Arial" w:hAnsi="Arial"/>
          <w:sz w:val="20"/>
          <w:szCs w:val="20"/>
          <w:i w:val="1"/>
          <w:iCs w:val="1"/>
          <w:color w:val="auto"/>
        </w:rPr>
        <w:t xml:space="preserve"> </w:t>
      </w:r>
      <w:r>
        <w:rPr>
          <w:rFonts w:ascii="Arial" w:cs="Arial" w:eastAsia="Arial" w:hAnsi="Arial"/>
          <w:sz w:val="20"/>
          <w:szCs w:val="20"/>
          <w:color w:val="auto"/>
        </w:rPr>
        <w:t>Europe and Brazil. In addition, weather delays can adversely affect our logistics and operations by causing delays in the shipping and delivery of our materials.</w:t>
      </w:r>
    </w:p>
    <w:p>
      <w:pPr>
        <w:spacing w:after="0" w:line="57" w:lineRule="exact"/>
        <w:rPr>
          <w:rFonts w:ascii="Arial" w:cs="Arial" w:eastAsia="Arial" w:hAnsi="Arial"/>
          <w:sz w:val="20"/>
          <w:szCs w:val="20"/>
          <w:color w:val="auto"/>
        </w:rPr>
      </w:pPr>
    </w:p>
    <w:p>
      <w:pPr>
        <w:jc w:val="both"/>
        <w:ind w:left="660" w:hanging="328"/>
        <w:spacing w:after="0" w:line="282" w:lineRule="auto"/>
        <w:tabs>
          <w:tab w:leader="none" w:pos="648"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The U.S. interest rate environment</w:t>
      </w:r>
      <w:r>
        <w:rPr>
          <w:rFonts w:ascii="Arial" w:cs="Arial" w:eastAsia="Arial" w:hAnsi="Arial"/>
          <w:sz w:val="19"/>
          <w:szCs w:val="19"/>
          <w:color w:val="auto"/>
        </w:rPr>
        <w:t>. We have had customers delay planned installations or look to renegotiate power</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agreements to improve project returns based on various rate environments. For example, in anticipation of interest rate reductions and more favorable project financing conditions later in 2024, some customers delayed installations. While the Federal Reserve began lowering interest rates in the second half of 2024, they have remained flat so far in 2025, with varying outlooks on whether additional rate cuts may occur. Customers must weigh this uncertainty in conjunction with other macroeconomic factors when assessing the returns and timing for relevant projects.</w:t>
      </w:r>
    </w:p>
    <w:p>
      <w:pPr>
        <w:spacing w:after="0" w:line="52" w:lineRule="exact"/>
        <w:rPr>
          <w:rFonts w:ascii="Arial" w:cs="Arial" w:eastAsia="Arial" w:hAnsi="Arial"/>
          <w:sz w:val="19"/>
          <w:szCs w:val="19"/>
          <w:color w:val="auto"/>
        </w:rPr>
      </w:pPr>
    </w:p>
    <w:p>
      <w:pPr>
        <w:jc w:val="both"/>
        <w:ind w:left="660" w:hanging="328"/>
        <w:spacing w:after="0" w:line="268" w:lineRule="auto"/>
        <w:tabs>
          <w:tab w:leader="none" w:pos="648" w:val="left"/>
        </w:tabs>
        <w:numPr>
          <w:ilvl w:val="0"/>
          <w:numId w:val="21"/>
        </w:numPr>
        <w:rPr>
          <w:rFonts w:ascii="Arial" w:cs="Arial" w:eastAsia="Arial" w:hAnsi="Arial"/>
          <w:sz w:val="20"/>
          <w:szCs w:val="20"/>
          <w:i w:val="1"/>
          <w:iCs w:val="1"/>
          <w:color w:val="auto"/>
        </w:rPr>
      </w:pPr>
      <w:r>
        <w:rPr>
          <w:rFonts w:ascii="Arial" w:cs="Arial" w:eastAsia="Arial" w:hAnsi="Arial"/>
          <w:sz w:val="20"/>
          <w:szCs w:val="20"/>
          <w:i w:val="1"/>
          <w:iCs w:val="1"/>
          <w:color w:val="auto"/>
        </w:rPr>
        <w:t>Availability of necessary equipment</w:t>
      </w:r>
      <w:r>
        <w:rPr>
          <w:rFonts w:ascii="Arial" w:cs="Arial" w:eastAsia="Arial" w:hAnsi="Arial"/>
          <w:sz w:val="20"/>
          <w:szCs w:val="20"/>
          <w:color w:val="auto"/>
        </w:rPr>
        <w:t>. We have a broad portfolio of customer relationships including presence with most</w:t>
      </w:r>
      <w:r>
        <w:rPr>
          <w:rFonts w:ascii="Arial" w:cs="Arial" w:eastAsia="Arial" w:hAnsi="Arial"/>
          <w:sz w:val="20"/>
          <w:szCs w:val="20"/>
          <w:i w:val="1"/>
          <w:iCs w:val="1"/>
          <w:color w:val="auto"/>
        </w:rPr>
        <w:t xml:space="preserve"> </w:t>
      </w:r>
      <w:r>
        <w:rPr>
          <w:rFonts w:ascii="Arial" w:cs="Arial" w:eastAsia="Arial" w:hAnsi="Arial"/>
          <w:sz w:val="20"/>
          <w:szCs w:val="20"/>
          <w:color w:val="auto"/>
        </w:rPr>
        <w:t>Tier 1 utilities in the U.S. Each utility has unique specifications for access to its grid, which is generally not consistent across the industry. As the supply of renewables projects has increased, severe shortages and long lead-times in the supply of switches, transformers and high voltage breakers used in the interconnection of utility scale solar power plants to the grid, has affected the timing and completion of these projects, including for some of our customers.</w:t>
      </w:r>
    </w:p>
    <w:p>
      <w:pPr>
        <w:spacing w:after="0" w:line="65" w:lineRule="exact"/>
        <w:rPr>
          <w:rFonts w:ascii="Arial" w:cs="Arial" w:eastAsia="Arial" w:hAnsi="Arial"/>
          <w:sz w:val="20"/>
          <w:szCs w:val="20"/>
          <w:i w:val="1"/>
          <w:iCs w:val="1"/>
          <w:color w:val="auto"/>
        </w:rPr>
      </w:pPr>
    </w:p>
    <w:p>
      <w:pPr>
        <w:jc w:val="both"/>
        <w:ind w:left="660" w:hanging="328"/>
        <w:spacing w:after="0" w:line="262"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Macroeconomic factors. </w:t>
      </w:r>
      <w:r>
        <w:rPr>
          <w:rFonts w:ascii="Arial" w:cs="Arial" w:eastAsia="Arial" w:hAnsi="Arial"/>
          <w:sz w:val="20"/>
          <w:szCs w:val="20"/>
          <w:color w:val="auto"/>
        </w:rPr>
        <w:t>There has been a rapid depreciation of the Brazilian Real in conjunction with existing pricing</w:t>
      </w:r>
      <w:r>
        <w:rPr>
          <w:rFonts w:ascii="Arial" w:cs="Arial" w:eastAsia="Arial" w:hAnsi="Arial"/>
          <w:sz w:val="20"/>
          <w:szCs w:val="20"/>
          <w:i w:val="1"/>
          <w:iCs w:val="1"/>
          <w:color w:val="auto"/>
        </w:rPr>
        <w:t xml:space="preserve"> </w:t>
      </w:r>
      <w:r>
        <w:rPr>
          <w:rFonts w:ascii="Arial" w:cs="Arial" w:eastAsia="Arial" w:hAnsi="Arial"/>
          <w:sz w:val="20"/>
          <w:szCs w:val="20"/>
          <w:color w:val="auto"/>
        </w:rPr>
        <w:t>pressures on energy in the Brazilian market. Due to these dynamics, the economic cases for the power purchase agreements, or PPAs, for many solar projects have become less attractive for our customers. Many of the developers in Brazil of these projects continue to signal delays as they renegotiate the pricing of these PPAs. In addition, our results will also be impacted by tax incentives we can recognize, for example the Brazil value-added tax benefit, Imposto sobre Circulação de Mercadorias e Servicos (“ICMS”), which will be fully phased out in 2033. As a result, we are focused on reducing costs and better aligning our organization, including the size thereof, in Brazil with the current market conditions.</w:t>
      </w:r>
    </w:p>
    <w:p>
      <w:pPr>
        <w:spacing w:after="0" w:line="84" w:lineRule="exact"/>
        <w:rPr>
          <w:rFonts w:ascii="Arial" w:cs="Arial" w:eastAsia="Arial" w:hAnsi="Arial"/>
          <w:sz w:val="20"/>
          <w:szCs w:val="20"/>
          <w:color w:val="auto"/>
        </w:rPr>
      </w:pPr>
    </w:p>
    <w:p>
      <w:pPr>
        <w:jc w:val="both"/>
        <w:ind w:left="660"/>
        <w:spacing w:after="0" w:line="262" w:lineRule="auto"/>
        <w:rPr>
          <w:rFonts w:ascii="Arial" w:cs="Arial" w:eastAsia="Arial" w:hAnsi="Arial"/>
          <w:sz w:val="20"/>
          <w:szCs w:val="20"/>
          <w:color w:val="auto"/>
        </w:rPr>
      </w:pPr>
      <w:r>
        <w:rPr>
          <w:rFonts w:ascii="Arial" w:cs="Arial" w:eastAsia="Arial" w:hAnsi="Arial"/>
          <w:sz w:val="20"/>
          <w:szCs w:val="20"/>
          <w:color w:val="auto"/>
        </w:rPr>
        <w:t>It is uncertain what impact new or existing tariffs, trade restrictions or retaliatory actions may have on us, the solar industry and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73" w:lineRule="exact"/>
        <w:rPr>
          <w:rFonts w:ascii="Arial" w:cs="Arial" w:eastAsia="Arial" w:hAnsi="Arial"/>
          <w:sz w:val="20"/>
          <w:szCs w:val="20"/>
          <w:color w:val="auto"/>
        </w:rPr>
      </w:pPr>
    </w:p>
    <w:p>
      <w:pPr>
        <w:jc w:val="both"/>
        <w:ind w:left="660" w:hanging="328"/>
        <w:spacing w:after="0" w:line="276"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Local permitting</w:t>
      </w:r>
      <w:r>
        <w:rPr>
          <w:rFonts w:ascii="Arial" w:cs="Arial" w:eastAsia="Arial" w:hAnsi="Arial"/>
          <w:sz w:val="20"/>
          <w:szCs w:val="20"/>
          <w:color w:val="auto"/>
        </w:rPr>
        <w:t>. If our customers cannot receive permitting for their projects, they are unable to begin and ultimately</w:t>
      </w:r>
      <w:r>
        <w:rPr>
          <w:rFonts w:ascii="Arial" w:cs="Arial" w:eastAsia="Arial" w:hAnsi="Arial"/>
          <w:sz w:val="20"/>
          <w:szCs w:val="20"/>
          <w:i w:val="1"/>
          <w:iCs w:val="1"/>
          <w:color w:val="auto"/>
        </w:rPr>
        <w:t xml:space="preserve"> </w:t>
      </w:r>
      <w:r>
        <w:rPr>
          <w:rFonts w:ascii="Arial" w:cs="Arial" w:eastAsia="Arial" w:hAnsi="Arial"/>
          <w:sz w:val="20"/>
          <w:szCs w:val="20"/>
          <w:color w:val="auto"/>
        </w:rPr>
        <w:t>complete them in a timely manner. A dramatic increase in solar and battery storage sites has increased the average permitting time in many geographies in which our customers operate.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9" w:name="page40"/>
    <w:bookmarkEnd w:id="39"/>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OBBB</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solar power is cost-competitive with conventional forms of generation in many U.S. states even without the ITC, we believe previous step-downs in the ITC in past years have influenced the timing and quantity of some customers’ orders. On July 4, 2025, President Trump signed into law the One Big Beautiful Bill Act (“OBBB”), which includes changes to the energy tax credits. Specifically, the solar ITC now terminates for facilities that are placed in service after December 31, 2027, but that termination does not apply if the taxpayer begins construction on the facility before July 4, 2026. In addition, the OBBB imposes new foreign entity of concern limitations on the ITC before it expires, which could impact the ability of solar facilities to claim the ITC.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for solar facilities that begin construction after December 31, 2025 that receive material assistance from a prohibited foreign entity. On July 7, 2025, President Trump issued an executive order instructing the U.S. Department of Treasury to issue updated guidance, including on commencement of construction, within 45 days. Customers are navigating short-term uncertainty while the new guidance on commencement of construction is unknown. If these financial benefits vary significantly from our investment assumptions or if the program gets changed or repealed during the current legislative cycle, our business, financial condition, and results of operations could be adversely affected.</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OBBB also extended key provisions of the 2017 Tax Cuts and Jobs Act including, but not limited to, federal bonus depreciation and deductions for domestic research and development expenditures. The Company is currently evaluating the income tax impact of OBBB on the Company’s future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45X Credit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The Section 45X manufacturing production tax credit applies to eligible components, including torque tube and structural fasteners. We have determined that the statutory definitions for these components (which are reiterated in final regulations) apply to our tracker components. Beginning in late 2023 and continuing through 2024 and into 2025, we have successfully negotiated, and we continue to successfully negotiate, agreements with key suppliers around sharing the economic benefits of section 45X credits associated with torque tube and structural fasteners. We continue to pursue additional agreements for splitting the economic benefits of section 45X with suppliers for parts we do not manufacture internally. In addition, during the second quarter of 2024, we concluded that certain parts manufactured by the Company qualify for the section 45X advanced production credits. 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in the accompanying notes to our condensed consolidated financial statements included in this Quarterly Report on Form 10-Q for a discussion on how we account for these incentives and amounts recognized for the periods presented. If these financial benefits vary significantly from our assumptions, our business, financial condition, and results of operations could be adversely affected.</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OBBB did not modify the phase-out of the section 45X credit or the definitions of eligible components relating to solar trackers; however, the OBBB did impose foreign entity of concern limitations on taxpayers claiming the section 45X credit. Specifically, taxpayers cannot claim the credit in taxable years beginning after enactment of the OBBB if they are prohibited foreign entities (which are generally entities that are formed in or controlled by covered nations, including China, Russia, Iran, and North Korea, as well as entities determined to be under effective control as a result of contracts entered into with such entities). The credit is also disallowed in taxable years beginning after enactment of the OBBB for eligible components that receive material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20"/>
          <w:szCs w:val="20"/>
          <w:color w:val="auto"/>
        </w:rPr>
        <w:t>assistance from a prohibited foreign entity. We are currently analyzing the impact of the foreign entity of concern limitations may have for credits claimed in 2026 and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Domestic Content Safe Harbor Guidance</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IRS issued Notice 2023-38 in May of 2023 setting forth guidance on the domestic content bonus tax credits under the IRA. Uncertainties still exist under this guidance, like whose costs would be used (the manufacturer’s cost, a vendor’s cost to acquire, etc.) and how to define manufactured product components associated with trackers. In May of 2024, the IRS issued Notice 2024-41 setting forth further guidance on the domestic content bonus tax credits, including a safe harbor method for calculating domestic content percentages. On January 16, 2025, the IRS released Notice 2025-08, modifying Notice 2023-38 and Notice 2024-41 as well as introducing an updated elective safe harbor method for use in lieu of provisions of the adjusted percentage rule provided in Notice 2023-38 for calculating the domestic content bonus credit amounts applicable for certain qualified facilities and energy projects. Notice 2024-41 and Notice 2025-08 and the updated definitions described therein have clarified some pre-existing uncertainty in the industry, but they have also introduced uncertainties of their own. These uncertainties have and could continue to cause our customers to delay projects as they navigate the existing guidance in qualifying for the tax credit and possibly wait for further clarity. If these financial benefits vary significantly from our assumptions, our business, financial condition, and results of operations could be adversely affected.</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OBBB increased the domestic content threshold for solar facilities that begin construction after June 16, 2025, to claim the domestic content bonus credit; however, the OBBB did not otherwise amend the requirements for claiming a domestic content bonus credit or the guidance previously issued by the government. It is possible, however, that the Trump Administration may seek to modify the domestic content guidance that was issued by the Biden Administration. We are currently evaluating the potential impact that the increased domestic content threshold may have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Structured Cost Management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the Ongoing Russian-Ukraine War</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ongoing Russian-Ukraine war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Disruption of Key Shipping Lanes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disruption of container shipping traffic through the Red Sea has created port congestion, especially in Asia, affecting transit times, capacity, and shipping costs for routes connecting the rest of the world with Asia. Many shipping companies have paused shipments through the Suez Canal and the Red Sea causing rerouting of commercial vessels. To address the challenges arising from prolonged transit times, we have increased our local sourcing efforts where feasible within certain regions. These measures aim to reduce delays to get the product to project sites on time. There is still uncertainty on how long these disruptions and the severity of their impact on our operations will last, but we continue to monitor the situation and evaluate our procurement and</w:t>
      </w:r>
    </w:p>
    <w:p>
      <w:pPr>
        <w:sectPr>
          <w:pgSz w:w="11900" w:h="16838" w:orient="portrait"/>
          <w:cols w:equalWidth="0" w:num="1">
            <w:col w:w="11240"/>
          </w:cols>
          <w:pgMar w:left="320" w:top="13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color w:val="auto"/>
        </w:rPr>
        <w:t>supply chain strategies, as to reduce any negative impact on our business,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Inflation</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Inflationary pressures may continue to negatively impact our results of operations in the near-term. To mitigate the inflationary pressures on our business, despite our average selling price (“ASP”) decreasing due to the current deflationary environment for commodities like steel, we have continued to accelerate our productivity initiatives, expanded our supplier base, and continued to execute on our overhead cost containment practices.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AD/CVD Petitions and Determinations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18, 2023, the U.S. Department of Commerce issued final affirmative determinations of circumvention with respect to certain crystalline solar photovoltaic (“CSPV”) cells and modules produced in Cambodia, Malaysia, Thailand and Vietnam using parts and components from China. As a result, certain CSPV cells and modules from Cambodia, Malaysia, Thailand and Vietnam are now subject to antidumping and countervailing duty (“AD/CVD”) orders on CSPV cells and modules from China that have been in place since 2012. Subject to certain certification and utilization conditions, imports of CSPV cells and modules covered by the circumvention determinations that entered the U.S. during the two-year period prior to June 6, 2024 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 Department of Commerce (the “USDOC”) and the U.S. International Trade Commission (“USITC”) seeking the imposition of AD/CVD tariffs on imports of CSPV cells and modules from Cambodia, Malaysia, Thailand and Vietnam. On May 20, 2025 the USITC made a final determination that U.S. industry had been materially injured by imports from Malaysia and Vietnam and threatened by imports from Cambodia and Thailand. On June 9, 2025 the USDOC issued AD/CVD orders that took effect on June 16, 2025. The tariff rates under the final determination vary from below 1% to more than 3,400%, depending on the relevant company.</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July 17, 2025, the Alliance for American Solar Manufacturing and Trade, which consists of First Solar, Mission Solar Energy, and Qcells, filed another petition with the USDOC and USITC seeking the imposition of AD/CVD tariffs on imports of CSPV cells and modules from India, Indonesia, and Laos. The petition alleges margins of 213.96 percent for India, 89.65 percent for Indonesia, and 245.79 to 249.09 percent for Laos. The final determination by the DOC is expected to be made sometime in fall 2026.</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investigations, and effective enforcement of the AD/CVD orders could negatively impact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Trade Policy and Executive Orders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On February 1, 2025, President Trump issued executive orders directing the U.S. to impose new tariffs on imports from Canada, Mexico, and China, to take effect on February 4, 2025, and on February 3, 2025,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20"/>
          <w:szCs w:val="20"/>
          <w:color w:val="auto"/>
        </w:rPr>
        <w:t xml:space="preserve">President Trump announced his intention to pause these tariffs on Canada and Mexico for a one-month period. The tariffs impose an additional 25% </w:t>
      </w:r>
      <w:r>
        <w:rPr>
          <w:rFonts w:ascii="Arial" w:cs="Arial" w:eastAsia="Arial" w:hAnsi="Arial"/>
          <w:sz w:val="20"/>
          <w:szCs w:val="20"/>
          <w:i w:val="1"/>
          <w:iCs w:val="1"/>
          <w:color w:val="auto"/>
        </w:rPr>
        <w:t>ad valorem</w:t>
      </w:r>
      <w:r>
        <w:rPr>
          <w:rFonts w:ascii="Arial" w:cs="Arial" w:eastAsia="Arial" w:hAnsi="Arial"/>
          <w:sz w:val="20"/>
          <w:szCs w:val="20"/>
          <w:color w:val="auto"/>
        </w:rPr>
        <w:t xml:space="preserve"> rate of duty on all imports from Canada and Mexico (other than imports of Canadian energy resources exports, which are subject to a 10% </w:t>
      </w:r>
      <w:r>
        <w:rPr>
          <w:rFonts w:ascii="Arial" w:cs="Arial" w:eastAsia="Arial" w:hAnsi="Arial"/>
          <w:sz w:val="20"/>
          <w:szCs w:val="20"/>
          <w:i w:val="1"/>
          <w:iCs w:val="1"/>
          <w:color w:val="auto"/>
        </w:rPr>
        <w:t>ad valorem</w:t>
      </w:r>
      <w:r>
        <w:rPr>
          <w:rFonts w:ascii="Arial" w:cs="Arial" w:eastAsia="Arial" w:hAnsi="Arial"/>
          <w:sz w:val="20"/>
          <w:szCs w:val="20"/>
          <w:color w:val="auto"/>
        </w:rPr>
        <w:t xml:space="preserve"> rate of duty) and an additional 10% </w:t>
      </w:r>
      <w:r>
        <w:rPr>
          <w:rFonts w:ascii="Arial" w:cs="Arial" w:eastAsia="Arial" w:hAnsi="Arial"/>
          <w:sz w:val="20"/>
          <w:szCs w:val="20"/>
          <w:i w:val="1"/>
          <w:iCs w:val="1"/>
          <w:color w:val="auto"/>
        </w:rPr>
        <w:t>ad valorem</w:t>
      </w:r>
      <w:r>
        <w:rPr>
          <w:rFonts w:ascii="Arial" w:cs="Arial" w:eastAsia="Arial" w:hAnsi="Arial"/>
          <w:sz w:val="20"/>
          <w:szCs w:val="20"/>
          <w:color w:val="auto"/>
        </w:rPr>
        <w:t xml:space="preserve"> rate of duty on all imports from China. On March 3, 2025, the announced 25% tariff on Canadian and Mexican goods took effect and the tariff on Chinese goods was doubled to 20%. On March 12, 2025 tariffs on steel and aluminum increased from 25% to 50% on all steel and aluminum coming from Canada. On April 2, 2025, President Trump introduced tariffs on most countries of a baseline rate of 10%, and individualized rates on some countries of up to 50%. On April 9, 2025, President Trump increased tariffs for Chinese goods to 125% and subsequently to 145%, while the tariffs announced on April 2, 2025, for all other countries, were reduced to a baseline rate of 10% for a period of 90 days. On July 7, 2025, President Trump extended the initial 90-day period for the 10% baseline rate until August 1, 2025 while also announcing increased tariffs for certain countries. These modifications were announced via an executive order on July 31, 2025 and became effective on August 7, 2025.</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President Trump also launched a new Section 301 investigation into Brazil’s alleged unreasonable or discriminatory trade practices; initiated a new Section 232 investigation into imports of polysilicon and its derivatives; initiated a new Section 232 investigation into imports of unmanned aircraft systems and their parts and components; and announced a 50% tariff on imports of copper following the conclusion of a Section 232 investigation, effective August 1, 2025. Finally, President Trump has most recently threatened to increase tariffs on imports from Canada to 35% and on imports from Mexico to 30%. Initially, Canada and Mexico were not subject to reciprocal tariffs as they were subject to earlier tariff actions.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currently evaluating the potential impact of the imposition of the announced tariffs, and any additional or retaliatory tariffs, to our business and financial condition.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Translation</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is megawatts (“MWs”) shipped and specifically the change in MWs shipped from period to period. MWs are measured for each individual project and are calculated based on the respective project’s expected megawatt output once installed and fully operational.</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and cost per watt (“CPW”). ASP is calculated by dividing total applicable revenues by total applicable MWs, whereas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3" w:name="page44"/>
    <w:bookmarkEnd w:id="43"/>
    <w:p>
      <w:pPr>
        <w:jc w:val="both"/>
        <w:ind w:right="20"/>
        <w:spacing w:after="0" w:line="286" w:lineRule="auto"/>
        <w:rPr>
          <w:sz w:val="20"/>
          <w:szCs w:val="20"/>
          <w:color w:val="auto"/>
        </w:rPr>
      </w:pPr>
      <w:r>
        <w:rPr>
          <w:rFonts w:ascii="Arial" w:cs="Arial" w:eastAsia="Arial" w:hAnsi="Arial"/>
          <w:sz w:val="20"/>
          <w:szCs w:val="20"/>
          <w:color w:val="auto"/>
        </w:rPr>
        <w:t>CPW is calculated by dividing total applicable costs of goods sold by total applicable MWs. These metrics enable us to evaluate trends in pricing, manufacturing cost, and customer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condensed consolidated statements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generate revenue from the sale of solar tracking systems,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commodity prices and availability of government incentives to the end-users of our products.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growth is dependent on continued growth in the size and number of solar energy projects installed each year, as well as our ability to maintain market share in each geography where we compete, expand our global footprint to new and evolving markets, grow our production capabilities to satisfy demand, and continue to develop and introduce new innovative products that integrate emerging technologies and the performance requirements of our customers.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Cost of product and service revenue consists primarily of product costs, including raw materials, purchased components, net of any incentives or rebates earned from our suppliers, salaries, wages and benefits of manufacturing personnel, freight, tariffs, customer support, product warranty, amortization of developed technology,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like those experienced in 2021 and 2022 during the COVID-19 pandemic. When possible, we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modify our production schedules and processes to mitigate the impact of these disruptions and cost increases on our margins.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We do not currently hedge against changes in the price of our raw materials.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Gross profit may vary from quarter to quarter and is primarily affected by our volume, ASPs, product costs, project mix, customer mix, geographical mix, commodity prices, logistics rates, warranty costs, and seasonality. Gross profit will also be impacted by tax incentives we can recognize, for example ICMS value added tax benefits in Brazil, which will be fully phased out in 2033.</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General and administrative expense consists primarily of salaries, benefits, and equity-based compensation related to our executive, sales, engineering, finance, human resources, information technology, and legal personnel, as well as travel, facility costs, marketing, provision for credit losses, professional fees, and third party services. The majority of our sales during the six months ended June 30, 2025 and 2024, were in the U.S.; however, we also have a sales presence in Spain, Brazil, South Africa and Australia. We intend to continue to expand our sales presence and marketing efforts to additional countries.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Contingent consideration consists of the changes in fair value of the TRA entered into with a former indirect stockholder, concurrent with the acquisition of Array Technologies Patent Holdings Co., LLC by ATI Investment Parent, LLC. The TRA liability was recorded at fair value as of July 8, 2016 and subsequent changes in the fair value are recognized in earnings. For discussion and analysis of the TRA see </w:t>
      </w:r>
      <w:r>
        <w:rPr>
          <w:rFonts w:ascii="Arial" w:cs="Arial" w:eastAsia="Arial" w:hAnsi="Arial"/>
          <w:sz w:val="20"/>
          <w:szCs w:val="20"/>
          <w:u w:val="single" w:color="auto"/>
          <w:color w:val="0000FF"/>
        </w:rPr>
        <w:t>Note 11 – Commitments and Contingencies</w:t>
      </w:r>
      <w:r>
        <w:rPr>
          <w:rFonts w:ascii="Arial" w:cs="Arial" w:eastAsia="Arial" w:hAnsi="Arial"/>
          <w:sz w:val="20"/>
          <w:szCs w:val="20"/>
          <w:color w:val="auto"/>
        </w:rPr>
        <w:t>.</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Amortization consists of the expense recognized over the expected period of use of our customer relationships, contractual backlog, and STI trade name intangible assets. Amortization related to certain acquired intangible assets is recorded as Total cost of revenue under Amortization of developed technology.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consists of interest earned on our cash and cash equivalents balance.</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(the “Senior Secured Credit Facility”), which included a $575 million term loan (the “Term Loan Facility”) and includes a $166 million revolving credit facility (the “Revolving Credit Facility”); the 1.00% Convertible Senior Notes due 2028 (the “2028 Convertible Notes” and, together with the 2031 Convertible Notes, the “Convertible Notes”); the 2031 Convertible Notes; and other debt held by our STI Operations (“Other Debt”).</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Gain on extinguishment of debts, net consists of the difference between the cash paid and the carrying value of repurchased 2028 Convertible Notes.</w:t>
      </w:r>
    </w:p>
    <w:p>
      <w:pPr>
        <w:spacing w:after="0" w:line="18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We are subject to U.S. federal, state and non-U.S. income taxes. As we expand into additional foreign markets, we may be subject to additional foreign tax.</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5" w:name="page46"/>
    <w:bookmarkEnd w:id="45"/>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Reportable Segments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We began reporting our results of operations in two segments: the Array Legacy Operations segment and the acquired STI Operations segment. The segment amounts included in this </w:t>
      </w:r>
      <w:r>
        <w:rPr>
          <w:rFonts w:ascii="Arial" w:cs="Arial" w:eastAsia="Arial" w:hAnsi="Arial"/>
          <w:sz w:val="20"/>
          <w:szCs w:val="20"/>
          <w:u w:val="single" w:color="auto"/>
          <w:color w:val="0000FF"/>
        </w:rPr>
        <w:t>Item 2. Management’s Discussion and Analysis</w:t>
      </w:r>
      <w:r>
        <w:rPr>
          <w:rFonts w:ascii="Arial" w:cs="Arial" w:eastAsia="Arial" w:hAnsi="Arial"/>
          <w:sz w:val="20"/>
          <w:szCs w:val="20"/>
          <w:color w:val="auto"/>
        </w:rPr>
        <w:t xml:space="preserve"> are presented on a basis consistent with our internal management reporting. Additional information on our reportable segments is contained in </w:t>
      </w:r>
      <w:r>
        <w:rPr>
          <w:rFonts w:ascii="Arial" w:cs="Arial" w:eastAsia="Arial" w:hAnsi="Arial"/>
          <w:sz w:val="20"/>
          <w:szCs w:val="20"/>
          <w:u w:val="single" w:color="auto"/>
          <w:color w:val="0000FF"/>
        </w:rPr>
        <w:t>Note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15 – Segment Reporting</w:t>
      </w:r>
      <w:r>
        <w:rPr>
          <w:rFonts w:ascii="Arial" w:cs="Arial" w:eastAsia="Arial" w:hAnsi="Arial"/>
          <w:sz w:val="20"/>
          <w:szCs w:val="20"/>
          <w:color w:val="0000FF"/>
        </w:rPr>
        <w:t xml:space="preserve"> </w:t>
      </w:r>
      <w:r>
        <w:rPr>
          <w:rFonts w:ascii="Arial" w:cs="Arial" w:eastAsia="Arial" w:hAnsi="Arial"/>
          <w:sz w:val="20"/>
          <w:szCs w:val="20"/>
          <w:color w:val="000000"/>
        </w:rPr>
        <w:t>in the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73"/>
        </w:trPr>
        <w:tc>
          <w:tcPr>
            <w:tcW w:w="3120" w:type="dxa"/>
            <w:vAlign w:val="bottom"/>
            <w:gridSpan w:val="4"/>
          </w:tcPr>
          <w:p>
            <w:pPr>
              <w:spacing w:after="0"/>
              <w:rPr>
                <w:sz w:val="20"/>
                <w:szCs w:val="20"/>
                <w:color w:val="auto"/>
              </w:rPr>
            </w:pPr>
            <w:r>
              <w:rPr>
                <w:rFonts w:ascii="Arial" w:cs="Arial" w:eastAsia="Arial" w:hAnsi="Arial"/>
                <w:sz w:val="20"/>
                <w:szCs w:val="20"/>
                <w:b w:val="1"/>
                <w:bCs w:val="1"/>
                <w:color w:val="auto"/>
              </w:rPr>
              <w:t>Results of Operations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10180" w:type="dxa"/>
            <w:vAlign w:val="bottom"/>
            <w:gridSpan w:val="20"/>
          </w:tcPr>
          <w:p>
            <w:pPr>
              <w:spacing w:after="0"/>
              <w:rPr>
                <w:sz w:val="20"/>
                <w:szCs w:val="20"/>
                <w:color w:val="auto"/>
              </w:rPr>
            </w:pPr>
            <w:r>
              <w:rPr>
                <w:rFonts w:ascii="Arial" w:cs="Arial" w:eastAsia="Arial" w:hAnsi="Arial"/>
                <w:sz w:val="20"/>
                <w:szCs w:val="20"/>
                <w:color w:val="auto"/>
              </w:rPr>
              <w:t>The following table sets forth our consolidated statement of operations (in thousands, except percentages):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5"/>
          </w:tcPr>
          <w:p>
            <w:pPr>
              <w:jc w:val="center"/>
              <w:ind w:right="240"/>
              <w:spacing w:after="0" w:line="220" w:lineRule="exact"/>
              <w:rPr>
                <w:sz w:val="20"/>
                <w:szCs w:val="20"/>
                <w:color w:val="auto"/>
              </w:rPr>
            </w:pPr>
            <w:r>
              <w:rPr>
                <w:rFonts w:ascii="Arial" w:cs="Arial" w:eastAsia="Arial" w:hAnsi="Arial"/>
                <w:sz w:val="20"/>
                <w:szCs w:val="20"/>
                <w:b w:val="1"/>
                <w:bCs w:val="1"/>
                <w:color w:val="auto"/>
                <w:w w:val="99"/>
              </w:rPr>
              <w:t>Three Months Ended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6"/>
          </w:tcPr>
          <w:p>
            <w:pPr>
              <w:ind w:left="60"/>
              <w:spacing w:after="0" w:line="220" w:lineRule="exact"/>
              <w:rPr>
                <w:sz w:val="20"/>
                <w:szCs w:val="20"/>
                <w:color w:val="auto"/>
              </w:rPr>
            </w:pPr>
            <w:r>
              <w:rPr>
                <w:rFonts w:ascii="Arial" w:cs="Arial" w:eastAsia="Arial" w:hAnsi="Arial"/>
                <w:sz w:val="20"/>
                <w:szCs w:val="20"/>
                <w:b w:val="1"/>
                <w:bCs w:val="1"/>
                <w:color w:val="auto"/>
              </w:rPr>
              <w:t>Six Months Ended June</w:t>
            </w:r>
          </w:p>
        </w:tc>
        <w:tc>
          <w:tcPr>
            <w:tcW w:w="160" w:type="dxa"/>
            <w:vAlign w:val="bottom"/>
          </w:tcPr>
          <w:p>
            <w:pPr>
              <w:spacing w:after="0"/>
              <w:rPr>
                <w:sz w:val="19"/>
                <w:szCs w:val="19"/>
                <w:color w:val="auto"/>
              </w:rPr>
            </w:pPr>
          </w:p>
        </w:tc>
        <w:tc>
          <w:tcPr>
            <w:tcW w:w="2080" w:type="dxa"/>
            <w:vAlign w:val="bottom"/>
            <w:gridSpan w:val="3"/>
            <w:vMerge w:val="restart"/>
          </w:tcPr>
          <w:p>
            <w:pPr>
              <w:jc w:val="right"/>
              <w:ind w:right="81"/>
              <w:spacing w:after="0"/>
              <w:rPr>
                <w:sz w:val="20"/>
                <w:szCs w:val="20"/>
                <w:color w:val="auto"/>
              </w:rPr>
            </w:pPr>
            <w:r>
              <w:rPr>
                <w:rFonts w:ascii="Arial" w:cs="Arial" w:eastAsia="Arial" w:hAnsi="Arial"/>
                <w:sz w:val="20"/>
                <w:szCs w:val="20"/>
                <w:b w:val="1"/>
                <w:bCs w:val="1"/>
                <w:color w:val="auto"/>
                <w:w w:val="99"/>
              </w:rPr>
              <w:t>Increase/(Decrease)</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20"/>
                <w:szCs w:val="20"/>
                <w:b w:val="1"/>
                <w:bCs w:val="1"/>
                <w:color w:val="auto"/>
                <w:w w:val="99"/>
              </w:rPr>
              <w:t>June 30,</w:t>
            </w:r>
          </w:p>
        </w:tc>
        <w:tc>
          <w:tcPr>
            <w:tcW w:w="140" w:type="dxa"/>
            <w:vAlign w:val="bottom"/>
          </w:tcPr>
          <w:p>
            <w:pPr>
              <w:spacing w:after="0"/>
              <w:rPr>
                <w:sz w:val="22"/>
                <w:szCs w:val="22"/>
                <w:color w:val="auto"/>
              </w:rPr>
            </w:pPr>
          </w:p>
        </w:tc>
        <w:tc>
          <w:tcPr>
            <w:tcW w:w="2360" w:type="dxa"/>
            <w:vAlign w:val="bottom"/>
            <w:gridSpan w:val="5"/>
          </w:tcPr>
          <w:p>
            <w:pPr>
              <w:jc w:val="right"/>
              <w:ind w:right="361"/>
              <w:spacing w:after="0"/>
              <w:rPr>
                <w:sz w:val="20"/>
                <w:szCs w:val="20"/>
                <w:color w:val="auto"/>
              </w:rPr>
            </w:pPr>
            <w:r>
              <w:rPr>
                <w:rFonts w:ascii="Arial" w:cs="Arial" w:eastAsia="Arial" w:hAnsi="Arial"/>
                <w:sz w:val="20"/>
                <w:szCs w:val="20"/>
                <w:b w:val="1"/>
                <w:bCs w:val="1"/>
                <w:color w:val="auto"/>
                <w:w w:val="99"/>
              </w:rPr>
              <w:t>Increase/(Decrease)</w:t>
            </w:r>
          </w:p>
        </w:tc>
        <w:tc>
          <w:tcPr>
            <w:tcW w:w="1240" w:type="dxa"/>
            <w:vAlign w:val="bottom"/>
            <w:gridSpan w:val="3"/>
          </w:tcPr>
          <w:p>
            <w:pPr>
              <w:jc w:val="right"/>
              <w:ind w:right="41"/>
              <w:spacing w:after="0"/>
              <w:rPr>
                <w:sz w:val="20"/>
                <w:szCs w:val="20"/>
                <w:color w:val="auto"/>
              </w:rPr>
            </w:pPr>
            <w:r>
              <w:rPr>
                <w:rFonts w:ascii="Arial" w:cs="Arial" w:eastAsia="Arial" w:hAnsi="Arial"/>
                <w:sz w:val="20"/>
                <w:szCs w:val="20"/>
                <w:b w:val="1"/>
                <w:bCs w:val="1"/>
                <w:color w:val="auto"/>
              </w:rPr>
              <w:t>30,</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2025</w:t>
            </w:r>
          </w:p>
        </w:tc>
        <w:tc>
          <w:tcPr>
            <w:tcW w:w="1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w:t>
            </w:r>
          </w:p>
        </w:tc>
        <w:tc>
          <w:tcPr>
            <w:tcW w:w="1060" w:type="dxa"/>
            <w:vAlign w:val="bottom"/>
            <w:tcBorders>
              <w:top w:val="single" w:sz="8" w:color="auto"/>
            </w:tcBorders>
            <w:gridSpan w:val="2"/>
          </w:tcPr>
          <w:p>
            <w:pPr>
              <w:jc w:val="right"/>
              <w:ind w:right="30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2025</w:t>
            </w: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060" w:type="dxa"/>
            <w:vAlign w:val="bottom"/>
            <w:tcBorders>
              <w:top w:val="single" w:sz="8" w:color="auto"/>
            </w:tcBorders>
            <w:gridSpan w:val="2"/>
          </w:tcPr>
          <w:p>
            <w:pPr>
              <w:jc w:val="right"/>
              <w:ind w:right="3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0"/>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362,243</w:t>
            </w: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255,766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106,477</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42 %</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664,606</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409,169</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255,437</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62 %</w:t>
            </w:r>
          </w:p>
        </w:tc>
        <w:tc>
          <w:tcPr>
            <w:tcW w:w="0" w:type="dxa"/>
            <w:vAlign w:val="bottom"/>
          </w:tcPr>
          <w:p>
            <w:pPr>
              <w:spacing w:after="0"/>
              <w:rPr>
                <w:sz w:val="1"/>
                <w:szCs w:val="1"/>
                <w:color w:val="auto"/>
              </w:rPr>
            </w:pPr>
          </w:p>
        </w:tc>
      </w:tr>
      <w:tr>
        <w:trPr>
          <w:trHeight w:val="257"/>
        </w:trPr>
        <w:tc>
          <w:tcPr>
            <w:tcW w:w="188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Cost of product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8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and service</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261,479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166,173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95,306</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57 %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483,775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260,847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222,928</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85 %</w:t>
            </w:r>
          </w:p>
        </w:tc>
        <w:tc>
          <w:tcPr>
            <w:tcW w:w="0" w:type="dxa"/>
            <w:vAlign w:val="bottom"/>
          </w:tcPr>
          <w:p>
            <w:pPr>
              <w:spacing w:after="0"/>
              <w:rPr>
                <w:sz w:val="1"/>
                <w:szCs w:val="1"/>
                <w:color w:val="auto"/>
              </w:rPr>
            </w:pPr>
          </w:p>
        </w:tc>
      </w:tr>
      <w:tr>
        <w:trPr>
          <w:trHeight w:val="265"/>
        </w:trPr>
        <w:tc>
          <w:tcPr>
            <w:tcW w:w="1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revenue</w:t>
            </w:r>
          </w:p>
        </w:tc>
        <w:tc>
          <w:tcPr>
            <w:tcW w:w="160" w:type="dxa"/>
            <w:vAlign w:val="bottom"/>
            <w:shd w:val="clear" w:color="auto" w:fill="CCEEFF"/>
          </w:tcPr>
          <w:p>
            <w:pPr>
              <w:spacing w:after="0"/>
              <w:rPr>
                <w:sz w:val="23"/>
                <w:szCs w:val="23"/>
                <w:color w:val="auto"/>
              </w:rPr>
            </w:pPr>
          </w:p>
        </w:tc>
        <w:tc>
          <w:tcPr>
            <w:tcW w:w="920" w:type="dxa"/>
            <w:vAlign w:val="bottom"/>
            <w:vMerge w:val="continue"/>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06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vMerge w:val="continue"/>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06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240"/>
              <w:spacing w:after="0" w:line="189" w:lineRule="exact"/>
              <w:rPr>
                <w:sz w:val="20"/>
                <w:szCs w:val="20"/>
                <w:color w:val="auto"/>
              </w:rPr>
            </w:pPr>
            <w:r>
              <w:rPr>
                <w:rFonts w:ascii="Arial" w:cs="Arial" w:eastAsia="Arial" w:hAnsi="Arial"/>
                <w:sz w:val="20"/>
                <w:szCs w:val="20"/>
                <w:color w:val="auto"/>
              </w:rPr>
              <w:t>Amortization of</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80" w:type="dxa"/>
            <w:vAlign w:val="bottom"/>
          </w:tcPr>
          <w:p>
            <w:pPr>
              <w:ind w:left="240"/>
              <w:spacing w:after="0" w:line="194" w:lineRule="exact"/>
              <w:rPr>
                <w:sz w:val="20"/>
                <w:szCs w:val="20"/>
                <w:color w:val="auto"/>
              </w:rPr>
            </w:pPr>
            <w:r>
              <w:rPr>
                <w:rFonts w:ascii="Arial" w:cs="Arial" w:eastAsia="Arial" w:hAnsi="Arial"/>
                <w:sz w:val="20"/>
                <w:szCs w:val="20"/>
                <w:color w:val="auto"/>
              </w:rPr>
              <w:t>developed</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3,640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3,640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1260" w:type="dxa"/>
            <w:vAlign w:val="bottom"/>
            <w:gridSpan w:val="3"/>
            <w:vMerge w:val="restart"/>
          </w:tcPr>
          <w:p>
            <w:pPr>
              <w:jc w:val="right"/>
              <w:ind w:right="201"/>
              <w:spacing w:after="0"/>
              <w:rPr>
                <w:sz w:val="20"/>
                <w:szCs w:val="20"/>
                <w:color w:val="auto"/>
              </w:rPr>
            </w:pPr>
            <w:r>
              <w:rPr>
                <w:rFonts w:ascii="Arial" w:cs="Arial" w:eastAsia="Arial" w:hAnsi="Arial"/>
                <w:sz w:val="20"/>
                <w:szCs w:val="20"/>
                <w:color w:val="auto"/>
              </w:rPr>
              <w:t>— %</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7,279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7,279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63"/>
        </w:trPr>
        <w:tc>
          <w:tcPr>
            <w:tcW w:w="1880" w:type="dxa"/>
            <w:vAlign w:val="bottom"/>
          </w:tcPr>
          <w:p>
            <w:pPr>
              <w:ind w:left="240"/>
              <w:spacing w:after="0"/>
              <w:rPr>
                <w:sz w:val="20"/>
                <w:szCs w:val="20"/>
                <w:color w:val="auto"/>
              </w:rPr>
            </w:pPr>
            <w:r>
              <w:rPr>
                <w:rFonts w:ascii="Arial" w:cs="Arial" w:eastAsia="Arial" w:hAnsi="Arial"/>
                <w:sz w:val="20"/>
                <w:szCs w:val="20"/>
                <w:color w:val="auto"/>
              </w:rPr>
              <w:t>technology</w:t>
            </w: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w w:val="98"/>
              </w:rPr>
              <w:t>Total cost of revenue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265,119</w:t>
            </w: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169,813</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95,306</w:t>
            </w:r>
          </w:p>
        </w:tc>
        <w:tc>
          <w:tcPr>
            <w:tcW w:w="10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56 %</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491,054</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268,126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222,928</w:t>
            </w:r>
          </w:p>
        </w:tc>
        <w:tc>
          <w:tcPr>
            <w:tcW w:w="10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83 %</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Gross profit</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97,124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85,953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11,171</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13 %</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173,552</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141,043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32,509</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50"/>
        </w:trPr>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8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General and</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44,954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36,971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7,983</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22 %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88,899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74,755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14,144</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administrative</w:t>
            </w:r>
          </w:p>
        </w:tc>
        <w:tc>
          <w:tcPr>
            <w:tcW w:w="16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line="189" w:lineRule="exact"/>
              <w:rPr>
                <w:sz w:val="20"/>
                <w:szCs w:val="20"/>
                <w:color w:val="auto"/>
              </w:rPr>
            </w:pPr>
            <w:r>
              <w:rPr>
                <w:rFonts w:ascii="Arial" w:cs="Arial" w:eastAsia="Arial" w:hAnsi="Arial"/>
                <w:sz w:val="20"/>
                <w:szCs w:val="20"/>
                <w:color w:val="auto"/>
              </w:rPr>
              <w:t>Change in fair value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80" w:type="dxa"/>
            <w:vAlign w:val="bottom"/>
          </w:tcPr>
          <w:p>
            <w:pPr>
              <w:ind w:left="20"/>
              <w:spacing w:after="0" w:line="194" w:lineRule="exact"/>
              <w:rPr>
                <w:sz w:val="20"/>
                <w:szCs w:val="20"/>
                <w:color w:val="auto"/>
              </w:rPr>
            </w:pPr>
            <w:r>
              <w:rPr>
                <w:rFonts w:ascii="Arial" w:cs="Arial" w:eastAsia="Arial" w:hAnsi="Arial"/>
                <w:sz w:val="20"/>
                <w:szCs w:val="20"/>
                <w:color w:val="auto"/>
              </w:rPr>
              <w:t>of contingent</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503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(353)</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232</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63"/>
        </w:trPr>
        <w:tc>
          <w:tcPr>
            <w:tcW w:w="1880" w:type="dxa"/>
            <w:vAlign w:val="bottom"/>
          </w:tcPr>
          <w:p>
            <w:pPr>
              <w:ind w:left="20"/>
              <w:spacing w:after="0"/>
              <w:rPr>
                <w:sz w:val="20"/>
                <w:szCs w:val="20"/>
                <w:color w:val="auto"/>
              </w:rPr>
            </w:pPr>
            <w:r>
              <w:rPr>
                <w:rFonts w:ascii="Arial" w:cs="Arial" w:eastAsia="Arial" w:hAnsi="Arial"/>
                <w:sz w:val="20"/>
                <w:szCs w:val="20"/>
                <w:color w:val="auto"/>
              </w:rPr>
              <w:t>consideration</w:t>
            </w: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80" w:type="dxa"/>
            <w:vAlign w:val="bottom"/>
            <w:shd w:val="clear" w:color="auto" w:fill="CCEEFF"/>
          </w:tcPr>
          <w:p>
            <w:pPr>
              <w:ind w:left="20"/>
              <w:spacing w:after="0" w:line="191" w:lineRule="exact"/>
              <w:rPr>
                <w:sz w:val="20"/>
                <w:szCs w:val="20"/>
                <w:color w:val="auto"/>
              </w:rPr>
            </w:pPr>
            <w:r>
              <w:rPr>
                <w:rFonts w:ascii="Arial" w:cs="Arial" w:eastAsia="Arial" w:hAnsi="Arial"/>
                <w:sz w:val="20"/>
                <w:szCs w:val="20"/>
                <w:color w:val="auto"/>
              </w:rPr>
              <w:t>Depreciation and</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5,644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8,877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(3,233)</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10,993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18,504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(7,511)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amortization</w:t>
            </w: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560"/>
              <w:spacing w:after="0" w:line="169" w:lineRule="exact"/>
              <w:rPr>
                <w:sz w:val="20"/>
                <w:szCs w:val="20"/>
                <w:color w:val="auto"/>
              </w:rPr>
            </w:pPr>
            <w:r>
              <w:rPr>
                <w:rFonts w:ascii="Arial" w:cs="Arial" w:eastAsia="Arial" w:hAnsi="Arial"/>
                <w:sz w:val="19"/>
                <w:szCs w:val="19"/>
                <w:color w:val="auto"/>
              </w:rPr>
              <w:t>Total operating</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50,748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46,351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4,397</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9 %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99,892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93,027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6,865</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expenses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CCEEFF"/>
            </w:tcBorders>
            <w:gridSpan w:val="2"/>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line="189" w:lineRule="exact"/>
              <w:rPr>
                <w:sz w:val="20"/>
                <w:szCs w:val="20"/>
                <w:color w:val="auto"/>
              </w:rPr>
            </w:pPr>
            <w:r>
              <w:rPr>
                <w:rFonts w:ascii="Arial" w:cs="Arial" w:eastAsia="Arial" w:hAnsi="Arial"/>
                <w:sz w:val="20"/>
                <w:szCs w:val="20"/>
                <w:color w:val="auto"/>
              </w:rPr>
              <w:t>Income from</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46,376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39,602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6,774</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17 %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73,660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48,016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25,644</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53 %</w:t>
            </w:r>
          </w:p>
        </w:tc>
        <w:tc>
          <w:tcPr>
            <w:tcW w:w="0" w:type="dxa"/>
            <w:vAlign w:val="bottom"/>
          </w:tcPr>
          <w:p>
            <w:pPr>
              <w:spacing w:after="0"/>
              <w:rPr>
                <w:sz w:val="1"/>
                <w:szCs w:val="1"/>
                <w:color w:val="auto"/>
              </w:rPr>
            </w:pPr>
          </w:p>
        </w:tc>
      </w:tr>
      <w:tr>
        <w:trPr>
          <w:trHeight w:val="257"/>
        </w:trPr>
        <w:tc>
          <w:tcPr>
            <w:tcW w:w="1880" w:type="dxa"/>
            <w:vAlign w:val="bottom"/>
          </w:tcPr>
          <w:p>
            <w:pPr>
              <w:ind w:left="20"/>
              <w:spacing w:after="0"/>
              <w:rPr>
                <w:sz w:val="20"/>
                <w:szCs w:val="20"/>
                <w:color w:val="auto"/>
              </w:rPr>
            </w:pPr>
            <w:r>
              <w:rPr>
                <w:rFonts w:ascii="Arial" w:cs="Arial" w:eastAsia="Arial" w:hAnsi="Arial"/>
                <w:sz w:val="20"/>
                <w:szCs w:val="20"/>
                <w:color w:val="auto"/>
              </w:rPr>
              <w:t>operations</w:t>
            </w: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88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3,800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4,782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(982)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7,119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8,462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(1,343)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(8,768)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(8,614)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(16,803)</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(17,554)</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line="189" w:lineRule="exact"/>
              <w:rPr>
                <w:sz w:val="20"/>
                <w:szCs w:val="20"/>
                <w:color w:val="auto"/>
              </w:rPr>
            </w:pPr>
            <w:r>
              <w:rPr>
                <w:rFonts w:ascii="Arial" w:cs="Arial" w:eastAsia="Arial" w:hAnsi="Arial"/>
                <w:sz w:val="20"/>
                <w:szCs w:val="20"/>
                <w:color w:val="auto"/>
              </w:rPr>
              <w:t>Foreign currency</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1,343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(468)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1,811</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387 %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2,032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(967)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2,999</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310 %</w:t>
            </w:r>
          </w:p>
        </w:tc>
        <w:tc>
          <w:tcPr>
            <w:tcW w:w="0" w:type="dxa"/>
            <w:vAlign w:val="bottom"/>
          </w:tcPr>
          <w:p>
            <w:pPr>
              <w:spacing w:after="0"/>
              <w:rPr>
                <w:sz w:val="1"/>
                <w:szCs w:val="1"/>
                <w:color w:val="auto"/>
              </w:rPr>
            </w:pPr>
          </w:p>
        </w:tc>
      </w:tr>
      <w:tr>
        <w:trPr>
          <w:trHeight w:val="257"/>
        </w:trPr>
        <w:tc>
          <w:tcPr>
            <w:tcW w:w="1880" w:type="dxa"/>
            <w:vAlign w:val="bottom"/>
          </w:tcPr>
          <w:p>
            <w:pPr>
              <w:ind w:left="20"/>
              <w:spacing w:after="0"/>
              <w:rPr>
                <w:sz w:val="20"/>
                <w:szCs w:val="20"/>
                <w:color w:val="auto"/>
              </w:rPr>
            </w:pPr>
            <w:r>
              <w:rPr>
                <w:rFonts w:ascii="Arial" w:cs="Arial" w:eastAsia="Arial" w:hAnsi="Arial"/>
                <w:sz w:val="20"/>
                <w:szCs w:val="20"/>
                <w:color w:val="auto"/>
              </w:rPr>
              <w:t>gain (loss), net</w:t>
            </w: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Gain on</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extinguishment of</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14,207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14,207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100 %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14,207</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14,207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65"/>
        </w:trPr>
        <w:tc>
          <w:tcPr>
            <w:tcW w:w="1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debts, net</w:t>
            </w:r>
          </w:p>
        </w:tc>
        <w:tc>
          <w:tcPr>
            <w:tcW w:w="160" w:type="dxa"/>
            <w:vAlign w:val="bottom"/>
            <w:shd w:val="clear" w:color="auto" w:fill="CCEEFF"/>
          </w:tcPr>
          <w:p>
            <w:pPr>
              <w:spacing w:after="0"/>
              <w:rPr>
                <w:sz w:val="23"/>
                <w:szCs w:val="23"/>
                <w:color w:val="auto"/>
              </w:rPr>
            </w:pPr>
          </w:p>
        </w:tc>
        <w:tc>
          <w:tcPr>
            <w:tcW w:w="920" w:type="dxa"/>
            <w:vAlign w:val="bottom"/>
            <w:vMerge w:val="continue"/>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vMerge w:val="continue"/>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060" w:type="dxa"/>
            <w:vAlign w:val="bottom"/>
            <w:gridSpan w:val="2"/>
            <w:vMerge w:val="continue"/>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vMerge w:val="continue"/>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vMerge w:val="continue"/>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106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expense, net</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(1,794)</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1,715</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96 %</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(980)</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924</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94 %</w:t>
            </w: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560"/>
              <w:spacing w:after="0" w:line="169" w:lineRule="exact"/>
              <w:rPr>
                <w:sz w:val="20"/>
                <w:szCs w:val="20"/>
                <w:color w:val="auto"/>
              </w:rPr>
            </w:pPr>
            <w:r>
              <w:rPr>
                <w:rFonts w:ascii="Arial" w:cs="Arial" w:eastAsia="Arial" w:hAnsi="Arial"/>
                <w:sz w:val="19"/>
                <w:szCs w:val="19"/>
                <w:color w:val="auto"/>
              </w:rPr>
              <w:t>Total other</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80" w:type="dxa"/>
            <w:vAlign w:val="bottom"/>
            <w:shd w:val="clear" w:color="auto" w:fill="CCEEFF"/>
          </w:tcPr>
          <w:p>
            <w:pPr>
              <w:ind w:left="560"/>
              <w:spacing w:after="0" w:line="194" w:lineRule="exact"/>
              <w:rPr>
                <w:sz w:val="20"/>
                <w:szCs w:val="20"/>
                <w:color w:val="auto"/>
              </w:rPr>
            </w:pPr>
            <w:r>
              <w:rPr>
                <w:rFonts w:ascii="Arial" w:cs="Arial" w:eastAsia="Arial" w:hAnsi="Arial"/>
                <w:sz w:val="20"/>
                <w:szCs w:val="20"/>
                <w:color w:val="auto"/>
              </w:rPr>
              <w:t>income</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10,503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(6,094)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16,597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272 %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6,499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(11,039)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17,538</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159 %</w:t>
            </w:r>
          </w:p>
        </w:tc>
        <w:tc>
          <w:tcPr>
            <w:tcW w:w="0" w:type="dxa"/>
            <w:vAlign w:val="bottom"/>
          </w:tcPr>
          <w:p>
            <w:pPr>
              <w:spacing w:after="0"/>
              <w:rPr>
                <w:sz w:val="1"/>
                <w:szCs w:val="1"/>
                <w:color w:val="auto"/>
              </w:rPr>
            </w:pPr>
          </w:p>
        </w:tc>
      </w:tr>
      <w:tr>
        <w:trPr>
          <w:trHeight w:val="263"/>
        </w:trPr>
        <w:tc>
          <w:tcPr>
            <w:tcW w:w="18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(expense), net</w:t>
            </w: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Income before</w:t>
            </w: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56,879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33,508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23,371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70 %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80,159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36,977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43,182</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117 %</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16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13,617</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7,810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5,807</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74 %</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20,151</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9,114</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11,037</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121 %</w:t>
            </w:r>
          </w:p>
        </w:tc>
        <w:tc>
          <w:tcPr>
            <w:tcW w:w="0" w:type="dxa"/>
            <w:vAlign w:val="bottom"/>
          </w:tcPr>
          <w:p>
            <w:pPr>
              <w:spacing w:after="0"/>
              <w:rPr>
                <w:sz w:val="1"/>
                <w:szCs w:val="1"/>
                <w:color w:val="auto"/>
              </w:rPr>
            </w:pPr>
          </w:p>
        </w:tc>
      </w:tr>
      <w:tr>
        <w:trPr>
          <w:trHeight w:val="275"/>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43,262</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25,698</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17,564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68 %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60,008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27,863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32,145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115 %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47" w:name="page48"/>
    <w:bookmarkEnd w:id="47"/>
    <w:p>
      <w:pPr>
        <w:spacing w:after="0" w:line="123" w:lineRule="exact"/>
        <w:rPr>
          <w:sz w:val="20"/>
          <w:szCs w:val="20"/>
          <w:color w:val="auto"/>
        </w:rPr>
      </w:pPr>
    </w:p>
    <w:p>
      <w:pPr>
        <w:ind w:right="420"/>
        <w:spacing w:after="0" w:line="273" w:lineRule="auto"/>
        <w:rPr>
          <w:sz w:val="20"/>
          <w:szCs w:val="20"/>
          <w:color w:val="auto"/>
        </w:rPr>
      </w:pPr>
      <w:r>
        <w:rPr>
          <w:rFonts w:ascii="Arial" w:cs="Arial" w:eastAsia="Arial" w:hAnsi="Arial"/>
          <w:sz w:val="20"/>
          <w:szCs w:val="20"/>
          <w:color w:val="auto"/>
        </w:rPr>
        <w:t>The following table provides details on our operating results by reportable segment for the respective periods (in thousands, except percentages):</w:t>
      </w:r>
    </w:p>
    <w:tbl>
      <w:tblPr>
        <w:tblLayout w:type="fixed"/>
        <w:tblInd w:w="0" w:type="dxa"/>
        <w:tblCellMar>
          <w:top w:w="0" w:type="dxa"/>
          <w:left w:w="0" w:type="dxa"/>
          <w:bottom w:w="0" w:type="dxa"/>
          <w:right w:w="0" w:type="dxa"/>
        </w:tblCellMar>
      </w:tblPr>
      <w:tr>
        <w:trPr>
          <w:trHeight w:val="200"/>
        </w:trPr>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5"/>
          </w:tcPr>
          <w:p>
            <w:pPr>
              <w:jc w:val="center"/>
              <w:ind w:right="220"/>
              <w:spacing w:after="0" w:line="201" w:lineRule="exact"/>
              <w:rPr>
                <w:sz w:val="20"/>
                <w:szCs w:val="20"/>
                <w:color w:val="auto"/>
              </w:rPr>
            </w:pPr>
            <w:r>
              <w:rPr>
                <w:rFonts w:ascii="Arial" w:cs="Arial" w:eastAsia="Arial" w:hAnsi="Arial"/>
                <w:sz w:val="20"/>
                <w:szCs w:val="20"/>
                <w:b w:val="1"/>
                <w:bCs w:val="1"/>
                <w:color w:val="auto"/>
                <w:w w:val="99"/>
              </w:rPr>
              <w:t>Three Months Ended</w:t>
            </w:r>
          </w:p>
        </w:tc>
        <w:tc>
          <w:tcPr>
            <w:tcW w:w="160" w:type="dxa"/>
            <w:vAlign w:val="bottom"/>
          </w:tcPr>
          <w:p>
            <w:pPr>
              <w:spacing w:after="0"/>
              <w:rPr>
                <w:sz w:val="17"/>
                <w:szCs w:val="17"/>
                <w:color w:val="auto"/>
              </w:rPr>
            </w:pPr>
          </w:p>
        </w:tc>
        <w:tc>
          <w:tcPr>
            <w:tcW w:w="2160" w:type="dxa"/>
            <w:vAlign w:val="bottom"/>
            <w:gridSpan w:val="4"/>
            <w:vMerge w:val="restart"/>
          </w:tcPr>
          <w:p>
            <w:pPr>
              <w:ind w:left="20"/>
              <w:spacing w:after="0"/>
              <w:rPr>
                <w:sz w:val="20"/>
                <w:szCs w:val="20"/>
                <w:color w:val="auto"/>
              </w:rPr>
            </w:pPr>
            <w:r>
              <w:rPr>
                <w:rFonts w:ascii="Arial" w:cs="Arial" w:eastAsia="Arial" w:hAnsi="Arial"/>
                <w:sz w:val="20"/>
                <w:szCs w:val="20"/>
                <w:b w:val="1"/>
                <w:bCs w:val="1"/>
                <w:color w:val="auto"/>
              </w:rPr>
              <w:t>Increase/(Decrease)</w:t>
            </w:r>
          </w:p>
        </w:tc>
        <w:tc>
          <w:tcPr>
            <w:tcW w:w="2400" w:type="dxa"/>
            <w:vAlign w:val="bottom"/>
            <w:gridSpan w:val="6"/>
          </w:tcPr>
          <w:p>
            <w:pPr>
              <w:ind w:left="40"/>
              <w:spacing w:after="0" w:line="201" w:lineRule="exact"/>
              <w:rPr>
                <w:sz w:val="20"/>
                <w:szCs w:val="20"/>
                <w:color w:val="auto"/>
              </w:rPr>
            </w:pPr>
            <w:r>
              <w:rPr>
                <w:rFonts w:ascii="Arial" w:cs="Arial" w:eastAsia="Arial" w:hAnsi="Arial"/>
                <w:sz w:val="20"/>
                <w:szCs w:val="20"/>
                <w:b w:val="1"/>
                <w:bCs w:val="1"/>
                <w:color w:val="auto"/>
              </w:rPr>
              <w:t>Six Months Ended June</w:t>
            </w:r>
          </w:p>
        </w:tc>
        <w:tc>
          <w:tcPr>
            <w:tcW w:w="160" w:type="dxa"/>
            <w:vAlign w:val="bottom"/>
          </w:tcPr>
          <w:p>
            <w:pPr>
              <w:spacing w:after="0"/>
              <w:rPr>
                <w:sz w:val="17"/>
                <w:szCs w:val="17"/>
                <w:color w:val="auto"/>
              </w:rPr>
            </w:pPr>
          </w:p>
        </w:tc>
        <w:tc>
          <w:tcPr>
            <w:tcW w:w="2080" w:type="dxa"/>
            <w:vAlign w:val="bottom"/>
            <w:gridSpan w:val="3"/>
            <w:vMerge w:val="restart"/>
          </w:tcPr>
          <w:p>
            <w:pPr>
              <w:jc w:val="right"/>
              <w:ind w:right="180"/>
              <w:spacing w:after="0"/>
              <w:rPr>
                <w:sz w:val="20"/>
                <w:szCs w:val="20"/>
                <w:color w:val="auto"/>
              </w:rPr>
            </w:pPr>
            <w:r>
              <w:rPr>
                <w:rFonts w:ascii="Arial" w:cs="Arial" w:eastAsia="Arial" w:hAnsi="Arial"/>
                <w:sz w:val="20"/>
                <w:szCs w:val="20"/>
                <w:b w:val="1"/>
                <w:bCs w:val="1"/>
                <w:color w:val="auto"/>
                <w:w w:val="99"/>
              </w:rPr>
              <w:t>Increase/(Decrease)</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20"/>
                <w:szCs w:val="20"/>
                <w:b w:val="1"/>
                <w:bCs w:val="1"/>
                <w:color w:val="auto"/>
                <w:w w:val="97"/>
              </w:rPr>
              <w:t>June 30,</w:t>
            </w:r>
          </w:p>
        </w:tc>
        <w:tc>
          <w:tcPr>
            <w:tcW w:w="160" w:type="dxa"/>
            <w:vAlign w:val="bottom"/>
          </w:tcPr>
          <w:p>
            <w:pPr>
              <w:spacing w:after="0"/>
              <w:rPr>
                <w:sz w:val="22"/>
                <w:szCs w:val="22"/>
                <w:color w:val="auto"/>
              </w:rPr>
            </w:pPr>
          </w:p>
        </w:tc>
        <w:tc>
          <w:tcPr>
            <w:tcW w:w="2160" w:type="dxa"/>
            <w:vAlign w:val="bottom"/>
            <w:gridSpan w:val="4"/>
            <w:vMerge w:val="continue"/>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21"/>
              <w:spacing w:after="0"/>
              <w:rPr>
                <w:sz w:val="20"/>
                <w:szCs w:val="20"/>
                <w:color w:val="auto"/>
              </w:rPr>
            </w:pPr>
            <w:r>
              <w:rPr>
                <w:rFonts w:ascii="Arial" w:cs="Arial" w:eastAsia="Arial" w:hAnsi="Arial"/>
                <w:sz w:val="20"/>
                <w:szCs w:val="20"/>
                <w:b w:val="1"/>
                <w:bCs w:val="1"/>
                <w:color w:val="auto"/>
              </w:rPr>
              <w:t>30,</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060" w:type="dxa"/>
            <w:vAlign w:val="bottom"/>
            <w:tcBorders>
              <w:top w:val="single" w:sz="8" w:color="auto"/>
            </w:tcBorders>
            <w:gridSpan w:val="2"/>
          </w:tcPr>
          <w:p>
            <w:pPr>
              <w:jc w:val="right"/>
              <w:ind w:right="30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0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240"/>
              <w:spacing w:after="0" w:line="189" w:lineRule="exact"/>
              <w:rPr>
                <w:sz w:val="20"/>
                <w:szCs w:val="20"/>
                <w:color w:val="auto"/>
              </w:rPr>
            </w:pPr>
            <w:r>
              <w:rPr>
                <w:rFonts w:ascii="Arial" w:cs="Arial" w:eastAsia="Arial" w:hAnsi="Arial"/>
                <w:sz w:val="20"/>
                <w:szCs w:val="20"/>
                <w:color w:val="auto"/>
              </w:rPr>
              <w:t>Array Legacy</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vMerge w:val="restart"/>
          </w:tcPr>
          <w:p>
            <w:pPr>
              <w:jc w:val="right"/>
              <w:ind w:right="1"/>
              <w:spacing w:after="0"/>
              <w:rPr>
                <w:sz w:val="20"/>
                <w:szCs w:val="20"/>
                <w:color w:val="auto"/>
              </w:rPr>
            </w:pPr>
            <w:r>
              <w:rPr>
                <w:rFonts w:ascii="Arial" w:cs="Arial" w:eastAsia="Arial" w:hAnsi="Arial"/>
                <w:sz w:val="20"/>
                <w:szCs w:val="20"/>
                <w:color w:val="auto"/>
              </w:rPr>
              <w:t>291,886</w:t>
            </w:r>
          </w:p>
        </w:tc>
        <w:tc>
          <w:tcPr>
            <w:tcW w:w="80" w:type="dxa"/>
            <w:vAlign w:val="bottom"/>
          </w:tcPr>
          <w:p>
            <w:pPr>
              <w:spacing w:after="0"/>
              <w:rPr>
                <w:sz w:val="16"/>
                <w:szCs w:val="16"/>
                <w:color w:val="auto"/>
              </w:rPr>
            </w:pP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185,160</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106,726</w:t>
            </w:r>
          </w:p>
        </w:tc>
        <w:tc>
          <w:tcPr>
            <w:tcW w:w="1060" w:type="dxa"/>
            <w:vAlign w:val="bottom"/>
            <w:gridSpan w:val="2"/>
            <w:vMerge w:val="restart"/>
          </w:tcPr>
          <w:p>
            <w:pPr>
              <w:jc w:val="right"/>
              <w:spacing w:after="0"/>
              <w:rPr>
                <w:sz w:val="20"/>
                <w:szCs w:val="20"/>
                <w:color w:val="auto"/>
              </w:rPr>
            </w:pPr>
            <w:r>
              <w:rPr>
                <w:rFonts w:ascii="Arial" w:cs="Arial" w:eastAsia="Arial" w:hAnsi="Arial"/>
                <w:sz w:val="20"/>
                <w:szCs w:val="20"/>
                <w:color w:val="auto"/>
              </w:rPr>
              <w:t>58 %</w:t>
            </w:r>
          </w:p>
        </w:tc>
        <w:tc>
          <w:tcPr>
            <w:tcW w:w="80" w:type="dxa"/>
            <w:vAlign w:val="bottom"/>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505,100</w:t>
            </w:r>
          </w:p>
        </w:tc>
        <w:tc>
          <w:tcPr>
            <w:tcW w:w="80" w:type="dxa"/>
            <w:vAlign w:val="bottom"/>
          </w:tcPr>
          <w:p>
            <w:pPr>
              <w:spacing w:after="0"/>
              <w:rPr>
                <w:sz w:val="16"/>
                <w:szCs w:val="16"/>
                <w:color w:val="auto"/>
              </w:rPr>
            </w:pP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299,541</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205,559</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69 %</w:t>
            </w:r>
          </w:p>
        </w:tc>
        <w:tc>
          <w:tcPr>
            <w:tcW w:w="0" w:type="dxa"/>
            <w:vAlign w:val="bottom"/>
          </w:tcPr>
          <w:p>
            <w:pPr>
              <w:spacing w:after="0"/>
              <w:rPr>
                <w:sz w:val="1"/>
                <w:szCs w:val="1"/>
                <w:color w:val="auto"/>
              </w:rPr>
            </w:pPr>
          </w:p>
        </w:tc>
      </w:tr>
      <w:tr>
        <w:trPr>
          <w:trHeight w:val="256"/>
        </w:trPr>
        <w:tc>
          <w:tcPr>
            <w:tcW w:w="1880" w:type="dxa"/>
            <w:vAlign w:val="bottom"/>
          </w:tcPr>
          <w:p>
            <w:pPr>
              <w:ind w:left="240"/>
              <w:spacing w:after="0"/>
              <w:rPr>
                <w:sz w:val="20"/>
                <w:szCs w:val="20"/>
                <w:color w:val="auto"/>
              </w:rPr>
            </w:pPr>
            <w:r>
              <w:rPr>
                <w:rFonts w:ascii="Arial" w:cs="Arial" w:eastAsia="Arial" w:hAnsi="Arial"/>
                <w:sz w:val="20"/>
                <w:szCs w:val="20"/>
                <w:color w:val="auto"/>
              </w:rPr>
              <w:t>Operations</w:t>
            </w:r>
          </w:p>
        </w:tc>
        <w:tc>
          <w:tcPr>
            <w:tcW w:w="1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70,357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70,606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(249)</w:t>
            </w: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159,506</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109,628</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49,878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45 %</w:t>
            </w:r>
          </w:p>
        </w:tc>
        <w:tc>
          <w:tcPr>
            <w:tcW w:w="0" w:type="dxa"/>
            <w:vAlign w:val="bottom"/>
          </w:tcPr>
          <w:p>
            <w:pPr>
              <w:spacing w:after="0"/>
              <w:rPr>
                <w:sz w:val="1"/>
                <w:szCs w:val="1"/>
                <w:color w:val="auto"/>
              </w:rPr>
            </w:pPr>
          </w:p>
        </w:tc>
      </w:tr>
      <w:tr>
        <w:trPr>
          <w:trHeight w:val="250"/>
        </w:trPr>
        <w:tc>
          <w:tcPr>
            <w:tcW w:w="1880" w:type="dxa"/>
            <w:vAlign w:val="bottom"/>
          </w:tcPr>
          <w:p>
            <w:pPr>
              <w:ind w:left="2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362,243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255,766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106,477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42 %</w:t>
            </w:r>
          </w:p>
        </w:tc>
        <w:tc>
          <w:tcPr>
            <w:tcW w:w="8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664,606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409,169</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255,437</w:t>
            </w:r>
          </w:p>
        </w:tc>
        <w:tc>
          <w:tcPr>
            <w:tcW w:w="1060" w:type="dxa"/>
            <w:vAlign w:val="bottom"/>
            <w:gridSpan w:val="2"/>
          </w:tcPr>
          <w:p>
            <w:pPr>
              <w:jc w:val="right"/>
              <w:ind w:right="20"/>
              <w:spacing w:after="0"/>
              <w:rPr>
                <w:sz w:val="20"/>
                <w:szCs w:val="20"/>
                <w:color w:val="auto"/>
              </w:rPr>
            </w:pPr>
            <w:r>
              <w:rPr>
                <w:rFonts w:ascii="Arial" w:cs="Arial" w:eastAsia="Arial" w:hAnsi="Arial"/>
                <w:sz w:val="20"/>
                <w:szCs w:val="20"/>
                <w:color w:val="auto"/>
              </w:rPr>
              <w:t>62 %</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88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Array Legacy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84,005</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77,306</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6,699</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9 %</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149,686</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126,392</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23,294</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18 %</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Operations</w:t>
            </w:r>
          </w:p>
        </w:tc>
        <w:tc>
          <w:tcPr>
            <w:tcW w:w="14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13,119</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8,647</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4,472</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52 %</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23,866</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14,651</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9,215</w:t>
            </w:r>
          </w:p>
        </w:tc>
        <w:tc>
          <w:tcPr>
            <w:tcW w:w="10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20"/>
                <w:szCs w:val="20"/>
                <w:color w:val="auto"/>
              </w:rPr>
              <w:t>63 %</w:t>
            </w:r>
          </w:p>
        </w:tc>
        <w:tc>
          <w:tcPr>
            <w:tcW w:w="0" w:type="dxa"/>
            <w:vAlign w:val="bottom"/>
          </w:tcPr>
          <w:p>
            <w:pPr>
              <w:spacing w:after="0"/>
              <w:rPr>
                <w:sz w:val="1"/>
                <w:szCs w:val="1"/>
                <w:color w:val="auto"/>
              </w:rPr>
            </w:pPr>
          </w:p>
        </w:tc>
      </w:tr>
      <w:tr>
        <w:trPr>
          <w:trHeight w:val="275"/>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97,124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85,953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11,171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13 %</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173,552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141,043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32,509</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and six months ended June 30, 2025 and 2024</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Consolidated revenue increased $106.5 million, or 42%, for the three months ended June 30, 2025, compared to the three months ended June 30, 2024, primarily driven by higher revenue from Array Legacy Operations of 58%.</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Array Legacy Operations revenue increased by $106.7 million, or 58%, for the three months ended June 30, 2025 compared to the three months ended June 30, 2024, primarily driven by an increase of approximately 81% in volume, partially offset by a decrease of approximately 13% in ASPs, reflecting the commodity price decrease at the time when revenue contracts were executed.</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Revenue from STI Operations decreased by 0.2 million, or 0.4% for the three months ended June 30, 2025 compared to the three months ended June 30, 2024. The decrease was primarily driven by a decrease of approximately 8% in volume and an increase of approximately 5% in ASPs, partially offset by a favorable foreign currency impact of approximately 3%.</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Consolidated revenue increased $255.4 million, or 62%, for the six months ended June 30, 2025, compared to the six months ended June 30, 2024, primarily driven by higher revenue from Array Legacy Operations of 69% and STI Operations of 45%.</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Array Legacy Operations revenue increased by $205.6 million, or 69%, for the six months ended June 30, 2025 compared to the six months ended June 30, 2024 primarily driven by an increase of approximately 94% in volume, partially offset by a decrease of approximately 13% in ASPs, reflecting the commodity price decrease at the time when revenue contracts were executed.</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from STI Operations increased by $49.9 million, or 45% for the six months ended June 30, 2025 compared to the six months ended June 30, 2024. The increase was primarily driven by an increase of approximately 63% in volume, partially offset by a decrease of approximately 7% in ASPs and an unfavorable foreign currency impact of approximately 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cost of revenue increased by $95.3 million, or 57%, for the three months ended June 30, 2025 compared to the three months ended June 30, 2024. This increase was in line with higher revenues, partially offset by higher 45X benefits during the quarter.</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gross profit increased by $11.2 million, or 13%, for the three months ended June 30, 2025 compared to the three months ended June 30, 2024. Gross margin decreased to 26.8% for the three months ended June 30, 2025, as compared to 33.6% during the same period in the prior year.</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Array Legacy Operations gross profit increased by $6.7 million, or 9%, for the three months ended June 30, 2025 compared to the three months ended June 30, 2024. However, gross margin decreased to 28.8% from 41.8% for the three months ended June 30, 2025 and 2024, respectively. The decrease in gross margin was driven by a 13% decrease in average selling prices, reflecting the commodity price decrease at the time when revenue contracts were executed, and a 7% increase in cost per watt, attributable to higher tariffs and one-time inventory-related charges.</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STI Operations gross profit increased by $4.5 million, or 52%, for the three months ended June 30, 2025 compared to the three months ended June 30, 2024. Gross margin for STI Operations increased to 18.6% from 12.2% for the three months ended June 30, 2025 and 2024, respectively, driven primarily by a 5% increase in average selling prices and a 3% reduction in cost per watt.</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Consolidated cost of revenue increased by $222.9 million, or 83%, for the six months ended June 30, 2025 compared to the six months ended June 30, 2024, in line with higher volume.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gross profit increased by $32.5 million, or 23%, for the six months ended June 30, 2025 compared to the six months ended June 30, 2024. Gross margin decreased to 26.1% for the six months ended June 30, 2025, as compared to 34.5% during the same period in the prior year.</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Array Legacy Operations gross profit increased by $23.3 million, or 18%, for the six months ended June 30, 2025 compared to the six months ended June 30, 2024. However, gross margin decreased to 29.6% from 42.2% for the six months ended June 30, 2025 and 2024, respectively. The decrease in gross margin was driven by a 13% decrease in average selling prices, reflecting the commodity price decrease at the time when revenue contracts were executed, and a 6% increase in cost per watt. In addition, gross margin during the six months ended June 30, 2024, included a one-time benefit of $4.0 million related to a settlement with a supplier, which was recorded as a reduction to Cost of product and service revenue.</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STI Operations gross profit increased by $9.2 million, or 63%, for the six months ended June 30, 2025 compared to the six months ended June 30, 2024. Gross margin for STI Operations increased to 15.0% from 13.4% for the six months ended June 30, 2025 and 2024, respectively, driven primarily by a 7% reduction in ASPs, offset by a 8% reduction in cost per watt.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general and administrative expenses for the three and six months ended June 30, 2025 increased by $8.0 million, or 22% and increased by $14.1 million, or 19%, respectively, compared to the three and six months ended June 30, 2024. The increase during the three months ended June 30, 2025 compared to the three months ended June 30, 2024 was primarily due to an increase of $ 5.4 million in personnel-related expenses including favorable one-time adjustments in variable compensation during the three months ended June 30, 2024, $3.1 million in acquisition-related expenses, and decrease of $0.5 million in facility,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jc w:val="both"/>
        <w:spacing w:after="0" w:line="269" w:lineRule="auto"/>
        <w:rPr>
          <w:sz w:val="20"/>
          <w:szCs w:val="20"/>
          <w:color w:val="auto"/>
        </w:rPr>
      </w:pPr>
      <w:r>
        <w:rPr>
          <w:rFonts w:ascii="Arial" w:cs="Arial" w:eastAsia="Arial" w:hAnsi="Arial"/>
          <w:sz w:val="20"/>
          <w:szCs w:val="20"/>
          <w:color w:val="auto"/>
        </w:rPr>
        <w:t>infrastructure and other costs. The increase during the six months ended June 30, 2025 compared to the six months ended June 30, 2024 was primarily due an increase of $8.7 million from personnel-related expenses including favorable one-time adjustments in variable compensation during the six months ended June 30, 2024, $3.3 million in acquisition-related expenses, and increase of $2.1 million in facility, infrastructure and other costs.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Change in the fair value of contingent consideration for the three and six months ended June 30, 2025 resulted in a loss of $0.4 million and a gain of $ 0.2 million, respectively, compared to the three and six months ended June 30, 2024, due to the fair value remeasurement of the TRA liability.</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depreciation and amortization expense for the three and six months ended June 30, 2025 decreased by $3.2 million and $7.5 million, or 36% and 41%, respectively, compared to the three and six months ended June 30, 2024. The decrease was primarily due to certain assets acquired becoming fully amortized or fully impaired at December 31, 2024.</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Net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Other expense, net totaled $0.1 million and $1.8 million for the three months ended June 30, 2025 and 2024, respectively, and $0.1 million and $1.0 million for the six months ended June 30, 2025 and 2024, respectively. The decrease in both periods was primarily driven by fluctuations in other non-income taxes and miscellaneous income and expense items.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interest income for the three and six months ended June 30, 2025 decreased by $1.0 million, or 21%, and $ 1.3 million, or 16%, respectively, compared to the three and six months ended June 30, 2024, primarily as a result of lower yields on our cash management program.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interest expense for the three and six months ended June 30, 2025 increased by $0.2 million, or 2%, and decreased by $0.8 million, or 4%, respectively, compared to the three and six months ended June 30, 2024, primarily due to changes in interest rates on our variable rate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income tax expense for the three and six months ended June 30, 2025 increased by $5.8 million, or 74%, and $11.0 million, or 121%, respectively, compared to the three and six months ended June 30, 2024. The Company recorded Income tax expense of $13.6 million and $7.8 million for the three months ended June 30, 2025 and 2024, respectively, and $20.2 million and $9.1 million for the six months ended June 30, 2025 and 2024, respectively.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effective tax rate was 23.9% and 25.1% for the three and six months ended June 30, 2025, respectively, and 23.3% and 24.6% for the three and six months ended June 30, 2024, respectively. The income tax expense for the three and six months ended June 30, 2025 was favorably impacted by additional tax credits recorded during the periods. Additionally, tax expense of $0.1 million and $1.2 million related to equity-based compensation was recorded discretely for the three and six months ended June 30, 2025, respectively.</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income tax expense for the three and six months ended June 30, 2024 was impacted by higher profits in non-US jurisdictions. Additionally, tax expense of $0.1 million and $0.5 million related to equity-based compensation was recorded discretely for the three and six months ended June 30, 2024.</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73"/>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351"/>
        </w:trPr>
        <w:tc>
          <w:tcPr>
            <w:tcW w:w="6520" w:type="dxa"/>
            <w:vAlign w:val="bottom"/>
          </w:tcPr>
          <w:p>
            <w:pPr>
              <w:spacing w:after="0"/>
              <w:rPr>
                <w:sz w:val="20"/>
                <w:szCs w:val="20"/>
                <w:color w:val="auto"/>
              </w:rPr>
            </w:pPr>
            <w:r>
              <w:rPr>
                <w:rFonts w:ascii="Arial" w:cs="Arial" w:eastAsia="Arial" w:hAnsi="Arial"/>
                <w:sz w:val="20"/>
                <w:szCs w:val="20"/>
                <w:b w:val="1"/>
                <w:bCs w:val="1"/>
                <w:color w:val="auto"/>
              </w:rPr>
              <w:t xml:space="preserve">Cash Flows </w:t>
            </w:r>
            <w:r>
              <w:rPr>
                <w:rFonts w:ascii="Arial" w:cs="Arial" w:eastAsia="Arial" w:hAnsi="Arial"/>
                <w:sz w:val="20"/>
                <w:szCs w:val="20"/>
                <w:i w:val="1"/>
                <w:iCs w:val="1"/>
                <w:color w:val="auto"/>
              </w:rPr>
              <w:t>(in thousands)</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7"/>
        </w:trPr>
        <w:tc>
          <w:tcPr>
            <w:tcW w:w="6520" w:type="dxa"/>
            <w:vAlign w:val="bottom"/>
          </w:tcPr>
          <w:p>
            <w:pPr>
              <w:spacing w:after="0"/>
              <w:rPr>
                <w:sz w:val="24"/>
                <w:szCs w:val="24"/>
                <w:color w:val="auto"/>
              </w:rPr>
            </w:pPr>
          </w:p>
        </w:tc>
        <w:tc>
          <w:tcPr>
            <w:tcW w:w="390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20"/>
                <w:szCs w:val="20"/>
                <w:b w:val="1"/>
                <w:bCs w:val="1"/>
                <w:color w:val="auto"/>
              </w:rPr>
              <w:t>Six Months Ended June 30,</w:t>
            </w:r>
          </w:p>
        </w:tc>
        <w:tc>
          <w:tcPr>
            <w:tcW w:w="820" w:type="dxa"/>
            <w:vAlign w:val="bottom"/>
            <w:tcBorders>
              <w:bottom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2025</w:t>
            </w: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2024</w:t>
            </w:r>
          </w:p>
        </w:tc>
        <w:tc>
          <w:tcPr>
            <w:tcW w:w="820" w:type="dxa"/>
            <w:vAlign w:val="bottom"/>
            <w:tcBorders>
              <w:bottom w:val="single" w:sz="8" w:color="auto"/>
            </w:tcBorders>
          </w:tcPr>
          <w:p>
            <w:pPr>
              <w:spacing w:after="0"/>
              <w:rPr>
                <w:sz w:val="21"/>
                <w:szCs w:val="21"/>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operating activities</w:t>
            </w:r>
          </w:p>
        </w:tc>
        <w:tc>
          <w:tcPr>
            <w:tcW w:w="1480" w:type="dxa"/>
            <w:vAlign w:val="bottom"/>
            <w:shd w:val="clear" w:color="auto" w:fill="CCEEFF"/>
          </w:tcPr>
          <w:p>
            <w:pPr>
              <w:jc w:val="right"/>
              <w:ind w:right="124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30,782</w:t>
            </w:r>
          </w:p>
        </w:tc>
        <w:tc>
          <w:tcPr>
            <w:tcW w:w="1560" w:type="dxa"/>
            <w:vAlign w:val="bottom"/>
            <w:gridSpan w:val="2"/>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51,459</w:t>
            </w:r>
          </w:p>
        </w:tc>
      </w:tr>
      <w:tr>
        <w:trPr>
          <w:trHeight w:val="282"/>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(8,983)</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(4,488)</w:t>
            </w:r>
          </w:p>
        </w:tc>
      </w:tr>
      <w:tr>
        <w:trPr>
          <w:trHeight w:val="285"/>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financing activities</w:t>
            </w:r>
          </w:p>
        </w:tc>
        <w:tc>
          <w:tcPr>
            <w:tcW w:w="1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(12,776)</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(4,144)</w:t>
            </w: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5,606</w:t>
            </w:r>
          </w:p>
        </w:tc>
        <w:tc>
          <w:tcPr>
            <w:tcW w:w="8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(9,587)</w:t>
            </w:r>
          </w:p>
        </w:tc>
      </w:tr>
      <w:tr>
        <w:trPr>
          <w:trHeight w:val="29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8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14,629</w:t>
            </w:r>
          </w:p>
        </w:tc>
        <w:tc>
          <w:tcPr>
            <w:tcW w:w="1560" w:type="dxa"/>
            <w:vAlign w:val="bottom"/>
            <w:gridSpan w:val="2"/>
            <w:shd w:val="clear" w:color="auto" w:fill="CCEEFF"/>
          </w:tcPr>
          <w:p>
            <w:pPr>
              <w:jc w:val="right"/>
              <w:ind w:right="128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33,240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Based on our past performance and current expectations, we believe that operating cash flows will be sufficient to meet our liquidity needs in the next 12 months and beyond.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June 30, 2025, our cash balance was $377.3 million, of which $33.8 million was held outside the U.S., and our net working capital, including cash and cash equivalents, was $570.1 million. We had $133.7 million available to us under our $166 million Revolving Credit Facility.</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May 1, 2025, Array Tech, Inc. and ATI Investment Sub, Inc., both wholly owned subsidiaries of the Company, entered into the Fourth Amendment to the Credit Agreement. The Fourth Amendment, among other things, (i) refinanced the Revolving Credit Facility with new revolving commitments and loans thereunder and (ii) revised the Consolidated First Lien Secured Leverage Ratio as applicable under Section 7.09 (Financial Covenant) of the Credit Agreement from 7.10:1.00 to 5.50:1.00.</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amended by the Fourth Amendment, the Revolving Credit Facility has total commitments of $166 million and a maturity date of October 14, 2028.</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June 27, 2025, we completed a private placement of $345 million in aggregate principal amount of 2031 Convertible Notes, resulting in net proceeds of $334.6 million after deducting initial purchasers’ discounts and offering expenses. The proceeds were used to repay in full our Term Loan Facility and to repurchase $100.0 million aggregate principal amount of the 2028 Convertible Notes. The repurchased 2028 Convertible Notes had a net carrying value of $98.5 million, inclusive of unamortized debt discount, resulting in a gain on extinguishment of debt of approximately $20.1 million.</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connection with the issuance of the 2031 Convertible Notes, we also entered into capped call transactions designed to reduce potential dilution to common stockholders upon conversion of the notes (the “2031 Capped Calls”). These instruments cover approximately 42.5 million shares of common stock, with an initial strike price of $8.12 and a cap price of $12.74 per share, subject to anti-dilution adjustments. These instruments are scheduled to expire on July 1, 2031. The net effect of the 2031 Capped Calls is to raise the conversion price on the 2031 Convertible Notes from $8.12 to $ 12.74. However, these transactions are separate from the 2031 Convertible Notes and do not affect the terms of the notes or the rights of note holders.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continually monitor and review our liquidity position and funding needs. Our management believes that our ability to generate operating cash flows in the future and available borrowing capacity under our Senior Secured Credit Facility will be sufficient to meet our future liquidity needs.</w:t>
      </w:r>
    </w:p>
    <w:p>
      <w:pPr>
        <w:sectPr>
          <w:pgSz w:w="11900" w:h="16838" w:orient="portrait"/>
          <w:cols w:equalWidth="0" w:num="1">
            <w:col w:w="11240"/>
          </w:cols>
          <w:pgMar w:left="320" w:top="13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six months ended June 30, 2025, cash provided by operating activities was $30.8 million attributable to net income of $60.0 million and $25.1 million of non-cash adjustments, mainly consisting of depreciation and amortization expense and equity-based compensation, partially offset by a net cash outflow of $54.3 million from changes in our operating assets and liabilities.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six months ended June 30, 2024, cash provided by operating activities was $51.5 million, of which 61.7 million was generated from net income as adjusted for the impact of non-cash expenses, consisting primarily of depreciation and amortization, amortization of developed technology, and equity-based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For the six months ended June 30, 2025 and 2024, net cash used in investing activities was $9.0 million and $4.5 million, respectively, related primarily to the purchase of property, plant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six months ended June 30, 2025, cash used in financing activities was $ 12.8 million. This was primarily driven by a $233.9 million repayment on our Term Loan Facility, $78.4 million repurchase of 2028 Convertible Notes, and $35.1 million premium paid in connection with the purchase of the 2031 Capped Calls, partially offset by an increase of $334.6 million from net proceeds from the issuance of 2031 Convertible Notes, after deducting initial purchasers’ discounts and offering expenses.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six months ended June 30, 2024, cash used in financing activities was $4.1 million, driven primarily by a $12.7 million net reduction of Other Debt and $2.2 million in payments on our Term Loan Facility, as well as $1.4 million in TRA payments issued during the six months ended June 30,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Information regarding our debt obligations, lease commitments and other commitments is provided in Item 7, “Management’s Discussion and Analysis of Financial Condition and Results of Operations” in our 2024 Annual Report on form 10-K. Other than as set forth below, there were no material changes in our contractual obligations and commitments as of June 30, 2025.</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Purchase Agreement with APA Solar</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APA Transaction is expected to close in the third quarter of 2025, subject to satisfaction of certain closing conditions customary for a transaction of this nature. Under the terms of the equity purchase agreement governing the APA Transaction (the “Purchase Agreement”), our wholly-owned subsidiary, STINorland USA, Inc. (“STI USA”) has agreed to pay a base purchase price of $210,000,000, subject to customary adjustments for cash, net working capital, indebtedness and transaction expenses (the “Purchase Price”). An amount equal to 80% of the Purchase Price will be paid in cash to SunHoldings on the closing date. Subject to the terms and conditions set forth in the Purchase Agreement, an amount equal to 20% of the Purchase Price will be payable to SunHoldings in two equal installments (each, a “Deferred Consideration Installment”) on the first and second anniversaries of the closing date (each, a “Deferred Consideration Anniversary”), subject to certain conditions. Each Deferred Consideration Installment will, at the Company’s election, be paid (i) in cash, (ii) through the issuance of shares of Company common stock, par value $0.001 per share (“common stock”), valued at the closing price on the trading day immediately preceding the applicable Deferred Consideration Anniversary (if any such shares are issued, the “Deferred Consideration Shares”) or (iii) by any 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20"/>
          <w:szCs w:val="20"/>
          <w:color w:val="auto"/>
        </w:rPr>
        <w:t>In addition, the Purchase Agreement provides for an earnout pursuant to which SunHoldings may be granted additional shares of the Company’s common stock based upon APA’s achievement of certain financial performance targets during the three-year period ending on the last day of the first fiscal quarter of the Company that ends following the third anniversary of the Closing (the “Earnout Consideration”). The maximum number of shares payable as Earnout Consideration will be determined by dividing $40,000,000 by the volume weighted average price of our common stock for the 10 trading days immediately following the Closing. The number of shares payable will be subject to reduction if the cumulative value of the Earnout Consideration earned (measured on each date such shares are issued) exceeds $90,000,000. The Purchase Agreement provides that, to the extent the issuance of any Earnout Consideration or Deferred Consideration Shares would require stockholder approval under Nasdaq Listing Rule 5635(a), the Company will pay cash in lieu of issuing such shares, unless such stockholder approval has been obtained.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parties’ obligation to complete the APA Transaction is subject to certain closing conditions customary for a transaction of this nature, including, among others: (i) expiration or termination of the waiting period under the Hart-Scott-Rodino Antitrust Improvements Act of 1976, as amended, (ii) absence of any law or order prohibiting the consummation of the APA Transaction or any proceeding by a governmental authority that could reasonably result in an order prohibiting the APA Transaction, (iii) subject to certain materiality thresholds, the accuracy of the representations and warranties made by STI USA, APA and SunHoldings, (iv) material compliance by STI USA, APA and SunHoldings with each of their respective obligations under the Purchase Agreement, and (v) in the case of STI USA, the absence of a material adverse effect on APA.</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Purchase Agreement may be terminated by either STI USA or SunHoldings if the closing has not been consummated by October 15, 2025. The Purchase Agreement may also be terminated in certain other circumstances, including (i) by STI USA or APA if there is a final and nonappealable law or order preventing or otherwise making illegal the consummation of the APA Transaction, (ii) by STI USA, subject to certain cure periods, if APA or SunHoldings is in breach of any of its respective representations, warranties, covenants or agreements under the Purchase Agreement that would cause STI USA’s closing conditions with respect to the accuracy of APA’s or SunHoldings’ representations or compliance with covenants not to be satisfied, (iii) by APA, subject to certain cure periods, if STI USA is in breach of any of its respective representations, warranties, covenants or agreements under the Purchase Agreement that would cause APA’s closing conditions with respect to the accuracy of STI USA’s representations or compliance with covenants not to be satisfied, and (iv) by mutual written consent of STI USA and APA.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10, 2021, we entered into a Securities Purchase Agreement, pursuant to which we issued 400,000 shares of its Series A Redeemable Perpetual Preferred Stock (the “Series A Shares”) and 9,000,000 shares of our common stock for an aggregate purchase price of approximately $395.4 million.</w:t>
      </w:r>
    </w:p>
    <w:p>
      <w:pPr>
        <w:spacing w:after="0" w:line="192"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 xml:space="preserve">For more information related to the Series A Shares, see </w:t>
      </w:r>
      <w:r>
        <w:rPr>
          <w:rFonts w:ascii="Arial" w:cs="Arial" w:eastAsia="Arial" w:hAnsi="Arial"/>
          <w:sz w:val="20"/>
          <w:szCs w:val="20"/>
          <w:u w:val="single" w:color="auto"/>
          <w:color w:val="0000FF"/>
        </w:rPr>
        <w:t>Note 8 – Redeemable Perpetual Preferred Stock</w:t>
      </w:r>
      <w:r>
        <w:rPr>
          <w:rFonts w:ascii="Arial" w:cs="Arial" w:eastAsia="Arial" w:hAnsi="Arial"/>
          <w:sz w:val="20"/>
          <w:szCs w:val="20"/>
          <w:color w:val="auto"/>
        </w:rPr>
        <w:t>, to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7 – Debt</w:t>
      </w:r>
      <w:r>
        <w:rPr>
          <w:rFonts w:ascii="Arial" w:cs="Arial" w:eastAsia="Arial" w:hAnsi="Arial"/>
          <w:sz w:val="20"/>
          <w:szCs w:val="20"/>
          <w:color w:val="auto"/>
        </w:rPr>
        <w:t xml:space="preserve"> to our condensed consolidated financial statements included in this Quarterly Report.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are required to provide surety bonds to various parties as required for certain transactions initiated during the ordinary course of business to guarantee our performance in accordance with contractual or legal</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3" w:name="page54"/>
    <w:bookmarkEnd w:id="53"/>
    <w:p>
      <w:pPr>
        <w:jc w:val="both"/>
        <w:spacing w:after="0" w:line="286" w:lineRule="auto"/>
        <w:rPr>
          <w:sz w:val="20"/>
          <w:szCs w:val="20"/>
          <w:color w:val="auto"/>
        </w:rPr>
      </w:pPr>
      <w:r>
        <w:rPr>
          <w:rFonts w:ascii="Arial" w:cs="Arial" w:eastAsia="Arial" w:hAnsi="Arial"/>
          <w:sz w:val="20"/>
          <w:szCs w:val="20"/>
          <w:color w:val="auto"/>
        </w:rPr>
        <w:t>obligations. As of June 30, 2025, we posted surety bonds in the total amount of approximately $248.5 million. These off-balance sheet arrangements do not adversely impact our liquidity or capital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preparing our condensed consolidated financial statements in conformity with U.S. GAAP, we make estimates and assumptions that affect the amounts of reported assets, liabilities, revenues, and expenses, as well as the disclosure of contingent liabilities. Some of our accounting policies require the application of significant judgment in the selection of the appropriate assumptions for making these estimates. By their nature, these judgments are subject to an inherent degree of uncertainty. We base our judgments and estimates on our historical experience, our forecasts, and other available information as appropriate. We believe the judgments and estimates involved in accrued solar module collection and recycling, product warranties, and government grants have the greatest potential impact on our condensed consolidated financial statements. The actual results experienced by us may differ materially and adversely from our estimates. To the extent there are material differences between our estimates and the actual results, our future results of operations will be affected. For a description of the accounting policies that require the most significant judgment and estimates in the preparation of our condensed consolidated financial statements, refer to our Annual Report on Form 10-K for the year ended December 31, 2024. There have been no material changes to our accounting policies during the three months ended June 30, 2025.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and Recently Issued Accounting Pronouncements</w:t>
      </w:r>
    </w:p>
    <w:p>
      <w:pPr>
        <w:spacing w:after="0" w:line="123"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to our condensed consolidated financial statements for a discussion of adoption of new and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There have been no material changes to the information previously provided under Item 7A. of our 2024 Annual Report.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June 30, 2025. Based upon that evaluation, our Chief Executive Officer and Chief Financial Officer concluded that, as of such date, our disclosure controls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4" w:name="page55"/>
    <w:bookmarkEnd w:id="54"/>
    <w:p>
      <w:pPr>
        <w:jc w:val="both"/>
        <w:spacing w:after="0" w:line="265" w:lineRule="auto"/>
        <w:rPr>
          <w:sz w:val="20"/>
          <w:szCs w:val="20"/>
          <w:color w:val="auto"/>
        </w:rPr>
      </w:pPr>
      <w:r>
        <w:rPr>
          <w:rFonts w:ascii="Arial" w:cs="Arial" w:eastAsia="Arial" w:hAnsi="Arial"/>
          <w:sz w:val="20"/>
          <w:szCs w:val="20"/>
          <w:color w:val="auto"/>
        </w:rPr>
        <w:t>and procedures were effective at a reasonable assurance level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also carried out an evaluation, under the supervision and with participation of management, including our principal executive officer and principal financial officer, of our “internal control over financial reporting” to determine whether any changes in our internal control over financial reporting occurred during the three months ended June 30, 2025 that materially affected or were reasonably likely to materially affect our internal control over financial reporting. Based on that evaluation, there were no such changes in our internal control over financial reporting that occurred during the three months ended June 30, 2025.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information required by this item is incorporated by reference to the information set forth in </w:t>
      </w:r>
      <w:r>
        <w:rPr>
          <w:rFonts w:ascii="Arial" w:cs="Arial" w:eastAsia="Arial" w:hAnsi="Arial"/>
          <w:sz w:val="20"/>
          <w:szCs w:val="20"/>
          <w:u w:val="single" w:color="auto"/>
          <w:color w:val="0000FF"/>
        </w:rPr>
        <w:t>Note 11 – Commitments 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Contingencies</w:t>
      </w:r>
      <w:r>
        <w:rPr>
          <w:rFonts w:ascii="Arial" w:cs="Arial" w:eastAsia="Arial" w:hAnsi="Arial"/>
          <w:sz w:val="20"/>
          <w:szCs w:val="20"/>
          <w:color w:val="0000FF"/>
        </w:rPr>
        <w:t xml:space="preserve"> </w:t>
      </w:r>
      <w:r>
        <w:rPr>
          <w:rFonts w:ascii="Arial" w:cs="Arial" w:eastAsia="Arial" w:hAnsi="Arial"/>
          <w:sz w:val="20"/>
          <w:szCs w:val="20"/>
          <w:color w:val="000000"/>
        </w:rPr>
        <w:t>under the heading “Legal Proceedings” of our condensed consolidated financial statements for legal proceedings</w:t>
      </w:r>
      <w:r>
        <w:rPr>
          <w:rFonts w:ascii="Arial" w:cs="Arial" w:eastAsia="Arial" w:hAnsi="Arial"/>
          <w:sz w:val="20"/>
          <w:szCs w:val="20"/>
          <w:color w:val="0000FF"/>
        </w:rPr>
        <w:t xml:space="preserve"> </w:t>
      </w:r>
      <w:r>
        <w:rPr>
          <w:rFonts w:ascii="Arial" w:cs="Arial" w:eastAsia="Arial" w:hAnsi="Arial"/>
          <w:sz w:val="20"/>
          <w:szCs w:val="20"/>
          <w:color w:val="000000"/>
        </w:rPr>
        <w:t>and related matters, included in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8" w:lineRule="exact"/>
        <w:rPr>
          <w:sz w:val="20"/>
          <w:szCs w:val="20"/>
          <w:color w:val="auto"/>
        </w:rPr>
      </w:pPr>
    </w:p>
    <w:p>
      <w:pPr>
        <w:jc w:val="both"/>
        <w:spacing w:after="0" w:line="269" w:lineRule="auto"/>
        <w:rPr>
          <w:rFonts w:ascii="Arial" w:cs="Arial" w:eastAsia="Arial" w:hAnsi="Arial"/>
          <w:sz w:val="20"/>
          <w:szCs w:val="20"/>
          <w:color w:val="000000"/>
        </w:rPr>
      </w:pPr>
      <w:r>
        <w:rPr>
          <w:rFonts w:ascii="Arial" w:cs="Arial" w:eastAsia="Arial" w:hAnsi="Arial"/>
          <w:sz w:val="20"/>
          <w:szCs w:val="20"/>
          <w:color w:val="auto"/>
        </w:rPr>
        <w:t xml:space="preserve">Except as set forth below and as filed as Exhibit 99.2 to our June 24, 2025 8-K, and to the extent additional factual information disclosed elsewhere in this Quarterly Report relates to such risk factors (including, without limitation, the matters discussed in </w:t>
      </w:r>
      <w:r>
        <w:rPr>
          <w:rFonts w:ascii="Arial" w:cs="Arial" w:eastAsia="Arial" w:hAnsi="Arial"/>
          <w:sz w:val="20"/>
          <w:szCs w:val="20"/>
          <w:u w:val="single" w:color="auto"/>
          <w:color w:val="0000FF"/>
        </w:rPr>
        <w:t>Part I, Item 2, “Management’s Discussion and Analysis of Financial Condition and Results of Operations”</w:t>
      </w:r>
      <w:r>
        <w:rPr>
          <w:rFonts w:ascii="Arial" w:cs="Arial" w:eastAsia="Arial" w:hAnsi="Arial"/>
          <w:sz w:val="20"/>
          <w:szCs w:val="20"/>
          <w:color w:val="000000"/>
        </w:rPr>
        <w:t>), there were no</w:t>
      </w:r>
      <w:r>
        <w:rPr>
          <w:rFonts w:ascii="Arial" w:cs="Arial" w:eastAsia="Arial" w:hAnsi="Arial"/>
          <w:sz w:val="20"/>
          <w:szCs w:val="20"/>
          <w:color w:val="0000FF"/>
        </w:rPr>
        <w:t xml:space="preserve"> </w:t>
      </w:r>
      <w:r>
        <w:rPr>
          <w:rFonts w:ascii="Arial" w:cs="Arial" w:eastAsia="Arial" w:hAnsi="Arial"/>
          <w:sz w:val="20"/>
          <w:szCs w:val="20"/>
          <w:color w:val="000000"/>
        </w:rPr>
        <w:t xml:space="preserve">material changes to the risk factors disclosed in Part I, Item 1A, in our </w:t>
      </w:r>
      <w:hyperlink r:id="rId74">
        <w:r>
          <w:rPr>
            <w:rFonts w:ascii="Arial" w:cs="Arial" w:eastAsia="Arial" w:hAnsi="Arial"/>
            <w:sz w:val="20"/>
            <w:szCs w:val="20"/>
            <w:u w:val="single" w:color="auto"/>
            <w:color w:val="0000FF"/>
          </w:rPr>
          <w:t>2024 Annual Report</w:t>
        </w:r>
      </w:hyperlink>
      <w:r>
        <w:rPr>
          <w:rFonts w:ascii="Arial" w:cs="Arial" w:eastAsia="Arial" w:hAnsi="Arial"/>
          <w:sz w:val="20"/>
          <w:szCs w:val="20"/>
          <w:color w:val="000000"/>
        </w:rPr>
        <w:t>.</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i w:val="1"/>
          <w:iCs w:val="1"/>
          <w:color w:val="auto"/>
        </w:rPr>
        <w:t>Geopolitical, macroeconomic and other market conditions could adversely affect our business, results of operations and financial condition, including our revenue growth and profitability, which in turn could adversely affect our stock price.</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Geopolitical and macroeconomic developments such as the global or regional economic effects resulting from the current Russia-Ukraine war and ongoing instability in the Middle East (including, but not limited to, the Israel-Iran conflict and disruptions in the transportation of goods through the Suez canal and to shipping in the Red Sea), inflation and related economic curtailment initiatives,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 which, in turn, could adversely affect our stock price. Political issues and conflicts could have a material adverse effect on our results of operations and financial condition if they escalate into geographies in which we do business or obtain our components. A local conflict, such as the Ukraine-Russian war or the Middle East instability, could also have a significant adverse impact on regional or global macroeconomic conditions, give rise to regional instability or result in heightened economic tariffs, sanctions and import export restrictions in a manner that adversely affects us, including to the extent that any such actions cause material business interruptions or restrict our ability to conduct business with certain suppliers. Additionally, such conflict or sanctions may significantly devalue various global currencies and have a negative impact on economies in geographies in which we do business. Any general weakening of, and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5" w:name="page56"/>
    <w:bookmarkEnd w:id="55"/>
    <w:p>
      <w:pPr>
        <w:jc w:val="both"/>
        <w:spacing w:after="0" w:line="276" w:lineRule="auto"/>
        <w:rPr>
          <w:sz w:val="20"/>
          <w:szCs w:val="20"/>
          <w:color w:val="auto"/>
        </w:rPr>
      </w:pPr>
      <w:r>
        <w:rPr>
          <w:rFonts w:ascii="Arial" w:cs="Arial" w:eastAsia="Arial" w:hAnsi="Arial"/>
          <w:sz w:val="20"/>
          <w:szCs w:val="20"/>
          <w:color w:val="auto"/>
        </w:rPr>
        <w:t>related declining corporate confidence in, the global economy could cause current or potential customers to reduce or eliminate their budgets and spending, which could cause customers to delay, decrease or cancel projects with us which could have a negative effect on our business, operating results and financial condition.</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i w:val="1"/>
          <w:iCs w:val="1"/>
          <w:color w:val="auto"/>
        </w:rPr>
        <w:t>Changes in the global trade environment, including the imposition of import tariffs, could adversely affect the amount or timing of our revenues, results of operations or cash flows.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Escalating trade tensions, particularly between the U.S. and China, have led to increased tariffs and trade restrictions, including tariffs applicable to certain materials and components for our products or for products used in solar energy projects more broadly, such as module supply and availability. The U.S. has recently imposed significant new tariffs on nearly all products and components imported into the U.S. and could propose additional tariffs or increases to those already in place. To the extent we continue to use overseas suppliers of steel and aluminum, these tariffs could result in interruptions in the supply chain and impact costs and our gross margins. In addition, the threat of potential tariffs can create uncertainty among our customers and slow down the rate of existing projects and projects in our orderbook.</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More specifically, in March 2018, the U.S. imposed a 25% tariff on steel imports and a 10% tariff on aluminum imports pursuant to Section 232 of the Trade Expansion Act of 1962 and extended these tariffs to cover imports of derivative steel and aluminum articles on February 2020 under the same legal authority. These tariffs were increased on February 10, 2025, pursuant to two executive orders from President Trump (the "February 2025 Executive Orders"), resulting in across-the-board 25% duties on steel and aluminum imports. Additionally, all previous alternative arrangements, such as complete exemptions, hard quotas, or tariff rate quotas, with trading partners on imports of steel and aluminum products, have been eliminated. The February 2025 Executive Orders also eliminated the system for exclusions, under which thousands of products were allowed to enter the U.S. free of these additional duties and create a process by which additional “derivative” products could be added to the scope of the tariffs by request of the domestic producer.</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February 1, 2025, President Trump issued executive orders directing the U.S. to impose new tariffs on imports from Canada, Mexico, and China, to take effect on February 4, 2025. On February 3, 2025, President Trump announced his intention to pause these tariffs on Canada and Mexico for a one-month period. The tariffs impose an additional 25% ad valorem rate of duty on all imports from Canada and Mexico (other than imports of Canadian energy resources exports, which are subject to a 10% ad valorem rate of duty) and an additional 10% ad valorem rate of duty on all imports from China. On March 3, 2025, the announced 25% tariff on Canadian and Mexican goods took effect and the tariff on Chinese goods was doubled to 20%. On March 12, 2025 tariffs on steel and aluminum increased from 25% to 50% on all steel and aluminum coming from Canada. On April 2, 2025, President Trump introduced tariffs on most countries of a baseline rate of 10%, and individualized rates on some countries of up to 50%. On April 9, 2025, President Trump increased tariffs for Chinese goods to 125% and subsequently to 145%, while the tariffs announced on April 2, 2025 for all other countries was reduced to a baseline rate of 10% for a period of 90 days. On July 7, 2025, President Trump extended the initial 90-day period for the 10% baseline rate until August 1, 2025 while also announcing increased tariffs for certain countries. These modifications were announced via an executive order on July 31, 2025 and became effective as of August 7, 2025.</w:t>
      </w: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President Trump also launched a new Section 301 investigation into Brazil’s alleged unreasonable or discriminatory trade practices; initiated a new Section 232 investigation into imports of polysilicon and its derivatives; initiated a new Section 232 investigation into imports of unmanned aircraft systems and their parts and components; and announced a 50% tariff on imports of copper following the conclusion of a Section 232 investigation, effective August 1, 2025. Finally, President Trump has most recently threatened to increase tariffs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20"/>
          <w:szCs w:val="20"/>
          <w:color w:val="auto"/>
        </w:rPr>
        <w:t>on imports from Canada to 35% and on imports from Mexico to 30%. Initially, Canada and Mexico were not subject to reciprocal tariffs as they were subject to earlier tariff actions.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are currently evaluating the potential impact of the imposition of the announced tariffs, and any additional or retaliatory tariffs, to our business and financial condition. While we do not believe that the tariffs announced by the U.S. in 2025 will have a material adverse effect upon our results of operations, financial condition, or liquidity,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More broadly, President Trump has directed the USDOC, the U.S. Trade Representative (the “USTR”), and other agencies, to review and identify unfair trade practices by other countries and recommend appropriate actions, as well as recommend modifications of AD/CVD laws to further induce compliance by foreign respondents and governments involved in those proceedings. These directives have been issued under the America First Trade Policy and Reciprocal Trade and Tariffs Presidential Memoranda, and the effects on the global trading system can be far-reaching.</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On February 4, 2022, former President Biden extended the safeguard tariff for an additional four years, starting at a rate of 14.75% and reducing that rate each year to 14% in 2026, and directed the USTR to conclude agreements with Canada and Mexico on trade in solar products. On July 7, 2022, the U.S. and Canada entered into a non-binding memorandum of understanding in which the U.S. agreed to suspend application of the safeguard tariff to Canadian crystalline silicon photovoltaic cells imported as of February 1, 2022. While this tariff does not apply directly to the components we import, it may indirectly affect us by impacting the financial viability of solar energy projects, which could in turn reduce demand for our products.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Furthermore, starting in July 2018, the U.S. adopted four lists of tariffs (Lists 1,2,3, and 4A) on $ 550 billion worth of Chinese imports, including, inverters and power optimizers. Products on Lists 1, 2, and 3 are subject to 25% tariffs, while products on List 4A are subject to 7.5% tariffs. On December 16, 2024, the USTR announced that it would increase Section 301 tariffs on polysilicon and wafers to 50% in 2025. At the same time, the USTR implemented 14 tariff exclusions for listed solar cell and wafer manufacturing equipment. While these tariffs are not directly applicable to our products, they could impact the solar energy projects in which our products are used, which could lead to decreased demand for our products.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August 18, 2023, the USDOC issued final affirmative determinations of circumvention with respect to certain CSPV cells and modules produced in Cambodia, Malaysia, Thailand and Vietnam using parts and components from China. As a result, certain CSPV cells and modules from Cambodia, Malaysia, Thailand and Vietnam are now subject to AD/CVD orders on CSPV cells and modules from China that have been in place since 2012. Subject to certain certification and utilization conditions, imports of CSPV cells and modules covered by the circumvention determinations that entered the U.S. during the two-year period prior to June 6, 2024 – which had been authorized by the former President Biden on June 2022 – 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7" w:name="page58"/>
    <w:bookmarkEnd w:id="57"/>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In September 2024, the USDOC released its final determination from their investigations against aluminum extrusions from multiple countries. On October 30, 2024, the USITC voted to find no injury in its pending AD/CVD investigation, meaning that the USDOC’s AD/CVD orders will not go into effect. The coalition of petitioners may still appeal the USITC’s decision, and we will continue to monitor developments in the appeal process. If the USITC’s decision is overturned on appeal, the imposition of AD/CVD orders could negatively impact our business, financial condition, and results of operations.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USDOC and the USITC seeking the imposition of AD/CVD tariffs on imports of CSPV cells and modules from Cambodia, Malaysia, Thailand and Vietnam. On May 20, 2025 the USITC made a final determination that U.S. industry had been materially injured by imports from Malaysia and Vietnam and threatened by imports from Cambodia and Thailand. On June 9, 2025, the USDOC issued AD/CVD orders that took effect on June 16, 2025. The tariff rates under the final determination vary from below 1% to more than 3,400%, depending on the relevant company.</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July 17, 2025, the Alliance for American Solar Manufacturing and Trade, which consists of First Solar, Mission Solar Energy, and Qcells, filed another petition with the USDOC and USITC seeking the imposition of AD/CVD tariffs on imports of CSPV cells and modules from India, Indonesia, and Laos. The petition alleges margins of 213.96 percent for India, 89.65 percent for Indonesia, and 245.79 to 249.09 percent for Laos. The final determination by the DOC is expected to be made sometime in fall 2026.</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We have seen a number of projects in our order book delayed as a result of the USDOC investigations, and effective enforcement of the AD/CVD orders could negatively impact our results of operations.</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The reduction, elimination, expiration, or our failure to optimize the benefits of government incentives for, or regulations mandating the use of, renewable energy and solar energy, particularly in relation to our competitors, could reduce demand for solar energy systems and harm our business.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Our customers typically use our systems for grid-connected applications wherein solar power is sold under a power purchase agreement or into an organized electric market. This segment of the solar industry has historically depended in large part on the availability and size of government incentives supporting the use of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jc w:val="both"/>
        <w:spacing w:after="0" w:line="262" w:lineRule="auto"/>
        <w:rPr>
          <w:sz w:val="20"/>
          <w:szCs w:val="20"/>
          <w:color w:val="auto"/>
        </w:rPr>
      </w:pPr>
      <w:r>
        <w:rPr>
          <w:rFonts w:ascii="Arial" w:cs="Arial" w:eastAsia="Arial" w:hAnsi="Arial"/>
          <w:sz w:val="20"/>
          <w:szCs w:val="20"/>
          <w:color w:val="auto"/>
        </w:rPr>
        <w:t>renewable energy. Consequently, the reduction, elimination or expiration of government incentives for grid-connected solar electricity may negatively affect the competitiveness of solar electricity relative to conventional and non-solar renewable sources of electricity and could harm or halt the growth of the solar electricity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changes to existing regulations, or the passage of time. These reductions, eliminations or expirations could occur without warning. There is no guarantee that such policies and incentives will continue to exist in the current form, if at all. The reduction, elimination or expiration of such incentives could reduce customer demand for our offerings, lead to a loss of customers and potential customer projects, and could harm our business, operating results and cash flows.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While government incentives are intended to encourage investments in new solar projects, the impact the tax credit regime applicable to solar facilities in the U.S. will have on our results of operations is unclear. In particular, the tax credit regime in place prior to the IRA’s enactment provided annual reductions in the applicable credit amount at the beginning of 2023 and 2024 and therefore encouraged customers to acquire our products prior to calendar year-end dates in order to qualify for a higher tax credit available for projects that commenced construction (within the meaning of IRS guidance) prior to those dates. Although the IRA eliminated similar annual reductions for at least ten years, the OBBB reintroduced a termination date of December 31, 2027 unless the project begins construction before July 4, 2026, which could again act as an incentive for taxpayers to construct facilities before a certain date. Additionally, the Trump Administration has issued, and may continue to issue, executive orders that impose restrictions on the IRA or other relevant laws or regulations. We are currently evaluating these executive orders and other related memoranda to determine what, if any, impact they might have on our customers, suppliers, or business and such could have a material adverse impact on our business, financial condition and results of operations.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addition, if we are unable to meet the foreign entity of concern or domestic content requirements necessary for customers using our tracker products to qualify for the base tax credit or the incremental domestic content bonus credit and our competitors are able to do so, we might experience a decline in sales for U.S. projects. The timing and nature of implementing regulations clarifying the foreign entity of concern requirements as applied to our products remain uncertain. In addition, the Trump Administration could modify the guidance implementing the domestic content bonus credit. Depending on the criteria set forth in those regulations or other guidance, we may not have an adequate supply of tracker products satisfying the requirements, which could put us at a competitive disadvantage relative to suppliers who are able to maintain a more robust domestic supply chain. In addition, compliance with this requirement may increase our production costs. As a result of these risks, the foreign entity of concern and domestic content requirements may have a material adverse impact on our U.S. sales, business and results of operations.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Moreover, changes in policies of recent U.S. presidential administrations have created regulatory uncertainty in the renewable energy industry, including the solar energy industry, and have adversely affected and may continue to adversely affect our business. For example, since 2015, the U.S. joined, withdrew from, rejoined and then withdrew again from the 2015 Paris Agreement on climate change mitigation following changes in administration among U.S. Presidents Obama, Trump, Biden and Trump. The international markets in which we operate or may operate in the future may have or may put in place policies to promote renewable energy, including solar. These incentives and mechanisms vary from country to country. In seeking to achieve growth internationally, we may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 In addition, there is no certainty regarding how the Trump Administration will implement the OBBB through regulations.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9" w:name="page60"/>
    <w:bookmarkEnd w:id="59"/>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There is no assurance that these governments will continue to provide sufficient incentives and support to the solar industry and that the industry in any particular country will not suffer significant downturns in the future as the result of changes in public policies or government interest in renewable energy, any of which could adversely affect demand for our solar products.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Use of Proceeds and Issuer Purchases of Equity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August 4, 2025, the Company entered into an amendment (“Amendment No. 1”) to the Transition and Separation Agreement, dated June 6, 2024, between the Company and Kurt Wood, our former Chief Financial Officer. Amendment No. 1 provides for Company discretion to make a one-time cash payment in the amount of $20,000, less applicable withholdings, in exchange for the full cancellation of Mr. Wood’s then outstanding and unvested time-based restricted stock units (“RSUs”) and performance-based restricted stock units (“PSUs” (the “Company-Initiated Payment”). In connection with the entry into Amendment No. 1, the Company exercised its discretion to make the Company Initiated Payment, and consequently, Mr. Wood’s outstanding and unvested RSUs and PSUs were cancelled effective as of August 4, 2025.</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10b5-1 Trading Plans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From time to time, our directors and officers may adopt plans for the purchase or sale of our securities. Such plans may be designed to satisfy the affirmative defense conditions of Rule 10b5-1 under the Exchange Act or may constitute non-Rule 10b5-1 trading arrangements (as defined in Item 408(c) of Regulation S-K). During the three months ended June 30, 2025, none of our directors or officers adopted, amended or terminated any such plan or trading arrangement.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20"/>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4"/>
                <w:szCs w:val="24"/>
                <w:color w:val="auto"/>
              </w:rPr>
            </w:pPr>
          </w:p>
        </w:tc>
        <w:tc>
          <w:tcPr>
            <w:tcW w:w="5840" w:type="dxa"/>
            <w:vAlign w:val="bottom"/>
            <w:gridSpan w:val="8"/>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2.1+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7"/>
            <w:shd w:val="clear" w:color="auto" w:fill="CCEEFF"/>
          </w:tcPr>
          <w:p>
            <w:pPr>
              <w:spacing w:after="0" w:line="196" w:lineRule="exact"/>
              <w:rPr>
                <w:rFonts w:ascii="Arial" w:cs="Arial" w:eastAsia="Arial" w:hAnsi="Arial"/>
                <w:sz w:val="20"/>
                <w:szCs w:val="20"/>
                <w:color w:val="0000FF"/>
                <w:w w:val="98"/>
              </w:rPr>
            </w:pPr>
            <w:hyperlink r:id="rId80">
              <w:r>
                <w:rPr>
                  <w:rFonts w:ascii="Arial" w:cs="Arial" w:eastAsia="Arial" w:hAnsi="Arial"/>
                  <w:sz w:val="20"/>
                  <w:szCs w:val="20"/>
                  <w:color w:val="0000FF"/>
                  <w:w w:val="98"/>
                </w:rPr>
                <w:t>Equity Purchase Agreement, dated June 17, 2025, by and among</w:t>
              </w:r>
            </w:hyperlink>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8"/>
              </w:rPr>
              <w:t>6/18/2025</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20"/>
                <w:szCs w:val="20"/>
                <w:color w:val="auto"/>
              </w:rPr>
              <w:t>2.1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0000FF"/>
            </w:tcBorders>
            <w:gridSpan w:val="6"/>
            <w:shd w:val="clear" w:color="auto" w:fill="CCEEFF"/>
          </w:tcPr>
          <w:p>
            <w:pPr>
              <w:spacing w:after="0" w:line="169" w:lineRule="exact"/>
              <w:rPr>
                <w:rFonts w:ascii="Arial" w:cs="Arial" w:eastAsia="Arial" w:hAnsi="Arial"/>
                <w:sz w:val="19"/>
                <w:szCs w:val="19"/>
                <w:color w:val="0000FF"/>
              </w:rPr>
            </w:pPr>
            <w:hyperlink r:id="rId80">
              <w:r>
                <w:rPr>
                  <w:rFonts w:ascii="Arial" w:cs="Arial" w:eastAsia="Arial" w:hAnsi="Arial"/>
                  <w:sz w:val="19"/>
                  <w:szCs w:val="19"/>
                  <w:color w:val="0000FF"/>
                </w:rPr>
                <w:t>STINorland USA, Inc., Array Technologies, Inc., APA Solar, LLC,</w:t>
              </w:r>
            </w:hyperlink>
          </w:p>
        </w:tc>
        <w:tc>
          <w:tcPr>
            <w:tcW w:w="100" w:type="dxa"/>
            <w:vAlign w:val="bottom"/>
            <w:tcBorders>
              <w:top w:val="single" w:sz="8" w:color="CCEEFF"/>
            </w:tcBorders>
            <w:gridSpan w:val="2"/>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40" w:type="dxa"/>
            <w:vAlign w:val="bottom"/>
            <w:tcBorders>
              <w:top w:val="single" w:sz="8" w:color="0000FF"/>
            </w:tcBorders>
            <w:gridSpan w:val="5"/>
            <w:shd w:val="clear" w:color="auto" w:fill="CCEEFF"/>
          </w:tcPr>
          <w:p>
            <w:pPr>
              <w:spacing w:after="0" w:line="183" w:lineRule="exact"/>
              <w:rPr>
                <w:rFonts w:ascii="Arial" w:cs="Arial" w:eastAsia="Arial" w:hAnsi="Arial"/>
                <w:sz w:val="20"/>
                <w:szCs w:val="20"/>
                <w:color w:val="0000FF"/>
              </w:rPr>
            </w:pPr>
            <w:hyperlink r:id="rId80">
              <w:r>
                <w:rPr>
                  <w:rFonts w:ascii="Arial" w:cs="Arial" w:eastAsia="Arial" w:hAnsi="Arial"/>
                  <w:sz w:val="20"/>
                  <w:szCs w:val="20"/>
                  <w:color w:val="0000FF"/>
                </w:rPr>
                <w:t>SunHoldings, LLC and the Guarantors party thereto.</w:t>
              </w:r>
            </w:hyperlink>
          </w:p>
        </w:tc>
        <w:tc>
          <w:tcPr>
            <w:tcW w:w="200" w:type="dxa"/>
            <w:vAlign w:val="bottom"/>
            <w:tcBorders>
              <w:top w:val="single" w:sz="8" w:color="CCEEFF"/>
            </w:tcBorders>
            <w:gridSpan w:val="3"/>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8"/>
          </w:tcPr>
          <w:p>
            <w:pPr>
              <w:spacing w:after="0" w:line="203" w:lineRule="exact"/>
              <w:rPr>
                <w:rFonts w:ascii="Arial" w:cs="Arial" w:eastAsia="Arial" w:hAnsi="Arial"/>
                <w:sz w:val="20"/>
                <w:szCs w:val="20"/>
                <w:color w:val="0000FF"/>
              </w:rPr>
            </w:pPr>
            <w:hyperlink r:id="rId81">
              <w:r>
                <w:rPr>
                  <w:rFonts w:ascii="Arial" w:cs="Arial" w:eastAsia="Arial" w:hAnsi="Arial"/>
                  <w:sz w:val="20"/>
                  <w:szCs w:val="20"/>
                  <w:color w:val="0000FF"/>
                </w:rPr>
                <w:t>Amended and Restated Certificate of Incorporation of Array</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4"/>
          </w:tcPr>
          <w:p>
            <w:pPr>
              <w:spacing w:after="0" w:line="169" w:lineRule="exact"/>
              <w:rPr>
                <w:rFonts w:ascii="Arial" w:cs="Arial" w:eastAsia="Arial" w:hAnsi="Arial"/>
                <w:sz w:val="19"/>
                <w:szCs w:val="19"/>
                <w:color w:val="0000FF"/>
              </w:rPr>
            </w:pPr>
            <w:hyperlink r:id="rId81">
              <w:r>
                <w:rPr>
                  <w:rFonts w:ascii="Arial" w:cs="Arial" w:eastAsia="Arial" w:hAnsi="Arial"/>
                  <w:sz w:val="19"/>
                  <w:szCs w:val="19"/>
                  <w:color w:val="0000FF"/>
                </w:rPr>
                <w:t>Technologies, Inc., dated October 19, 2020</w:t>
              </w:r>
            </w:hyperlink>
          </w:p>
        </w:tc>
        <w:tc>
          <w:tcPr>
            <w:tcW w:w="640" w:type="dxa"/>
            <w:vAlign w:val="bottom"/>
            <w:gridSpan w:val="4"/>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8"/>
            <w:shd w:val="clear" w:color="auto" w:fill="CCEEFF"/>
          </w:tcPr>
          <w:p>
            <w:pPr>
              <w:spacing w:after="0" w:line="203" w:lineRule="exact"/>
              <w:rPr>
                <w:rFonts w:ascii="Arial" w:cs="Arial" w:eastAsia="Arial" w:hAnsi="Arial"/>
                <w:sz w:val="20"/>
                <w:szCs w:val="20"/>
                <w:color w:val="0000FF"/>
              </w:rPr>
            </w:pPr>
            <w:hyperlink r:id="rId82">
              <w:r>
                <w:rPr>
                  <w:rFonts w:ascii="Arial" w:cs="Arial" w:eastAsia="Arial" w:hAnsi="Arial"/>
                  <w:sz w:val="20"/>
                  <w:szCs w:val="20"/>
                  <w:color w:val="0000FF"/>
                </w:rPr>
                <w:t>Amended and Restated Bylaws of Array Technologies, Inc.,</w:t>
              </w:r>
            </w:hyperlink>
          </w:p>
        </w:tc>
        <w:tc>
          <w:tcPr>
            <w:tcW w:w="102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0000FF"/>
            </w:tcBorders>
            <w:gridSpan w:val="4"/>
            <w:shd w:val="clear" w:color="auto" w:fill="CCEEFF"/>
          </w:tcPr>
          <w:p>
            <w:pPr>
              <w:spacing w:after="0" w:line="169" w:lineRule="exact"/>
              <w:rPr>
                <w:rFonts w:ascii="Arial" w:cs="Arial" w:eastAsia="Arial" w:hAnsi="Arial"/>
                <w:sz w:val="19"/>
                <w:szCs w:val="19"/>
                <w:color w:val="0000FF"/>
              </w:rPr>
            </w:pPr>
            <w:hyperlink r:id="rId82">
              <w:r>
                <w:rPr>
                  <w:rFonts w:ascii="Arial" w:cs="Arial" w:eastAsia="Arial" w:hAnsi="Arial"/>
                  <w:sz w:val="19"/>
                  <w:szCs w:val="19"/>
                  <w:color w:val="0000FF"/>
                </w:rPr>
                <w:t>dated October 19, 2020</w:t>
              </w:r>
            </w:hyperlink>
          </w:p>
        </w:tc>
        <w:tc>
          <w:tcPr>
            <w:tcW w:w="640" w:type="dxa"/>
            <w:vAlign w:val="bottom"/>
            <w:tcBorders>
              <w:top w:val="single" w:sz="8" w:color="CCEEFF"/>
            </w:tcBorders>
            <w:gridSpan w:val="4"/>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67"/>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840" w:type="dxa"/>
            <w:vAlign w:val="bottom"/>
            <w:tcBorders>
              <w:bottom w:val="single" w:sz="8" w:color="auto"/>
            </w:tcBorders>
            <w:gridSpan w:val="14"/>
          </w:tcPr>
          <w:p>
            <w:pPr>
              <w:ind w:left="4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Pr>
          <w:p>
            <w:pPr>
              <w:spacing w:after="0"/>
              <w:rPr>
                <w:sz w:val="23"/>
                <w:szCs w:val="2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Pr>
          <w:p>
            <w:pPr>
              <w:spacing w:after="0"/>
              <w:rPr>
                <w:sz w:val="23"/>
                <w:szCs w:val="23"/>
                <w:color w:val="auto"/>
              </w:rPr>
            </w:pPr>
          </w:p>
        </w:tc>
        <w:tc>
          <w:tcPr>
            <w:tcW w:w="1560" w:type="dxa"/>
            <w:vAlign w:val="bottom"/>
            <w:tcBorders>
              <w:bottom w:val="single" w:sz="8" w:color="auto"/>
            </w:tcBorders>
          </w:tcPr>
          <w:p>
            <w:pPr>
              <w:ind w:left="560"/>
              <w:spacing w:after="0"/>
              <w:rPr>
                <w:sz w:val="20"/>
                <w:szCs w:val="20"/>
                <w:color w:val="auto"/>
              </w:rPr>
            </w:pPr>
            <w:r>
              <w:rPr>
                <w:rFonts w:ascii="Arial" w:cs="Arial" w:eastAsia="Arial" w:hAnsi="Arial"/>
                <w:sz w:val="20"/>
                <w:szCs w:val="20"/>
                <w:b w:val="1"/>
                <w:bCs w:val="1"/>
                <w:color w:val="auto"/>
              </w:rPr>
              <w:t>Date</w:t>
            </w:r>
          </w:p>
        </w:tc>
        <w:tc>
          <w:tcPr>
            <w:tcW w:w="80" w:type="dxa"/>
            <w:vAlign w:val="bottom"/>
          </w:tcPr>
          <w:p>
            <w:pPr>
              <w:spacing w:after="0"/>
              <w:rPr>
                <w:sz w:val="23"/>
                <w:szCs w:val="23"/>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209"/>
        </w:trPr>
        <w:tc>
          <w:tcPr>
            <w:tcW w:w="1540" w:type="dxa"/>
            <w:vAlign w:val="bottom"/>
          </w:tcPr>
          <w:p>
            <w:pPr>
              <w:jc w:val="center"/>
              <w:spacing w:after="0" w:line="209" w:lineRule="exact"/>
              <w:rPr>
                <w:sz w:val="20"/>
                <w:szCs w:val="20"/>
                <w:color w:val="auto"/>
              </w:rPr>
            </w:pPr>
            <w:r>
              <w:rPr>
                <w:rFonts w:ascii="Arial" w:cs="Arial" w:eastAsia="Arial" w:hAnsi="Arial"/>
                <w:sz w:val="20"/>
                <w:szCs w:val="20"/>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gridSpan w:val="20"/>
          </w:tcPr>
          <w:p>
            <w:pPr>
              <w:spacing w:after="0" w:line="209" w:lineRule="exact"/>
              <w:rPr>
                <w:rFonts w:ascii="Arial" w:cs="Arial" w:eastAsia="Arial" w:hAnsi="Arial"/>
                <w:sz w:val="20"/>
                <w:szCs w:val="20"/>
                <w:color w:val="0000FF"/>
              </w:rPr>
            </w:pPr>
            <w:hyperlink r:id="rId84">
              <w:r>
                <w:rPr>
                  <w:rFonts w:ascii="Arial" w:cs="Arial" w:eastAsia="Arial" w:hAnsi="Arial"/>
                  <w:sz w:val="20"/>
                  <w:szCs w:val="20"/>
                  <w:color w:val="0000FF"/>
                </w:rPr>
                <w:t>Certificate of Designations of Series A Perpetual Preferred Stock</w:t>
              </w:r>
            </w:hyperlink>
          </w:p>
        </w:tc>
        <w:tc>
          <w:tcPr>
            <w:tcW w:w="940" w:type="dxa"/>
            <w:vAlign w:val="bottom"/>
          </w:tcPr>
          <w:p>
            <w:pPr>
              <w:jc w:val="center"/>
              <w:spacing w:after="0" w:line="209" w:lineRule="exact"/>
              <w:rPr>
                <w:sz w:val="20"/>
                <w:szCs w:val="20"/>
                <w:color w:val="auto"/>
              </w:rPr>
            </w:pPr>
            <w:r>
              <w:rPr>
                <w:rFonts w:ascii="Arial" w:cs="Arial" w:eastAsia="Arial" w:hAnsi="Arial"/>
                <w:sz w:val="20"/>
                <w:szCs w:val="20"/>
                <w:color w:val="auto"/>
                <w:w w:val="96"/>
              </w:rPr>
              <w:t>8-K</w:t>
            </w:r>
          </w:p>
        </w:tc>
        <w:tc>
          <w:tcPr>
            <w:tcW w:w="80" w:type="dxa"/>
            <w:vAlign w:val="bottom"/>
          </w:tcPr>
          <w:p>
            <w:pPr>
              <w:spacing w:after="0"/>
              <w:rPr>
                <w:sz w:val="18"/>
                <w:szCs w:val="18"/>
                <w:color w:val="auto"/>
              </w:rPr>
            </w:pPr>
          </w:p>
        </w:tc>
        <w:tc>
          <w:tcPr>
            <w:tcW w:w="1560" w:type="dxa"/>
            <w:vAlign w:val="bottom"/>
          </w:tcPr>
          <w:p>
            <w:pPr>
              <w:jc w:val="center"/>
              <w:spacing w:after="0" w:line="209" w:lineRule="exact"/>
              <w:rPr>
                <w:sz w:val="20"/>
                <w:szCs w:val="20"/>
                <w:color w:val="auto"/>
              </w:rPr>
            </w:pPr>
            <w:r>
              <w:rPr>
                <w:rFonts w:ascii="Arial" w:cs="Arial" w:eastAsia="Arial" w:hAnsi="Arial"/>
                <w:sz w:val="20"/>
                <w:szCs w:val="20"/>
                <w:color w:val="auto"/>
                <w:w w:val="96"/>
              </w:rPr>
              <w:t>8/11/2021</w:t>
            </w:r>
          </w:p>
        </w:tc>
        <w:tc>
          <w:tcPr>
            <w:tcW w:w="80" w:type="dxa"/>
            <w:vAlign w:val="bottom"/>
          </w:tcPr>
          <w:p>
            <w:pPr>
              <w:spacing w:after="0"/>
              <w:rPr>
                <w:sz w:val="18"/>
                <w:szCs w:val="18"/>
                <w:color w:val="auto"/>
              </w:rPr>
            </w:pPr>
          </w:p>
        </w:tc>
        <w:tc>
          <w:tcPr>
            <w:tcW w:w="1060" w:type="dxa"/>
            <w:vAlign w:val="bottom"/>
          </w:tcPr>
          <w:p>
            <w:pPr>
              <w:jc w:val="center"/>
              <w:spacing w:after="0" w:line="209" w:lineRule="exact"/>
              <w:rPr>
                <w:sz w:val="20"/>
                <w:szCs w:val="20"/>
                <w:color w:val="auto"/>
              </w:rPr>
            </w:pPr>
            <w:r>
              <w:rPr>
                <w:rFonts w:ascii="Arial" w:cs="Arial" w:eastAsia="Arial" w:hAnsi="Arial"/>
                <w:sz w:val="20"/>
                <w:szCs w:val="20"/>
                <w:color w:val="auto"/>
              </w:rPr>
              <w:t>3.1</w:t>
            </w:r>
          </w:p>
        </w:tc>
      </w:tr>
      <w:tr>
        <w:trPr>
          <w:trHeight w:val="48"/>
        </w:trPr>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4.1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0"/>
            <w:shd w:val="clear" w:color="auto" w:fill="CCEEFF"/>
          </w:tcPr>
          <w:p>
            <w:pPr>
              <w:spacing w:after="0" w:line="203" w:lineRule="exact"/>
              <w:rPr>
                <w:rFonts w:ascii="Arial" w:cs="Arial" w:eastAsia="Arial" w:hAnsi="Arial"/>
                <w:sz w:val="20"/>
                <w:szCs w:val="20"/>
                <w:color w:val="0000FF"/>
              </w:rPr>
            </w:pPr>
            <w:hyperlink r:id="rId85">
              <w:r>
                <w:rPr>
                  <w:rFonts w:ascii="Arial" w:cs="Arial" w:eastAsia="Arial" w:hAnsi="Arial"/>
                  <w:sz w:val="20"/>
                  <w:szCs w:val="20"/>
                  <w:color w:val="0000FF"/>
                </w:rPr>
                <w:t>Indenture, dated June 27, 2025, between Array Technologies,</w:t>
              </w:r>
            </w:hyperlink>
          </w:p>
        </w:tc>
        <w:tc>
          <w:tcPr>
            <w:tcW w:w="1020" w:type="dxa"/>
            <w:vAlign w:val="bottom"/>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6/27/2025</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rPr>
              <w:t>4.1</w:t>
            </w: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940" w:type="dxa"/>
            <w:vAlign w:val="bottom"/>
            <w:tcBorders>
              <w:top w:val="single" w:sz="8" w:color="0000FF"/>
              <w:bottom w:val="single" w:sz="8" w:color="0000FF"/>
            </w:tcBorders>
            <w:gridSpan w:val="8"/>
            <w:shd w:val="clear" w:color="auto" w:fill="CCEEFF"/>
          </w:tcPr>
          <w:p>
            <w:pPr>
              <w:spacing w:after="0" w:line="183" w:lineRule="exact"/>
              <w:rPr>
                <w:rFonts w:ascii="Arial" w:cs="Arial" w:eastAsia="Arial" w:hAnsi="Arial"/>
                <w:sz w:val="20"/>
                <w:szCs w:val="20"/>
                <w:color w:val="0000FF"/>
                <w:w w:val="98"/>
              </w:rPr>
            </w:pPr>
            <w:hyperlink r:id="rId85">
              <w:r>
                <w:rPr>
                  <w:rFonts w:ascii="Arial" w:cs="Arial" w:eastAsia="Arial" w:hAnsi="Arial"/>
                  <w:sz w:val="20"/>
                  <w:szCs w:val="20"/>
                  <w:color w:val="0000FF"/>
                  <w:w w:val="98"/>
                </w:rPr>
                <w:t>Inc. and U.S. Bank Trust Company, National Association</w:t>
              </w:r>
            </w:hyperlink>
          </w:p>
        </w:tc>
        <w:tc>
          <w:tcPr>
            <w:tcW w:w="46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0"/>
          </w:tcPr>
          <w:p>
            <w:pPr>
              <w:spacing w:after="0" w:line="203" w:lineRule="exact"/>
              <w:rPr>
                <w:rFonts w:ascii="Arial" w:cs="Arial" w:eastAsia="Arial" w:hAnsi="Arial"/>
                <w:sz w:val="20"/>
                <w:szCs w:val="20"/>
                <w:color w:val="0000FF"/>
              </w:rPr>
            </w:pPr>
            <w:hyperlink r:id="rId85">
              <w:r>
                <w:rPr>
                  <w:rFonts w:ascii="Arial" w:cs="Arial" w:eastAsia="Arial" w:hAnsi="Arial"/>
                  <w:sz w:val="20"/>
                  <w:szCs w:val="20"/>
                  <w:color w:val="0000FF"/>
                </w:rPr>
                <w:t>Form of 2.875% Convertible Senior Note due 2031 (included in</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8"/>
              </w:rPr>
              <w:t>6/27/2025</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rPr>
              <w:t>4.2</w:t>
            </w: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FF"/>
            </w:tcBorders>
            <w:gridSpan w:val="13"/>
          </w:tcPr>
          <w:p>
            <w:pPr>
              <w:spacing w:after="0" w:line="183" w:lineRule="exact"/>
              <w:rPr>
                <w:rFonts w:ascii="Arial" w:cs="Arial" w:eastAsia="Arial" w:hAnsi="Arial"/>
                <w:sz w:val="20"/>
                <w:szCs w:val="20"/>
                <w:color w:val="0000FF"/>
              </w:rPr>
            </w:pPr>
            <w:hyperlink r:id="rId85">
              <w:r>
                <w:rPr>
                  <w:rFonts w:ascii="Arial" w:cs="Arial" w:eastAsia="Arial" w:hAnsi="Arial"/>
                  <w:sz w:val="20"/>
                  <w:szCs w:val="20"/>
                  <w:color w:val="0000FF"/>
                </w:rPr>
                <w:t>Exhibit 4.1).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20"/>
                <w:szCs w:val="20"/>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0000FF"/>
            </w:tcBorders>
            <w:gridSpan w:val="4"/>
            <w:shd w:val="clear" w:color="auto" w:fill="CCEEFF"/>
          </w:tcPr>
          <w:p>
            <w:pPr>
              <w:spacing w:after="0" w:line="203" w:lineRule="exact"/>
              <w:rPr>
                <w:rFonts w:ascii="Arial" w:cs="Arial" w:eastAsia="Arial" w:hAnsi="Arial"/>
                <w:sz w:val="20"/>
                <w:szCs w:val="20"/>
                <w:color w:val="0000FF"/>
                <w:w w:val="97"/>
              </w:rPr>
            </w:pPr>
            <w:hyperlink r:id="rId86">
              <w:r>
                <w:rPr>
                  <w:rFonts w:ascii="Arial" w:cs="Arial" w:eastAsia="Arial" w:hAnsi="Arial"/>
                  <w:sz w:val="20"/>
                  <w:szCs w:val="20"/>
                  <w:color w:val="0000FF"/>
                  <w:w w:val="97"/>
                </w:rPr>
                <w:t>Form of Capped Call</w:t>
              </w:r>
            </w:hyperlink>
          </w:p>
        </w:tc>
        <w:tc>
          <w:tcPr>
            <w:tcW w:w="4020" w:type="dxa"/>
            <w:vAlign w:val="bottom"/>
            <w:tcBorders>
              <w:bottom w:val="single" w:sz="8" w:color="CCEEFF"/>
            </w:tcBorders>
            <w:gridSpan w:val="16"/>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Borders>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6/27/2025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20"/>
                <w:szCs w:val="20"/>
                <w:color w:val="auto"/>
                <w:w w:val="97"/>
              </w:rPr>
              <w:t>10.1</w:t>
            </w: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10.2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0"/>
          </w:tcPr>
          <w:p>
            <w:pPr>
              <w:spacing w:after="0" w:line="203" w:lineRule="exact"/>
              <w:rPr>
                <w:rFonts w:ascii="Arial" w:cs="Arial" w:eastAsia="Arial" w:hAnsi="Arial"/>
                <w:sz w:val="20"/>
                <w:szCs w:val="20"/>
                <w:color w:val="0000FF"/>
              </w:rPr>
            </w:pPr>
            <w:hyperlink r:id="rId87">
              <w:r>
                <w:rPr>
                  <w:rFonts w:ascii="Arial" w:cs="Arial" w:eastAsia="Arial" w:hAnsi="Arial"/>
                  <w:sz w:val="20"/>
                  <w:szCs w:val="20"/>
                  <w:color w:val="0000FF"/>
                </w:rPr>
                <w:t>Amendment No. 4 to the Credit Agreement, dated as of May 1,</w:t>
              </w:r>
            </w:hyperlink>
          </w:p>
        </w:tc>
        <w:tc>
          <w:tcPr>
            <w:tcW w:w="1020" w:type="dxa"/>
            <w:vAlign w:val="bottom"/>
            <w:gridSpan w:val="2"/>
          </w:tcPr>
          <w:p>
            <w:pPr>
              <w:jc w:val="center"/>
              <w:ind w:right="100"/>
              <w:spacing w:after="0" w:line="203" w:lineRule="exact"/>
              <w:rPr>
                <w:sz w:val="20"/>
                <w:szCs w:val="20"/>
                <w:color w:val="auto"/>
              </w:rPr>
            </w:pPr>
            <w:r>
              <w:rPr>
                <w:rFonts w:ascii="Arial" w:cs="Arial" w:eastAsia="Arial" w:hAnsi="Arial"/>
                <w:sz w:val="20"/>
                <w:szCs w:val="20"/>
                <w:color w:val="auto"/>
                <w:w w:val="98"/>
              </w:rPr>
              <w:t>10-Q</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7"/>
              </w:rPr>
              <w:t>5/6/2025</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w w:val="97"/>
              </w:rPr>
              <w:t>10.2</w:t>
            </w:r>
          </w:p>
        </w:tc>
      </w:tr>
      <w:tr>
        <w:trPr>
          <w:trHeight w:val="176"/>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tcBorders>
              <w:top w:val="single" w:sz="8" w:color="0000FF"/>
            </w:tcBorders>
            <w:gridSpan w:val="12"/>
          </w:tcPr>
          <w:p>
            <w:pPr>
              <w:spacing w:after="0" w:line="169" w:lineRule="exact"/>
              <w:rPr>
                <w:rFonts w:ascii="Arial" w:cs="Arial" w:eastAsia="Arial" w:hAnsi="Arial"/>
                <w:sz w:val="19"/>
                <w:szCs w:val="19"/>
                <w:color w:val="0000FF"/>
              </w:rPr>
            </w:pPr>
            <w:hyperlink r:id="rId87">
              <w:r>
                <w:rPr>
                  <w:rFonts w:ascii="Arial" w:cs="Arial" w:eastAsia="Arial" w:hAnsi="Arial"/>
                  <w:sz w:val="19"/>
                  <w:szCs w:val="19"/>
                  <w:color w:val="0000FF"/>
                </w:rPr>
                <w:t>2025, by and among Array Tech, Inc., as borrower, ATI</w:t>
              </w:r>
            </w:hyperlink>
          </w:p>
        </w:tc>
        <w:tc>
          <w:tcPr>
            <w:tcW w:w="1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tcBorders>
              <w:top w:val="single" w:sz="8" w:color="0000FF"/>
            </w:tcBorders>
            <w:gridSpan w:val="7"/>
          </w:tcPr>
          <w:p>
            <w:pPr>
              <w:spacing w:after="0" w:line="176" w:lineRule="exact"/>
              <w:rPr>
                <w:rFonts w:ascii="Arial" w:cs="Arial" w:eastAsia="Arial" w:hAnsi="Arial"/>
                <w:sz w:val="20"/>
                <w:szCs w:val="20"/>
                <w:color w:val="0000FF"/>
                <w:w w:val="96"/>
              </w:rPr>
            </w:pPr>
            <w:hyperlink r:id="rId87">
              <w:r>
                <w:rPr>
                  <w:rFonts w:ascii="Arial" w:cs="Arial" w:eastAsia="Arial" w:hAnsi="Arial"/>
                  <w:sz w:val="20"/>
                  <w:szCs w:val="20"/>
                  <w:color w:val="0000FF"/>
                  <w:w w:val="96"/>
                </w:rPr>
                <w:t>Investment Sub, Inc. as holdings, Goldman Sachs Bank</w:t>
              </w:r>
            </w:hyperlink>
          </w:p>
        </w:tc>
        <w:tc>
          <w:tcPr>
            <w:tcW w:w="1060" w:type="dxa"/>
            <w:vAlign w:val="bottom"/>
            <w:gridSpan w:val="13"/>
          </w:tcPr>
          <w:p>
            <w:pPr>
              <w:ind w:left="160"/>
              <w:spacing w:after="0" w:line="176" w:lineRule="exact"/>
              <w:rPr>
                <w:rFonts w:ascii="Arial" w:cs="Arial" w:eastAsia="Arial" w:hAnsi="Arial"/>
                <w:sz w:val="20"/>
                <w:szCs w:val="20"/>
                <w:color w:val="0000FF"/>
              </w:rPr>
            </w:pPr>
            <w:hyperlink r:id="rId87">
              <w:r>
                <w:rPr>
                  <w:rFonts w:ascii="Arial" w:cs="Arial" w:eastAsia="Arial" w:hAnsi="Arial"/>
                  <w:sz w:val="20"/>
                  <w:szCs w:val="20"/>
                  <w:color w:val="0000FF"/>
                </w:rPr>
                <w:t>USA, as</w:t>
              </w:r>
            </w:hyperlink>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80" w:type="dxa"/>
            <w:vAlign w:val="bottom"/>
            <w:tcBorders>
              <w:top w:val="single" w:sz="8" w:color="0000FF"/>
            </w:tcBorders>
            <w:gridSpan w:val="16"/>
          </w:tcPr>
          <w:p>
            <w:pPr>
              <w:spacing w:after="0" w:line="183" w:lineRule="exact"/>
              <w:rPr>
                <w:rFonts w:ascii="Arial" w:cs="Arial" w:eastAsia="Arial" w:hAnsi="Arial"/>
                <w:sz w:val="20"/>
                <w:szCs w:val="20"/>
                <w:color w:val="0000FF"/>
              </w:rPr>
            </w:pPr>
            <w:hyperlink r:id="rId87">
              <w:r>
                <w:rPr>
                  <w:rFonts w:ascii="Arial" w:cs="Arial" w:eastAsia="Arial" w:hAnsi="Arial"/>
                  <w:sz w:val="20"/>
                  <w:szCs w:val="20"/>
                  <w:color w:val="0000FF"/>
                </w:rPr>
                <w:t>administrative agent, and the additional lenders party thereto (in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tcBorders>
              <w:top w:val="single" w:sz="8" w:color="0000FF"/>
            </w:tcBorders>
            <w:gridSpan w:val="14"/>
          </w:tcPr>
          <w:p>
            <w:pPr>
              <w:spacing w:after="0" w:line="183" w:lineRule="exact"/>
              <w:rPr>
                <w:rFonts w:ascii="Arial" w:cs="Arial" w:eastAsia="Arial" w:hAnsi="Arial"/>
                <w:sz w:val="20"/>
                <w:szCs w:val="20"/>
                <w:color w:val="0000FF"/>
              </w:rPr>
            </w:pPr>
            <w:hyperlink r:id="rId87">
              <w:r>
                <w:rPr>
                  <w:rFonts w:ascii="Arial" w:cs="Arial" w:eastAsia="Arial" w:hAnsi="Arial"/>
                  <w:sz w:val="20"/>
                  <w:szCs w:val="20"/>
                  <w:color w:val="0000FF"/>
                </w:rPr>
                <w:t>such capacities indicated therein)</w:t>
              </w:r>
            </w:hyperlink>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tcBorders>
              <w:bottom w:val="single" w:sz="8" w:color="CCEEFF"/>
            </w:tcBorders>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10.3*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0000FF"/>
            </w:tcBorders>
            <w:gridSpan w:val="10"/>
            <w:shd w:val="clear" w:color="auto" w:fill="CCEEFF"/>
          </w:tcPr>
          <w:p>
            <w:pPr>
              <w:spacing w:after="0" w:line="203" w:lineRule="exact"/>
              <w:rPr>
                <w:sz w:val="20"/>
                <w:szCs w:val="20"/>
                <w:color w:val="auto"/>
              </w:rPr>
            </w:pPr>
            <w:r>
              <w:rPr>
                <w:rFonts w:ascii="Arial" w:cs="Arial" w:eastAsia="Arial" w:hAnsi="Arial"/>
                <w:sz w:val="20"/>
                <w:szCs w:val="20"/>
                <w:color w:val="0000FF"/>
                <w:w w:val="98"/>
              </w:rPr>
              <w:t>Amendment No. 1 to Transition and Separation Agreement,</w:t>
            </w:r>
          </w:p>
        </w:tc>
        <w:tc>
          <w:tcPr>
            <w:tcW w:w="640" w:type="dxa"/>
            <w:vAlign w:val="bottom"/>
            <w:tcBorders>
              <w:bottom w:val="single" w:sz="8" w:color="CCEEFF"/>
            </w:tcBorders>
            <w:gridSpan w:val="10"/>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03"/>
        </w:trPr>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0"/>
            <w:shd w:val="clear" w:color="auto" w:fill="CCEEFF"/>
          </w:tcPr>
          <w:p>
            <w:pPr>
              <w:spacing w:after="0" w:line="183" w:lineRule="exact"/>
              <w:rPr>
                <w:sz w:val="20"/>
                <w:szCs w:val="20"/>
                <w:color w:val="auto"/>
              </w:rPr>
            </w:pPr>
            <w:r>
              <w:rPr>
                <w:rFonts w:ascii="Arial" w:cs="Arial" w:eastAsia="Arial" w:hAnsi="Arial"/>
                <w:sz w:val="20"/>
                <w:szCs w:val="20"/>
                <w:color w:val="0000FF"/>
              </w:rPr>
              <w:t>dated August 4, 2025, between Array Technologies, Inc. and Kurt</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49"/>
        </w:trPr>
        <w:tc>
          <w:tcPr>
            <w:tcW w:w="1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0000FF"/>
            </w:tcBorders>
            <w:gridSpan w:val="3"/>
            <w:shd w:val="clear" w:color="auto" w:fill="CCEEFF"/>
          </w:tcPr>
          <w:p>
            <w:pPr>
              <w:spacing w:after="0" w:line="149" w:lineRule="exact"/>
              <w:rPr>
                <w:sz w:val="20"/>
                <w:szCs w:val="20"/>
                <w:color w:val="auto"/>
              </w:rPr>
            </w:pPr>
            <w:r>
              <w:rPr>
                <w:rFonts w:ascii="Arial" w:cs="Arial" w:eastAsia="Arial" w:hAnsi="Arial"/>
                <w:sz w:val="16"/>
                <w:szCs w:val="16"/>
                <w:color w:val="0000FF"/>
              </w:rPr>
              <w:t>Wood</w:t>
            </w:r>
          </w:p>
        </w:tc>
        <w:tc>
          <w:tcPr>
            <w:tcW w:w="700" w:type="dxa"/>
            <w:vAlign w:val="bottom"/>
            <w:tcBorders>
              <w:top w:val="single" w:sz="8" w:color="0000FF"/>
            </w:tcBorders>
            <w:gridSpan w:val="2"/>
            <w:shd w:val="clear" w:color="auto" w:fill="CCEEFF"/>
          </w:tcPr>
          <w:p>
            <w:pPr>
              <w:spacing w:after="0"/>
              <w:rPr>
                <w:sz w:val="12"/>
                <w:szCs w:val="12"/>
                <w:color w:val="auto"/>
              </w:rPr>
            </w:pPr>
          </w:p>
        </w:tc>
        <w:tc>
          <w:tcPr>
            <w:tcW w:w="3020" w:type="dxa"/>
            <w:vAlign w:val="bottom"/>
            <w:tcBorders>
              <w:top w:val="single" w:sz="8" w:color="0000FF"/>
            </w:tcBorders>
            <w:gridSpan w:val="3"/>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660" w:type="dxa"/>
            <w:vAlign w:val="bottom"/>
            <w:tcBorders>
              <w:top w:val="single" w:sz="8" w:color="0000FF"/>
            </w:tcBorders>
            <w:gridSpan w:val="6"/>
            <w:shd w:val="clear" w:color="auto" w:fill="CCEEFF"/>
          </w:tcPr>
          <w:p>
            <w:pPr>
              <w:spacing w:after="0"/>
              <w:rPr>
                <w:sz w:val="12"/>
                <w:szCs w:val="12"/>
                <w:color w:val="auto"/>
              </w:rPr>
            </w:pPr>
          </w:p>
        </w:tc>
        <w:tc>
          <w:tcPr>
            <w:tcW w:w="40" w:type="dxa"/>
            <w:vAlign w:val="bottom"/>
            <w:tcBorders>
              <w:top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0"/>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18"/>
          </w:tcPr>
          <w:p>
            <w:pPr>
              <w:spacing w:after="0" w:line="183" w:lineRule="exact"/>
              <w:rPr>
                <w:sz w:val="20"/>
                <w:szCs w:val="20"/>
                <w:color w:val="auto"/>
              </w:rPr>
            </w:pPr>
            <w:r>
              <w:rPr>
                <w:rFonts w:ascii="Arial" w:cs="Arial" w:eastAsia="Arial" w:hAnsi="Arial"/>
                <w:sz w:val="20"/>
                <w:szCs w:val="20"/>
                <w:color w:val="0000FF"/>
              </w:rPr>
              <w:t>302 of the Sarbanes- Oxley Act of 2002 (18 U.S.C. 1350)</w:t>
            </w: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0"/>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0000FF"/>
              <w:bottom w:val="single" w:sz="8" w:color="0000FF"/>
            </w:tcBorders>
            <w:gridSpan w:val="9"/>
            <w:shd w:val="clear" w:color="auto" w:fill="CCEEFF"/>
          </w:tcPr>
          <w:p>
            <w:pPr>
              <w:spacing w:after="0" w:line="183" w:lineRule="exact"/>
              <w:rPr>
                <w:sz w:val="20"/>
                <w:szCs w:val="20"/>
                <w:color w:val="auto"/>
              </w:rPr>
            </w:pPr>
            <w:r>
              <w:rPr>
                <w:rFonts w:ascii="Arial" w:cs="Arial" w:eastAsia="Arial" w:hAnsi="Arial"/>
                <w:sz w:val="20"/>
                <w:szCs w:val="20"/>
                <w:color w:val="0000FF"/>
                <w:w w:val="98"/>
              </w:rPr>
              <w:t>302 of the Sarbanes- Oxley Act of 2002 (18 U.S.C. 1350)</w:t>
            </w:r>
          </w:p>
        </w:tc>
        <w:tc>
          <w:tcPr>
            <w:tcW w:w="66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0"/>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18"/>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20"/>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15"/>
            <w:shd w:val="clear" w:color="auto" w:fill="CCEEFF"/>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80" w:type="dxa"/>
            <w:vAlign w:val="bottom"/>
            <w:tcBorders>
              <w:top w:val="single" w:sz="8" w:color="CCEEFF"/>
            </w:tcBorders>
            <w:gridSpan w:val="5"/>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1"/>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1660" w:type="dxa"/>
            <w:vAlign w:val="bottom"/>
            <w:gridSpan w:val="2"/>
          </w:tcPr>
          <w:p>
            <w:pPr>
              <w:ind w:left="420"/>
              <w:spacing w:after="0" w:line="194" w:lineRule="exact"/>
              <w:rPr>
                <w:sz w:val="20"/>
                <w:szCs w:val="20"/>
                <w:color w:val="auto"/>
              </w:rPr>
            </w:pPr>
            <w:r>
              <w:rPr>
                <w:rFonts w:ascii="Arial" w:cs="Arial" w:eastAsia="Arial" w:hAnsi="Arial"/>
                <w:sz w:val="20"/>
                <w:szCs w:val="20"/>
                <w:color w:val="auto"/>
              </w:rPr>
              <w:t>101.INS</w:t>
            </w:r>
          </w:p>
        </w:tc>
        <w:tc>
          <w:tcPr>
            <w:tcW w:w="20" w:type="dxa"/>
            <w:vAlign w:val="bottom"/>
          </w:tcPr>
          <w:p>
            <w:pPr>
              <w:spacing w:after="0"/>
              <w:rPr>
                <w:sz w:val="16"/>
                <w:szCs w:val="16"/>
                <w:color w:val="auto"/>
              </w:rPr>
            </w:pPr>
          </w:p>
        </w:tc>
        <w:tc>
          <w:tcPr>
            <w:tcW w:w="5840" w:type="dxa"/>
            <w:vAlign w:val="bottom"/>
            <w:gridSpan w:val="20"/>
          </w:tcPr>
          <w:p>
            <w:pPr>
              <w:spacing w:after="0" w:line="194" w:lineRule="exact"/>
              <w:rPr>
                <w:sz w:val="20"/>
                <w:szCs w:val="20"/>
                <w:color w:val="auto"/>
              </w:rPr>
            </w:pPr>
            <w:r>
              <w:rPr>
                <w:rFonts w:ascii="Arial" w:cs="Arial" w:eastAsia="Arial" w:hAnsi="Arial"/>
                <w:sz w:val="20"/>
                <w:szCs w:val="20"/>
                <w:color w:val="auto"/>
              </w:rPr>
              <w:t>XBRL Instance Document – the instance document does not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7"/>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20"/>
          </w:tcPr>
          <w:p>
            <w:pPr>
              <w:spacing w:after="0" w:line="197" w:lineRule="exact"/>
              <w:rPr>
                <w:sz w:val="20"/>
                <w:szCs w:val="20"/>
                <w:color w:val="auto"/>
              </w:rPr>
            </w:pPr>
            <w:r>
              <w:rPr>
                <w:rFonts w:ascii="Arial" w:cs="Arial" w:eastAsia="Arial" w:hAnsi="Arial"/>
                <w:sz w:val="20"/>
                <w:szCs w:val="20"/>
                <w:color w:val="auto"/>
              </w:rPr>
              <w:t>appear in the Interactive Data file because its XBRL tags are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7"/>
        </w:trPr>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20"/>
          </w:tcPr>
          <w:p>
            <w:pPr>
              <w:spacing w:after="0"/>
              <w:rPr>
                <w:sz w:val="20"/>
                <w:szCs w:val="20"/>
                <w:color w:val="auto"/>
              </w:rPr>
            </w:pPr>
            <w:r>
              <w:rPr>
                <w:rFonts w:ascii="Arial" w:cs="Arial" w:eastAsia="Arial" w:hAnsi="Arial"/>
                <w:sz w:val="20"/>
                <w:szCs w:val="20"/>
                <w:color w:val="auto"/>
              </w:rPr>
              <w:t>embedded within the Inline XBRL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101.SCH</w:t>
            </w:r>
          </w:p>
        </w:tc>
        <w:tc>
          <w:tcPr>
            <w:tcW w:w="20" w:type="dxa"/>
            <w:vAlign w:val="bottom"/>
            <w:shd w:val="clear" w:color="auto" w:fill="CCEEFF"/>
          </w:tcPr>
          <w:p>
            <w:pPr>
              <w:spacing w:after="0"/>
              <w:rPr>
                <w:sz w:val="22"/>
                <w:szCs w:val="22"/>
                <w:color w:val="auto"/>
              </w:rPr>
            </w:pPr>
          </w:p>
        </w:tc>
        <w:tc>
          <w:tcPr>
            <w:tcW w:w="5840" w:type="dxa"/>
            <w:vAlign w:val="bottom"/>
            <w:gridSpan w:val="20"/>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2"/>
                <w:szCs w:val="22"/>
                <w:color w:val="auto"/>
              </w:rPr>
            </w:pPr>
          </w:p>
        </w:tc>
        <w:tc>
          <w:tcPr>
            <w:tcW w:w="5840" w:type="dxa"/>
            <w:vAlign w:val="bottom"/>
            <w:gridSpan w:val="20"/>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101.DEF</w:t>
            </w:r>
          </w:p>
        </w:tc>
        <w:tc>
          <w:tcPr>
            <w:tcW w:w="20" w:type="dxa"/>
            <w:vAlign w:val="bottom"/>
            <w:shd w:val="clear" w:color="auto" w:fill="CCEEFF"/>
          </w:tcPr>
          <w:p>
            <w:pPr>
              <w:spacing w:after="0"/>
              <w:rPr>
                <w:sz w:val="22"/>
                <w:szCs w:val="22"/>
                <w:color w:val="auto"/>
              </w:rPr>
            </w:pPr>
          </w:p>
        </w:tc>
        <w:tc>
          <w:tcPr>
            <w:tcW w:w="5840" w:type="dxa"/>
            <w:vAlign w:val="bottom"/>
            <w:gridSpan w:val="20"/>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2"/>
                <w:szCs w:val="22"/>
                <w:color w:val="auto"/>
              </w:rPr>
            </w:pPr>
          </w:p>
        </w:tc>
        <w:tc>
          <w:tcPr>
            <w:tcW w:w="5840" w:type="dxa"/>
            <w:vAlign w:val="bottom"/>
            <w:gridSpan w:val="20"/>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101.PRE</w:t>
            </w:r>
          </w:p>
        </w:tc>
        <w:tc>
          <w:tcPr>
            <w:tcW w:w="20" w:type="dxa"/>
            <w:vAlign w:val="bottom"/>
            <w:shd w:val="clear" w:color="auto" w:fill="CCEEFF"/>
          </w:tcPr>
          <w:p>
            <w:pPr>
              <w:spacing w:after="0"/>
              <w:rPr>
                <w:sz w:val="22"/>
                <w:szCs w:val="22"/>
                <w:color w:val="auto"/>
              </w:rPr>
            </w:pPr>
          </w:p>
        </w:tc>
        <w:tc>
          <w:tcPr>
            <w:tcW w:w="5840" w:type="dxa"/>
            <w:vAlign w:val="bottom"/>
            <w:gridSpan w:val="20"/>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ind w:left="1680" w:hanging="1068"/>
        <w:spacing w:after="0"/>
        <w:tabs>
          <w:tab w:leader="none" w:pos="16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31" w:lineRule="exact"/>
        <w:rPr>
          <w:sz w:val="20"/>
          <w:szCs w:val="20"/>
          <w:color w:val="auto"/>
        </w:rPr>
      </w:pPr>
    </w:p>
    <w:p>
      <w:pPr>
        <w:ind w:right="640" w:firstLine="8"/>
        <w:spacing w:after="0" w:line="281" w:lineRule="auto"/>
        <w:tabs>
          <w:tab w:leader="none" w:pos="175" w:val="left"/>
        </w:tabs>
        <w:numPr>
          <w:ilvl w:val="0"/>
          <w:numId w:val="23"/>
        </w:numPr>
        <w:rPr>
          <w:rFonts w:ascii="Arial" w:cs="Arial" w:eastAsia="Arial" w:hAnsi="Arial"/>
          <w:sz w:val="20"/>
          <w:szCs w:val="20"/>
          <w:color w:val="auto"/>
        </w:rPr>
      </w:pPr>
      <w:r>
        <w:rPr>
          <w:rFonts w:ascii="Arial" w:cs="Arial" w:eastAsia="Arial" w:hAnsi="Arial"/>
          <w:sz w:val="20"/>
          <w:szCs w:val="20"/>
          <w:color w:val="auto"/>
        </w:rPr>
        <w:t>Certain exhibits and schedules have been omitted pursuant to Regulation S-K Item 601(a)(5) and will be furnished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61" w:name="page62"/>
    <w:bookmarkEnd w:id="61"/>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G. Hostetler</w:t>
            </w:r>
          </w:p>
        </w:tc>
        <w:tc>
          <w:tcPr>
            <w:tcW w:w="1840" w:type="dxa"/>
            <w:vAlign w:val="bottom"/>
            <w:tcBorders>
              <w:bottom w:val="single" w:sz="8" w:color="auto"/>
            </w:tcBorders>
          </w:tcPr>
          <w:p>
            <w:pPr>
              <w:spacing w:after="0"/>
              <w:rPr>
                <w:sz w:val="22"/>
                <w:szCs w:val="22"/>
                <w:color w:val="auto"/>
              </w:rPr>
            </w:pP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August 7, 2025</w:t>
            </w:r>
          </w:p>
        </w:tc>
      </w:tr>
      <w:tr>
        <w:trPr>
          <w:trHeight w:val="244"/>
        </w:trPr>
        <w:tc>
          <w:tcPr>
            <w:tcW w:w="86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Kevin G. Hostetler</w:t>
            </w:r>
          </w:p>
        </w:tc>
        <w:tc>
          <w:tcPr>
            <w:tcW w:w="1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61"/>
        </w:trPr>
        <w:tc>
          <w:tcPr>
            <w:tcW w:w="86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18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866"/>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Keith Jennings</w:t>
            </w:r>
          </w:p>
        </w:tc>
        <w:tc>
          <w:tcPr>
            <w:tcW w:w="1840" w:type="dxa"/>
            <w:vAlign w:val="bottom"/>
            <w:tcBorders>
              <w:bottom w:val="single" w:sz="8" w:color="auto"/>
            </w:tcBorders>
          </w:tcPr>
          <w:p>
            <w:pPr>
              <w:spacing w:after="0"/>
              <w:rPr>
                <w:sz w:val="24"/>
                <w:szCs w:val="24"/>
                <w:color w:val="auto"/>
              </w:rPr>
            </w:pP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August 7, 2025</w:t>
            </w:r>
          </w:p>
        </w:tc>
      </w:tr>
      <w:tr>
        <w:trPr>
          <w:trHeight w:val="244"/>
        </w:trPr>
        <w:tc>
          <w:tcPr>
            <w:tcW w:w="86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H. Keith Jennings</w:t>
            </w:r>
          </w:p>
        </w:tc>
        <w:tc>
          <w:tcPr>
            <w:tcW w:w="1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61"/>
        </w:trPr>
        <w:tc>
          <w:tcPr>
            <w:tcW w:w="86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18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1067"/>
        </w:trPr>
        <w:tc>
          <w:tcPr>
            <w:tcW w:w="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40" w:type="dxa"/>
            <w:vAlign w:val="bottom"/>
          </w:tcPr>
          <w:p>
            <w:pPr>
              <w:jc w:val="right"/>
              <w:ind w:right="201"/>
              <w:spacing w:after="0"/>
              <w:rPr>
                <w:sz w:val="20"/>
                <w:szCs w:val="20"/>
                <w:color w:val="auto"/>
              </w:rPr>
            </w:pPr>
            <w:r>
              <w:rPr>
                <w:rFonts w:ascii="Arial" w:cs="Arial" w:eastAsia="Arial" w:hAnsi="Arial"/>
                <w:sz w:val="20"/>
                <w:szCs w:val="20"/>
                <w:color w:val="auto"/>
              </w:rPr>
              <w:t>57</w:t>
            </w:r>
          </w:p>
        </w:tc>
        <w:tc>
          <w:tcPr>
            <w:tcW w:w="206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1">
            <w:col w:w="11120"/>
          </w:cols>
          <w:pgMar w:left="320" w:top="1317" w:right="45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August 4,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Kurt Wood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 Amendment No. 1 to Transition and Separation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Mr. Wood:</w:t>
      </w:r>
    </w:p>
    <w:p>
      <w:pPr>
        <w:spacing w:after="0" w:line="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Amendment No. 1 (this “</w:t>
      </w:r>
      <w:r>
        <w:rPr>
          <w:rFonts w:ascii="Arial" w:cs="Arial" w:eastAsia="Arial" w:hAnsi="Arial"/>
          <w:sz w:val="20"/>
          <w:szCs w:val="20"/>
          <w:u w:val="single" w:color="auto"/>
          <w:color w:val="auto"/>
        </w:rPr>
        <w:t>Amendment</w:t>
      </w:r>
      <w:r>
        <w:rPr>
          <w:rFonts w:ascii="Arial" w:cs="Arial" w:eastAsia="Arial" w:hAnsi="Arial"/>
          <w:sz w:val="20"/>
          <w:szCs w:val="20"/>
          <w:color w:val="auto"/>
        </w:rPr>
        <w:t>”) amends the Transition and Separation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dated June 6, 2024, by and between you and Array Technologies, Inc. (together with its subsidiaries, the “</w:t>
      </w:r>
      <w:r>
        <w:rPr>
          <w:rFonts w:ascii="Arial" w:cs="Arial" w:eastAsia="Arial" w:hAnsi="Arial"/>
          <w:sz w:val="20"/>
          <w:szCs w:val="20"/>
          <w:u w:val="single" w:color="auto"/>
          <w:color w:val="auto"/>
        </w:rPr>
        <w:t>Company</w:t>
      </w:r>
      <w:r>
        <w:rPr>
          <w:rFonts w:ascii="Arial" w:cs="Arial" w:eastAsia="Arial" w:hAnsi="Arial"/>
          <w:sz w:val="20"/>
          <w:szCs w:val="20"/>
          <w:color w:val="auto"/>
        </w:rPr>
        <w:t>”). Capitalized terms used but not defined herein shall have the meanings given such terms in the Agreement.</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WHEREAS, the Agreement provides for, among other things, (i) the continued vesting of any unvested time-based restricted stock units of the Company (“</w:t>
      </w:r>
      <w:r>
        <w:rPr>
          <w:rFonts w:ascii="Arial" w:cs="Arial" w:eastAsia="Arial" w:hAnsi="Arial"/>
          <w:sz w:val="20"/>
          <w:szCs w:val="20"/>
          <w:u w:val="single" w:color="auto"/>
          <w:color w:val="auto"/>
        </w:rPr>
        <w:t>RSUs</w:t>
      </w:r>
      <w:r>
        <w:rPr>
          <w:rFonts w:ascii="Arial" w:cs="Arial" w:eastAsia="Arial" w:hAnsi="Arial"/>
          <w:sz w:val="20"/>
          <w:szCs w:val="20"/>
          <w:color w:val="auto"/>
          <w:highlight w:val="white"/>
        </w:rPr>
        <w:t>”) outstanding as of September 30, 2024 (the “Separation Date</w:t>
      </w:r>
      <w:r>
        <w:rPr>
          <w:rFonts w:ascii="Arial" w:cs="Arial" w:eastAsia="Arial" w:hAnsi="Arial"/>
          <w:sz w:val="20"/>
          <w:szCs w:val="20"/>
          <w:color w:val="auto"/>
        </w:rPr>
        <w:t>”),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-21590</wp:posOffset>
            </wp:positionV>
            <wp:extent cx="9163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916305" cy="8890"/>
                    </a:xfrm>
                    <a:prstGeom prst="rect">
                      <a:avLst/>
                    </a:prstGeom>
                    <a:noFill/>
                  </pic:spPr>
                </pic:pic>
              </a:graphicData>
            </a:graphic>
          </wp:anchor>
        </w:drawing>
      </w:r>
    </w:p>
    <w:p>
      <w:pPr>
        <w:jc w:val="both"/>
        <w:spacing w:after="0" w:line="242" w:lineRule="auto"/>
        <w:rPr>
          <w:sz w:val="20"/>
          <w:szCs w:val="20"/>
          <w:color w:val="auto"/>
        </w:rPr>
      </w:pPr>
      <w:r>
        <w:rPr>
          <w:rFonts w:ascii="Arial" w:cs="Arial" w:eastAsia="Arial" w:hAnsi="Arial"/>
          <w:sz w:val="20"/>
          <w:szCs w:val="20"/>
          <w:color w:val="auto"/>
        </w:rPr>
        <w:t>with Section 4.1(c)(i) of the Company’s Executive Severance and Change in Control Plan (as may be amended from time to time, the “</w:t>
      </w:r>
      <w:r>
        <w:rPr>
          <w:rFonts w:ascii="Arial" w:cs="Arial" w:eastAsia="Arial" w:hAnsi="Arial"/>
          <w:sz w:val="20"/>
          <w:szCs w:val="20"/>
          <w:u w:val="single" w:color="auto"/>
          <w:color w:val="auto"/>
        </w:rPr>
        <w:t>Severance Plan</w:t>
      </w:r>
      <w:r>
        <w:rPr>
          <w:rFonts w:ascii="Arial" w:cs="Arial" w:eastAsia="Arial" w:hAnsi="Arial"/>
          <w:sz w:val="20"/>
          <w:szCs w:val="20"/>
          <w:color w:val="auto"/>
        </w:rPr>
        <w:t>”), and (ii) the continued vesting of a pro-rated portion of your unvested performance-based restricted stock units of the Company (“</w:t>
      </w:r>
      <w:r>
        <w:rPr>
          <w:rFonts w:ascii="Arial" w:cs="Arial" w:eastAsia="Arial" w:hAnsi="Arial"/>
          <w:sz w:val="20"/>
          <w:szCs w:val="20"/>
          <w:u w:val="single" w:color="auto"/>
          <w:color w:val="auto"/>
        </w:rPr>
        <w:t>PSUs</w:t>
      </w:r>
      <w:r>
        <w:rPr>
          <w:rFonts w:ascii="Arial" w:cs="Arial" w:eastAsia="Arial" w:hAnsi="Arial"/>
          <w:sz w:val="20"/>
          <w:szCs w:val="20"/>
          <w:color w:val="auto"/>
          <w:highlight w:val="white"/>
        </w:rPr>
        <w:t>”) as of the Separation Date, based on actual performance pursuant to Section 4.1(c)(ii) of</w:t>
      </w:r>
      <w:r>
        <w:rPr>
          <w:rFonts w:ascii="Arial" w:cs="Arial" w:eastAsia="Arial" w:hAnsi="Arial"/>
          <w:sz w:val="20"/>
          <w:szCs w:val="20"/>
          <w:color w:val="auto"/>
        </w:rPr>
        <w:t xml:space="preserve"> the Severance Plan and with such pro-ration applied as if you had remained employed by the Company through September 30, 2025; and</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WHEREAS, following the amendment set forth herein, the Company has determined to exercise its discretion to provide for a one-time cash payment in exchange for the cancellation of your outstanding and unvested RSUs and PSUs as of the date hereof.</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BE IT RESOLVED, in consideration of the mutual promises contained herein, and for good and</w:t>
      </w:r>
    </w:p>
    <w:p>
      <w:pPr>
        <w:jc w:val="both"/>
        <w:ind w:right="20"/>
        <w:spacing w:after="0" w:line="225" w:lineRule="auto"/>
        <w:rPr>
          <w:sz w:val="20"/>
          <w:szCs w:val="20"/>
          <w:color w:val="auto"/>
        </w:rPr>
      </w:pPr>
      <w:r>
        <w:rPr>
          <w:rFonts w:ascii="Arial" w:cs="Arial" w:eastAsia="Arial" w:hAnsi="Arial"/>
          <w:sz w:val="20"/>
          <w:szCs w:val="20"/>
          <w:color w:val="auto"/>
        </w:rPr>
        <w:t>valuable consideration, the receipt and sufficiency of which are hereby acknowledged, the parties hereto hereby agree as follows:</w:t>
      </w:r>
    </w:p>
    <w:p>
      <w:pPr>
        <w:spacing w:after="0" w:line="158"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Section 3 of the Agreement shall be amended to provide for the following new subsection 3(c):</w:t>
      </w:r>
    </w:p>
    <w:p>
      <w:pPr>
        <w:spacing w:after="0" w:line="189" w:lineRule="exact"/>
        <w:rPr>
          <w:sz w:val="20"/>
          <w:szCs w:val="20"/>
          <w:color w:val="auto"/>
        </w:rPr>
      </w:pPr>
    </w:p>
    <w:p>
      <w:pPr>
        <w:jc w:val="both"/>
        <w:ind w:left="660"/>
        <w:spacing w:after="0" w:line="213" w:lineRule="auto"/>
        <w:rPr>
          <w:sz w:val="20"/>
          <w:szCs w:val="20"/>
          <w:color w:val="auto"/>
        </w:rPr>
      </w:pPr>
      <w:r>
        <w:rPr>
          <w:rFonts w:ascii="Arial" w:cs="Arial" w:eastAsia="Arial" w:hAnsi="Arial"/>
          <w:sz w:val="20"/>
          <w:szCs w:val="20"/>
          <w:color w:val="auto"/>
        </w:rPr>
        <w:t>“3(c) Notwithstanding anything to the contrary contained herein, the Company shall have the right, in its sole discretion, at any time following the Separation Date to pay you an amount in cash equal to $20,000, less applicable withholdings,</w:t>
      </w:r>
    </w:p>
    <w:p>
      <w:pPr>
        <w:ind w:left="660"/>
        <w:spacing w:after="0" w:line="212" w:lineRule="auto"/>
        <w:rPr>
          <w:sz w:val="20"/>
          <w:szCs w:val="20"/>
          <w:color w:val="auto"/>
        </w:rPr>
      </w:pPr>
      <w:r>
        <w:rPr>
          <w:rFonts w:ascii="Arial" w:cs="Arial" w:eastAsia="Arial" w:hAnsi="Arial"/>
          <w:sz w:val="20"/>
          <w:szCs w:val="20"/>
          <w:color w:val="auto"/>
        </w:rPr>
        <w:t>in exchange for the full cancellation of your then-outstanding and unvested Company time-based restricted stock units</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and performance-based restricted stock units (such payment, a “Company-Initiated Payment”). Any Company-Initiated Payment is intended to qualify as a limited cashout under Treasury Regulation 1.409A-3(j)(4)(v)(B) and shall be</w:t>
      </w:r>
    </w:p>
    <w:p>
      <w:pPr>
        <w:ind w:left="660"/>
        <w:spacing w:after="0" w:line="211" w:lineRule="auto"/>
        <w:rPr>
          <w:sz w:val="20"/>
          <w:szCs w:val="20"/>
          <w:color w:val="auto"/>
        </w:rPr>
      </w:pPr>
      <w:r>
        <w:rPr>
          <w:rFonts w:ascii="Arial" w:cs="Arial" w:eastAsia="Arial" w:hAnsi="Arial"/>
          <w:sz w:val="20"/>
          <w:szCs w:val="20"/>
          <w:color w:val="auto"/>
        </w:rPr>
        <w:t>construed in accordance with such intent; provided, that nothing herein shall be construed as a representation, promise</w:t>
      </w:r>
    </w:p>
    <w:p>
      <w:pPr>
        <w:spacing w:after="0" w:line="1"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or guarantee by the Company as to the tax treatment of any payment or benefit that may be paid or provided pursuant to this Agreement and in no event shall the Company have any liability relating to a failure of any payment or benefit under</w:t>
      </w:r>
    </w:p>
    <w:p>
      <w:pPr>
        <w:ind w:left="660" w:right="20"/>
        <w:spacing w:after="0" w:line="232" w:lineRule="auto"/>
        <w:rPr>
          <w:sz w:val="20"/>
          <w:szCs w:val="20"/>
          <w:color w:val="auto"/>
        </w:rPr>
      </w:pPr>
      <w:r>
        <w:rPr>
          <w:rFonts w:ascii="Arial" w:cs="Arial" w:eastAsia="Arial" w:hAnsi="Arial"/>
          <w:sz w:val="20"/>
          <w:szCs w:val="20"/>
          <w:color w:val="auto"/>
        </w:rPr>
        <w:t>this Agreement to comply with, or be exempt from, the requirements of Section 409A of the Internal Revenue Code of 1986, as amended.”</w:t>
      </w:r>
    </w:p>
    <w:p>
      <w:pPr>
        <w:spacing w:after="0" w:line="145" w:lineRule="exact"/>
        <w:rPr>
          <w:sz w:val="20"/>
          <w:szCs w:val="20"/>
          <w:color w:val="auto"/>
        </w:rPr>
      </w:pPr>
    </w:p>
    <w:p>
      <w:pPr>
        <w:jc w:val="both"/>
        <w:ind w:firstLine="656"/>
        <w:spacing w:after="0" w:line="231" w:lineRule="auto"/>
        <w:tabs>
          <w:tab w:leader="none" w:pos="1285"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Company hereby determines, pursuant to the Agreement as amended by this Amendment, to exercise its discretion to provide for a Company-Initiated Payment in the amount of $20,000, less applicable withholdings, in exchange for the full cancellation of your outstanding and unvested RSUs and PSUs as of the date of this Amendment.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77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Initiated Payment shall be paid within thirty (30) days following the date hereof. You acknowledge and agree that all of your unvested and outstanding RSUs and PSUs as of the date of this Amendment are hereby cancelled with immediate effect and</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you shall have no further rights with respect to such RSUs and PSUs, except for the right to receive the Company-Initiated Payment.</w:t>
      </w:r>
    </w:p>
    <w:p>
      <w:pPr>
        <w:spacing w:after="0" w:line="172" w:lineRule="exact"/>
        <w:rPr>
          <w:sz w:val="20"/>
          <w:szCs w:val="20"/>
          <w:color w:val="auto"/>
        </w:rPr>
      </w:pPr>
    </w:p>
    <w:p>
      <w:pPr>
        <w:ind w:firstLine="656"/>
        <w:spacing w:after="0" w:line="230" w:lineRule="auto"/>
        <w:tabs>
          <w:tab w:leader="none" w:pos="1296" w:val="left"/>
        </w:tabs>
        <w:numPr>
          <w:ilvl w:val="0"/>
          <w:numId w:val="26"/>
        </w:numPr>
        <w:rPr>
          <w:rFonts w:ascii="Times New Roman" w:cs="Times New Roman" w:eastAsia="Times New Roman" w:hAnsi="Times New Roman"/>
          <w:sz w:val="22"/>
          <w:szCs w:val="22"/>
          <w:color w:val="auto"/>
        </w:rPr>
      </w:pPr>
      <w:r>
        <w:rPr>
          <w:rFonts w:ascii="Arial" w:cs="Arial" w:eastAsia="Arial" w:hAnsi="Arial"/>
          <w:sz w:val="20"/>
          <w:szCs w:val="20"/>
          <w:color w:val="auto"/>
        </w:rPr>
        <w:t>All provisions of the Agreement, unless amended by this Amendment, shall remain unchanged and in full force and effect. All references to the Agreement shall be deemed to be references to the Agreement as amended hereby.</w:t>
      </w:r>
    </w:p>
    <w:p>
      <w:pPr>
        <w:spacing w:after="0" w:line="171"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6" w:val="left"/>
        </w:tabs>
        <w:numPr>
          <w:ilvl w:val="0"/>
          <w:numId w:val="26"/>
        </w:numPr>
        <w:rPr>
          <w:rFonts w:ascii="Times New Roman" w:cs="Times New Roman" w:eastAsia="Times New Roman" w:hAnsi="Times New Roman"/>
          <w:sz w:val="22"/>
          <w:szCs w:val="22"/>
          <w:color w:val="auto"/>
        </w:rPr>
      </w:pPr>
      <w:r>
        <w:rPr>
          <w:rFonts w:ascii="Arial" w:cs="Arial" w:eastAsia="Arial" w:hAnsi="Arial"/>
          <w:sz w:val="20"/>
          <w:szCs w:val="20"/>
          <w:color w:val="auto"/>
        </w:rPr>
        <w:t>The Agreement, as modified by this Amendment, constitutes the entire agreement between you and the Company and supersedes all prior and contemporaneous communications, agreements and understandings, whether written or oral, with respect to your employment, its termination and all related matters, excluding only the Severance Plan, the Continuing Obligations, and your obligations with respect to the securities of the Company, all of which shall remain in full force and effect in accordance with their terms.</w:t>
      </w:r>
    </w:p>
    <w:p>
      <w:pPr>
        <w:spacing w:after="0" w:line="15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26"/>
        </w:numPr>
        <w:rPr>
          <w:rFonts w:ascii="Times New Roman" w:cs="Times New Roman" w:eastAsia="Times New Roman" w:hAnsi="Times New Roman"/>
          <w:sz w:val="22"/>
          <w:szCs w:val="22"/>
          <w:color w:val="auto"/>
        </w:rPr>
      </w:pPr>
      <w:r>
        <w:rPr>
          <w:rFonts w:ascii="Arial" w:cs="Arial" w:eastAsia="Arial" w:hAnsi="Arial"/>
          <w:sz w:val="20"/>
          <w:szCs w:val="20"/>
          <w:color w:val="auto"/>
        </w:rPr>
        <w:t>The payments and benefits under this Amendment and the Agreement are intended to be exempt from, or comply with, the requirements of Section 409A of the Internal Revenue Code of 1986, as amended (“Section 409A”) and shall be interpreted in a manner consistent with that intention. Notwithstanding the foregoing, nothing herein shall be construed as a representation, promise or guarantee by the Company as to the tax treatment of any payment or benefit that may be paid or provided pursuant to this Amendment or the Agreement and in no event shall the Company have any liability relating to a failure of any payment or benefit under this Agreement to comply with, or be exempt from, the requirements of Section 409A.</w:t>
      </w:r>
    </w:p>
    <w:p>
      <w:pPr>
        <w:spacing w:after="0" w:line="174"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26"/>
        </w:numPr>
        <w:rPr>
          <w:rFonts w:ascii="Times New Roman" w:cs="Times New Roman" w:eastAsia="Times New Roman" w:hAnsi="Times New Roman"/>
          <w:sz w:val="22"/>
          <w:szCs w:val="22"/>
          <w:color w:val="auto"/>
        </w:rPr>
      </w:pPr>
      <w:r>
        <w:rPr>
          <w:rFonts w:ascii="Arial" w:cs="Arial" w:eastAsia="Arial" w:hAnsi="Arial"/>
          <w:sz w:val="20"/>
          <w:szCs w:val="20"/>
          <w:color w:val="auto"/>
        </w:rPr>
        <w:t>If any portion or provision of this Amendment shall to any extent be declared illegal or unenforceable by a court of competent jurisdiction, then the remainder of this Amendment, or the application of such portion or provision in circumstances other than those as to which it is so declared illegal or unenforceable, shall not be affected thereby, and each portion and provision of this Amendment shall be valid and enforceable to the fullest extent permitted by law.</w:t>
      </w:r>
    </w:p>
    <w:p>
      <w:pPr>
        <w:spacing w:after="0" w:line="173"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26"/>
        </w:numPr>
        <w:rPr>
          <w:rFonts w:ascii="Times New Roman" w:cs="Times New Roman" w:eastAsia="Times New Roman" w:hAnsi="Times New Roman"/>
          <w:sz w:val="22"/>
          <w:szCs w:val="22"/>
          <w:color w:val="auto"/>
        </w:rPr>
      </w:pPr>
      <w:r>
        <w:rPr>
          <w:rFonts w:ascii="Arial" w:cs="Arial" w:eastAsia="Arial" w:hAnsi="Arial"/>
          <w:sz w:val="20"/>
          <w:szCs w:val="20"/>
          <w:color w:val="auto"/>
        </w:rPr>
        <w:t>All issues and questions concerning the construction, validity and enforcement and interpretation of this Amendment shall be governed by, and construed in accordance with, the laws of the State of Arizona, without giving effect to any choice of law or conflict of law rules or provisions (whether of the State of Arizona or any other jurisdiction) that would cause the application of the laws of any jurisdiction other than the State of Arizona. Each party agrees to commence any action, suit or proceeding arising out of this Amendment or the transactions contemplated hereby in a United States District Court located in the State of Arizona and irrevocably and unconditionally waives any objection to the laying of venue of any action, suit or proceeding arising out of this Amendment or the transactions contemplated hereby in such court and any claim that any such proceeding brought in such court has been brought in an inconvenient forum. You and the Company (after having the opportunity to consult with counsel) hereby waive trial by jury as to any and all litigation arising out of and/or relating to this Amendment.</w:t>
      </w:r>
    </w:p>
    <w:p>
      <w:pPr>
        <w:spacing w:after="0" w:line="171"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6" w:val="left"/>
        </w:tabs>
        <w:numPr>
          <w:ilvl w:val="0"/>
          <w:numId w:val="26"/>
        </w:numPr>
        <w:rPr>
          <w:rFonts w:ascii="Times New Roman" w:cs="Times New Roman" w:eastAsia="Times New Roman" w:hAnsi="Times New Roman"/>
          <w:sz w:val="22"/>
          <w:szCs w:val="22"/>
          <w:color w:val="auto"/>
        </w:rPr>
      </w:pPr>
      <w:r>
        <w:rPr>
          <w:rFonts w:ascii="Arial" w:cs="Arial" w:eastAsia="Arial" w:hAnsi="Arial"/>
          <w:sz w:val="20"/>
          <w:szCs w:val="20"/>
          <w:color w:val="auto"/>
        </w:rPr>
        <w:t>This Amendment may be executed in any number of counterparts, any of which may be executed and transmitted by DocuSign, facsimile, electronic mail (including “pdf”), and any other means of electronic transmission complying with the U.S. federal 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77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Act of 2000, and each of which shall be deemed to be an original, but all of which together shall be deemed to be one and the same instrument.</w:t>
      </w:r>
    </w:p>
    <w:p>
      <w:pPr>
        <w:spacing w:after="0" w:line="173" w:lineRule="exact"/>
        <w:rPr>
          <w:sz w:val="20"/>
          <w:szCs w:val="20"/>
          <w:color w:val="auto"/>
        </w:rPr>
      </w:pPr>
    </w:p>
    <w:p>
      <w:pPr>
        <w:jc w:val="center"/>
        <w:ind w:right="-19"/>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20"/>
          <w:szCs w:val="20"/>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77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Sincerely,</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ARRAY TECHNOLOGIES INC.</w:t>
      </w:r>
    </w:p>
    <w:p>
      <w:pPr>
        <w:spacing w:after="0" w:line="324" w:lineRule="exact"/>
        <w:rPr>
          <w:sz w:val="20"/>
          <w:szCs w:val="20"/>
          <w:color w:val="auto"/>
        </w:rPr>
      </w:pPr>
    </w:p>
    <w:tbl>
      <w:tblPr>
        <w:tblLayout w:type="fixed"/>
        <w:tblInd w:w="5060" w:type="dxa"/>
        <w:tblCellMar>
          <w:top w:w="0" w:type="dxa"/>
          <w:left w:w="0" w:type="dxa"/>
          <w:bottom w:w="0" w:type="dxa"/>
          <w:right w:w="0" w:type="dxa"/>
        </w:tblCellMar>
      </w:tblPr>
      <w:tr>
        <w:trPr>
          <w:trHeight w:val="276"/>
        </w:trPr>
        <w:tc>
          <w:tcPr>
            <w:tcW w:w="1000" w:type="dxa"/>
            <w:vAlign w:val="bottom"/>
          </w:tcPr>
          <w:p>
            <w:pPr>
              <w:spacing w:after="0"/>
              <w:rPr>
                <w:sz w:val="20"/>
                <w:szCs w:val="20"/>
                <w:color w:val="auto"/>
              </w:rPr>
            </w:pPr>
            <w:r>
              <w:rPr>
                <w:rFonts w:ascii="Arial" w:cs="Arial" w:eastAsia="Arial" w:hAnsi="Arial"/>
                <w:sz w:val="20"/>
                <w:szCs w:val="20"/>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Terrance L. Collins</w:t>
            </w:r>
          </w:p>
        </w:tc>
      </w:tr>
      <w:tr>
        <w:trPr>
          <w:trHeight w:val="244"/>
        </w:trPr>
        <w:tc>
          <w:tcPr>
            <w:tcW w:w="100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Name: Terrance Collins</w:t>
            </w:r>
          </w:p>
        </w:tc>
      </w:tr>
      <w:tr>
        <w:trPr>
          <w:trHeight w:val="261"/>
        </w:trPr>
        <w:tc>
          <w:tcPr>
            <w:tcW w:w="100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Title: Chief Human Resources Officer</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000" w:type="dxa"/>
            <w:vAlign w:val="bottom"/>
          </w:tcPr>
          <w:p>
            <w:pPr>
              <w:spacing w:after="0"/>
              <w:rPr>
                <w:sz w:val="20"/>
                <w:szCs w:val="20"/>
                <w:color w:val="auto"/>
              </w:rPr>
            </w:pPr>
            <w:r>
              <w:rPr>
                <w:rFonts w:ascii="Arial" w:cs="Arial" w:eastAsia="Arial" w:hAnsi="Arial"/>
                <w:sz w:val="20"/>
                <w:szCs w:val="20"/>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Kurt Wood</w:t>
            </w:r>
          </w:p>
        </w:tc>
      </w:tr>
      <w:tr>
        <w:trPr>
          <w:trHeight w:val="256"/>
        </w:trPr>
        <w:tc>
          <w:tcPr>
            <w:tcW w:w="1000" w:type="dxa"/>
            <w:vAlign w:val="bottom"/>
          </w:tcPr>
          <w:p>
            <w:pPr>
              <w:spacing w:after="0"/>
              <w:rPr>
                <w:sz w:val="22"/>
                <w:szCs w:val="22"/>
                <w:color w:val="auto"/>
              </w:rPr>
            </w:pPr>
          </w:p>
        </w:tc>
        <w:tc>
          <w:tcPr>
            <w:tcW w:w="4960" w:type="dxa"/>
            <w:vAlign w:val="bottom"/>
          </w:tcPr>
          <w:p>
            <w:pPr>
              <w:ind w:left="20"/>
              <w:spacing w:after="0"/>
              <w:rPr>
                <w:sz w:val="20"/>
                <w:szCs w:val="20"/>
                <w:color w:val="auto"/>
              </w:rPr>
            </w:pPr>
            <w:r>
              <w:rPr>
                <w:rFonts w:ascii="Arial" w:cs="Arial" w:eastAsia="Arial" w:hAnsi="Arial"/>
                <w:sz w:val="20"/>
                <w:szCs w:val="20"/>
                <w:color w:val="auto"/>
              </w:rPr>
              <w:t>Name: Kurt Wood</w:t>
            </w:r>
          </w:p>
        </w:tc>
      </w:tr>
      <w:tr>
        <w:trPr>
          <w:trHeight w:val="518"/>
        </w:trPr>
        <w:tc>
          <w:tcPr>
            <w:tcW w:w="1000" w:type="dxa"/>
            <w:vAlign w:val="bottom"/>
          </w:tcPr>
          <w:p>
            <w:pPr>
              <w:spacing w:after="0"/>
              <w:rPr>
                <w:sz w:val="20"/>
                <w:szCs w:val="20"/>
                <w:color w:val="auto"/>
              </w:rPr>
            </w:pPr>
            <w:r>
              <w:rPr>
                <w:rFonts w:ascii="Arial" w:cs="Arial" w:eastAsia="Arial" w:hAnsi="Arial"/>
                <w:sz w:val="20"/>
                <w:szCs w:val="20"/>
                <w:color w:val="auto"/>
              </w:rPr>
              <w:t>Date:</w:t>
            </w:r>
          </w:p>
        </w:tc>
        <w:tc>
          <w:tcPr>
            <w:tcW w:w="4960" w:type="dxa"/>
            <w:vAlign w:val="bottom"/>
          </w:tcPr>
          <w:p>
            <w:pPr>
              <w:ind w:left="20"/>
              <w:spacing w:after="0"/>
              <w:rPr>
                <w:sz w:val="20"/>
                <w:szCs w:val="20"/>
                <w:color w:val="auto"/>
              </w:rPr>
            </w:pPr>
            <w:r>
              <w:rPr>
                <w:rFonts w:ascii="Arial" w:cs="Arial" w:eastAsia="Arial" w:hAnsi="Arial"/>
                <w:sz w:val="20"/>
                <w:szCs w:val="20"/>
                <w:color w:val="auto"/>
              </w:rPr>
              <w:t>Aug. 4,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20"/>
          <w:szCs w:val="20"/>
          <w:i w:val="1"/>
          <w:iCs w:val="1"/>
          <w:color w:val="auto"/>
        </w:rPr>
        <w:t>[Signature Page to Amendment No. 1 to Transition and Separation Agreement]</w:t>
      </w:r>
    </w:p>
    <w:p>
      <w:pPr>
        <w:sectPr>
          <w:pgSz w:w="11900" w:h="16838" w:orient="portrait"/>
          <w:cols w:equalWidth="0" w:num="1">
            <w:col w:w="11060"/>
          </w:cols>
          <w:pgMar w:left="500" w:top="77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66"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42" w:lineRule="exact"/>
        <w:rPr>
          <w:rFonts w:ascii="Arial" w:cs="Arial" w:eastAsia="Arial" w:hAnsi="Arial"/>
          <w:sz w:val="20"/>
          <w:szCs w:val="20"/>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2025</w:t>
      </w:r>
    </w:p>
    <w:p>
      <w:pPr>
        <w:sectPr>
          <w:pgSz w:w="11900" w:h="16838" w:orient="portrait"/>
          <w:cols w:equalWidth="0" w:num="1">
            <w:col w:w="11240"/>
          </w:cols>
          <w:pgMar w:left="320" w:top="769" w:right="339" w:bottom="1440" w:gutter="0" w:footer="0" w:header="0"/>
        </w:sectPr>
      </w:pPr>
    </w:p>
    <w:bookmarkStart w:id="67" w:name="page68"/>
    <w:bookmarkEnd w:id="67"/>
    <w:p>
      <w:pPr>
        <w:ind w:left="994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252"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Array Technologies, Inc.;</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2025</w:t>
      </w:r>
    </w:p>
    <w:p>
      <w:pPr>
        <w:sectPr>
          <w:pgSz w:w="11900" w:h="16838" w:orient="portrait"/>
          <w:cols w:equalWidth="0" w:num="1">
            <w:col w:w="11240"/>
          </w:cols>
          <w:pgMar w:left="320" w:top="76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connection with this Quarterly Report of Array Technologies, Inc. (the </w:t>
      </w:r>
      <w:r>
        <w:rPr>
          <w:rFonts w:ascii="Times New Roman" w:cs="Times New Roman" w:eastAsia="Times New Roman" w:hAnsi="Times New Roman"/>
          <w:sz w:val="21"/>
          <w:szCs w:val="21"/>
          <w:color w:val="auto"/>
        </w:rPr>
        <w:t>“</w:t>
      </w:r>
      <w:r>
        <w:rPr>
          <w:rFonts w:ascii="Arial" w:cs="Arial" w:eastAsia="Arial" w:hAnsi="Arial"/>
          <w:sz w:val="18"/>
          <w:szCs w:val="18"/>
          <w:color w:val="auto"/>
        </w:rPr>
        <w:t>Company</w:t>
      </w:r>
      <w:r>
        <w:rPr>
          <w:rFonts w:ascii="Times New Roman" w:cs="Times New Roman" w:eastAsia="Times New Roman" w:hAnsi="Times New Roman"/>
          <w:sz w:val="21"/>
          <w:szCs w:val="21"/>
          <w:color w:val="auto"/>
        </w:rPr>
        <w:t>”</w:t>
      </w:r>
      <w:r>
        <w:rPr>
          <w:rFonts w:ascii="Arial" w:cs="Arial" w:eastAsia="Arial" w:hAnsi="Arial"/>
          <w:sz w:val="18"/>
          <w:szCs w:val="18"/>
          <w:color w:val="auto"/>
        </w:rPr>
        <w:t>) filed on Form 10-Q for the quarter ended June 30,</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2025, as filed with the Securities and Exchange Commission on the date hereof (the </w:t>
      </w:r>
      <w:r>
        <w:rPr>
          <w:rFonts w:ascii="Times New Roman" w:cs="Times New Roman" w:eastAsia="Times New Roman" w:hAnsi="Times New Roman"/>
          <w:sz w:val="21"/>
          <w:szCs w:val="21"/>
          <w:color w:val="auto"/>
        </w:rPr>
        <w:t>“</w:t>
      </w:r>
      <w:r>
        <w:rPr>
          <w:rFonts w:ascii="Arial" w:cs="Arial" w:eastAsia="Arial" w:hAnsi="Arial"/>
          <w:sz w:val="18"/>
          <w:szCs w:val="18"/>
          <w:color w:val="auto"/>
        </w:rPr>
        <w:t>Report</w:t>
      </w:r>
      <w:r>
        <w:rPr>
          <w:rFonts w:ascii="Times New Roman" w:cs="Times New Roman" w:eastAsia="Times New Roman" w:hAnsi="Times New Roman"/>
          <w:sz w:val="21"/>
          <w:szCs w:val="21"/>
          <w:color w:val="auto"/>
        </w:rPr>
        <w:t>”</w:t>
      </w:r>
      <w:r>
        <w:rPr>
          <w:rFonts w:ascii="Arial" w:cs="Arial" w:eastAsia="Arial" w:hAnsi="Arial"/>
          <w:sz w:val="18"/>
          <w:szCs w:val="18"/>
          <w:color w:val="auto"/>
        </w:rPr>
        <w:t>), I, Kevin G. Hostetler, Chief Executive Officer of the Company, certify, pursuant to 18 U.S.C. Section 1350, as adopted pursuant to Section 906 of the Sarbanes-Oxley Act of 2002, that to my knowledge:</w:t>
      </w:r>
    </w:p>
    <w:p>
      <w:pPr>
        <w:spacing w:after="0" w:line="211"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80" w:hanging="328"/>
        <w:spacing w:after="0" w:line="287" w:lineRule="auto"/>
        <w:tabs>
          <w:tab w:leader="none" w:pos="6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2025</w:t>
      </w:r>
    </w:p>
    <w:p>
      <w:pPr>
        <w:sectPr>
          <w:pgSz w:w="11900" w:h="16838" w:orient="portrait"/>
          <w:cols w:equalWidth="0" w:num="1">
            <w:col w:w="11240"/>
          </w:cols>
          <w:pgMar w:left="320" w:top="76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connection with this Quarterly Report of Array Technologies, Inc. (the </w:t>
      </w:r>
      <w:r>
        <w:rPr>
          <w:rFonts w:ascii="Times New Roman" w:cs="Times New Roman" w:eastAsia="Times New Roman" w:hAnsi="Times New Roman"/>
          <w:sz w:val="21"/>
          <w:szCs w:val="21"/>
          <w:color w:val="auto"/>
        </w:rPr>
        <w:t>“</w:t>
      </w:r>
      <w:r>
        <w:rPr>
          <w:rFonts w:ascii="Arial" w:cs="Arial" w:eastAsia="Arial" w:hAnsi="Arial"/>
          <w:sz w:val="18"/>
          <w:szCs w:val="18"/>
          <w:color w:val="auto"/>
        </w:rPr>
        <w:t>Company</w:t>
      </w:r>
      <w:r>
        <w:rPr>
          <w:rFonts w:ascii="Times New Roman" w:cs="Times New Roman" w:eastAsia="Times New Roman" w:hAnsi="Times New Roman"/>
          <w:sz w:val="21"/>
          <w:szCs w:val="21"/>
          <w:color w:val="auto"/>
        </w:rPr>
        <w:t>”</w:t>
      </w:r>
      <w:r>
        <w:rPr>
          <w:rFonts w:ascii="Arial" w:cs="Arial" w:eastAsia="Arial" w:hAnsi="Arial"/>
          <w:sz w:val="18"/>
          <w:szCs w:val="18"/>
          <w:color w:val="auto"/>
        </w:rPr>
        <w:t>) filed on Form 10-Q for the quarter ended June 30,</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2025, as filed with the Securities and Exchange Commission on the date hereof (the </w:t>
      </w:r>
      <w:r>
        <w:rPr>
          <w:rFonts w:ascii="Times New Roman" w:cs="Times New Roman" w:eastAsia="Times New Roman" w:hAnsi="Times New Roman"/>
          <w:sz w:val="21"/>
          <w:szCs w:val="21"/>
          <w:color w:val="auto"/>
        </w:rPr>
        <w:t>“</w:t>
      </w:r>
      <w:r>
        <w:rPr>
          <w:rFonts w:ascii="Arial" w:cs="Arial" w:eastAsia="Arial" w:hAnsi="Arial"/>
          <w:sz w:val="18"/>
          <w:szCs w:val="18"/>
          <w:color w:val="auto"/>
        </w:rPr>
        <w:t>Report</w:t>
      </w:r>
      <w:r>
        <w:rPr>
          <w:rFonts w:ascii="Times New Roman" w:cs="Times New Roman" w:eastAsia="Times New Roman" w:hAnsi="Times New Roman"/>
          <w:sz w:val="21"/>
          <w:szCs w:val="21"/>
          <w:color w:val="auto"/>
        </w:rPr>
        <w:t>”</w:t>
      </w:r>
      <w:r>
        <w:rPr>
          <w:rFonts w:ascii="Arial" w:cs="Arial" w:eastAsia="Arial" w:hAnsi="Arial"/>
          <w:sz w:val="18"/>
          <w:szCs w:val="18"/>
          <w:color w:val="auto"/>
        </w:rPr>
        <w:t>), I, H. Keith Jennings, Chief Financial Officer of the Company, certify, pursuant to 18 U.S.C. Section 1350, as adopted pursuant to Section 906 of the Sarbanes-Oxley Act of 2002, that to my knowledge:</w:t>
      </w:r>
    </w:p>
    <w:p>
      <w:pPr>
        <w:spacing w:after="0" w:line="211"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2025</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1."/>
      <w:numFmt w:val="decimal"/>
      <w:start w:val="7"/>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9"/>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1."/>
      <w:numFmt w:val="decimal"/>
      <w:start w:val="14"/>
    </w:lvl>
  </w:abstractNum>
  <w:abstractNum w:abstractNumId="18">
    <w:nsid w:val="8EDBDAB"/>
    <w:multiLevelType w:val="hybridMultilevel"/>
    <w:lvl w:ilvl="0">
      <w:lvlJc w:val="left"/>
      <w:lvlText w:val="%1."/>
      <w:numFmt w:val="decimal"/>
      <w:start w:val="15"/>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lvl w:ilvl="1">
      <w:lvlJc w:val="left"/>
      <w:lvlText w:val="%2"/>
      <w:numFmt w:val="decimal"/>
      <w:start w:val="104"/>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2"/>
    </w:lvl>
  </w:abstractNum>
  <w:abstractNum w:abstractNumId="25">
    <w:nsid w:val="2CA88611"/>
    <w:multiLevelType w:val="hybridMultilevel"/>
    <w:lvl w:ilvl="0">
      <w:lvlJc w:val="left"/>
      <w:lvlText w:val="%1."/>
      <w:numFmt w:val="decimal"/>
      <w:start w:val="3"/>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3"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jpeg"/><Relationship Id="rId90" Type="http://schemas.openxmlformats.org/officeDocument/2006/relationships/image" Target="media/image75.png"/><Relationship Id="rId91" Type="http://schemas.openxmlformats.org/officeDocument/2006/relationships/image" Target="media/image76.jpeg"/><Relationship Id="rId92" Type="http://schemas.openxmlformats.org/officeDocument/2006/relationships/image" Target="media/image77.jpeg"/><Relationship Id="rId93" Type="http://schemas.openxmlformats.org/officeDocument/2006/relationships/image" Target="media/image78.jpe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74" Type="http://schemas.openxmlformats.org/officeDocument/2006/relationships/hyperlink" Target="https://www.sec.gov/ix?doc=/Archives/edgar/data/0001820721/000182072125000023/arry-20241231.htm" TargetMode="External"/><Relationship Id="rId80" Type="http://schemas.openxmlformats.org/officeDocument/2006/relationships/hyperlink" Target="https://www.sec.gov/Archives/edgar/data/1820721/000119312525142342/d931026dex21.htm" TargetMode="External"/><Relationship Id="rId81" Type="http://schemas.openxmlformats.org/officeDocument/2006/relationships/hyperlink" Target="https://www.sec.gov/Archives/edgar/data/1820721/000119312520272092/d50569dex31.htm" TargetMode="External"/><Relationship Id="rId82" Type="http://schemas.openxmlformats.org/officeDocument/2006/relationships/hyperlink" Target="https://www.sec.gov/Archives/edgar/data/1820721/000119312520272092/d50569dex32.htm" TargetMode="External"/><Relationship Id="rId84" Type="http://schemas.openxmlformats.org/officeDocument/2006/relationships/hyperlink" Target="https://www.sec.gov/Archives/edgar/data/0001820721/000182072121000057/helios-certificateofdesign.htm" TargetMode="External"/><Relationship Id="rId85" Type="http://schemas.openxmlformats.org/officeDocument/2006/relationships/hyperlink" Target="https://www.sec.gov/Archives/edgar/data/1820721/000119312525151274/d126552dex41.htm" TargetMode="External"/><Relationship Id="rId86" Type="http://schemas.openxmlformats.org/officeDocument/2006/relationships/hyperlink" Target="https://www.sec.gov/Archives/edgar/data/1820721/000119312525151274/d126552dex101.htm" TargetMode="External"/><Relationship Id="rId87" Type="http://schemas.openxmlformats.org/officeDocument/2006/relationships/hyperlink" Target="https://www.sec.gov/Archives/edgar/data/1820721/000182072125000060/exhibit1022025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2025-08-07T16:34:31Z</dcterms:created>
  <dcterms:modified xsi:type="dcterms:W3CDTF">2025-08-07T16:34:31Z</dcterms:modified>
</cp:coreProperties>
</file>