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Array Technologies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Vanguard Capital Management</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4</w:t>
            </w:r>
          </w:p>
        </w:tc>
        <w:tc>
          <w:tcPr>
            <w:tcW w:w="318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Citizenship or Place of Organization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318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PENNSYLVANIA</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31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71"/>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3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31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5</w:t>
            </w:r>
          </w:p>
        </w:tc>
        <w:tc>
          <w:tcPr>
            <w:tcW w:w="0" w:type="dxa"/>
            <w:vAlign w:val="bottom"/>
          </w:tcPr>
          <w:p>
            <w:pPr>
              <w:spacing w:after="0"/>
              <w:rPr>
                <w:sz w:val="1"/>
                <w:szCs w:val="1"/>
                <w:color w:val="auto"/>
              </w:rPr>
            </w:pPr>
          </w:p>
        </w:tc>
      </w:tr>
      <w:tr>
        <w:trPr>
          <w:trHeight w:val="309"/>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Beneficially</w:t>
            </w:r>
          </w:p>
        </w:tc>
        <w:tc>
          <w:tcPr>
            <w:tcW w:w="3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1,132,093.00</w:t>
            </w:r>
          </w:p>
        </w:tc>
        <w:tc>
          <w:tcPr>
            <w:tcW w:w="0" w:type="dxa"/>
            <w:vAlign w:val="bottom"/>
          </w:tcPr>
          <w:p>
            <w:pPr>
              <w:spacing w:after="0"/>
              <w:rPr>
                <w:sz w:val="1"/>
                <w:szCs w:val="1"/>
                <w:color w:val="auto"/>
              </w:rPr>
            </w:pPr>
          </w:p>
        </w:tc>
      </w:tr>
    </w:tbl>
    <w:p>
      <w:pPr>
        <w:sectPr>
          <w:pgSz w:w="11900" w:h="16838" w:orient="portrait"/>
          <w:cols w:equalWidth="0" w:num="1">
            <w:col w:w="10099"/>
          </w:cols>
          <w:pgMar w:left="360" w:top="866" w:right="1440" w:bottom="0" w:gutter="0" w:footer="0" w:header="0"/>
        </w:sectPr>
      </w:pPr>
    </w:p>
    <w:bookmarkStart w:id="1" w:name="page2"/>
    <w:bookmarkEnd w:id="1"/>
    <w:p>
      <w:pPr>
        <w:spacing w:after="0" w:line="1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30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300" w:type="dxa"/>
            <w:vAlign w:val="bottom"/>
          </w:tcPr>
          <w:p>
            <w:pPr>
              <w:spacing w:after="0"/>
              <w:rPr>
                <w:sz w:val="21"/>
                <w:szCs w:val="21"/>
                <w:color w:val="auto"/>
              </w:rPr>
            </w:pPr>
          </w:p>
        </w:tc>
        <w:tc>
          <w:tcPr>
            <w:tcW w:w="20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70"/>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Person</w:t>
            </w:r>
          </w:p>
        </w:tc>
        <w:tc>
          <w:tcPr>
            <w:tcW w:w="300" w:type="dxa"/>
            <w:vAlign w:val="bottom"/>
          </w:tcPr>
          <w:p>
            <w:pPr>
              <w:spacing w:after="0"/>
              <w:rPr>
                <w:sz w:val="23"/>
                <w:szCs w:val="23"/>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309"/>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7,810,158.00</w:t>
            </w:r>
          </w:p>
        </w:tc>
        <w:tc>
          <w:tcPr>
            <w:tcW w:w="0" w:type="dxa"/>
            <w:vAlign w:val="bottom"/>
          </w:tcPr>
          <w:p>
            <w:pPr>
              <w:spacing w:after="0"/>
              <w:rPr>
                <w:sz w:val="1"/>
                <w:szCs w:val="1"/>
                <w:color w:val="auto"/>
              </w:rPr>
            </w:pPr>
          </w:p>
        </w:tc>
      </w:tr>
      <w:tr>
        <w:trPr>
          <w:trHeight w:val="243"/>
        </w:trPr>
        <w:tc>
          <w:tcPr>
            <w:tcW w:w="10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10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404"/>
        </w:trPr>
        <w:tc>
          <w:tcPr>
            <w:tcW w:w="104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1160"/>
        <w:spacing w:after="0"/>
        <w:rPr>
          <w:sz w:val="20"/>
          <w:szCs w:val="20"/>
          <w:color w:val="auto"/>
        </w:rPr>
      </w:pPr>
      <w:r>
        <w:rPr>
          <w:rFonts w:ascii="Times New Roman" w:cs="Times New Roman" w:eastAsia="Times New Roman" w:hAnsi="Times New Roman"/>
          <w:sz w:val="22"/>
          <w:szCs w:val="22"/>
          <w:color w:val="auto"/>
        </w:rPr>
        <w:t>7,810,158.00</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box if the aggregate amount in row (9) excludes certain shares (See Instructions)</w:t>
      </w: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ind w:left="1160"/>
        <w:spacing w:after="0"/>
        <w:rPr>
          <w:sz w:val="20"/>
          <w:szCs w:val="20"/>
          <w:color w:val="auto"/>
        </w:rPr>
      </w:pPr>
      <w:r>
        <w:rPr>
          <w:rFonts w:ascii="Times New Roman" w:cs="Times New Roman" w:eastAsia="Times New Roman" w:hAnsi="Times New Roman"/>
          <w:sz w:val="22"/>
          <w:szCs w:val="22"/>
          <w:color w:val="auto"/>
        </w:rPr>
        <w:t>5.10 %</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ind w:left="1160"/>
        <w:spacing w:after="0"/>
        <w:rPr>
          <w:sz w:val="20"/>
          <w:szCs w:val="20"/>
          <w:color w:val="auto"/>
        </w:rPr>
      </w:pPr>
      <w:r>
        <w:rPr>
          <w:rFonts w:ascii="Times New Roman" w:cs="Times New Roman" w:eastAsia="Times New Roman" w:hAnsi="Times New Roman"/>
          <w:sz w:val="22"/>
          <w:szCs w:val="22"/>
          <w:color w:val="auto"/>
        </w:rPr>
        <w:t>IA</w:t>
      </w:r>
    </w:p>
    <w:p>
      <w:pPr>
        <w:spacing w:after="0" w:line="246" w:lineRule="exact"/>
        <w:rPr>
          <w:sz w:val="20"/>
          <w:szCs w:val="20"/>
          <w:color w:val="auto"/>
        </w:rPr>
      </w:pPr>
    </w:p>
    <w:p>
      <w:pPr>
        <w:spacing w:after="0" w:line="234"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In accordance with SEC Release No. 34-39538 (January 12, 1998), this Schedule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13G reflects the securities beneficially owned, or deemed to be beneficially owned, by Vanguard Capital Management LLC and the following affiliates of Vanguard Capital Management LLC or business divisions of such affiliates: Vanguard Asset Management Limited, Vanguard Fiduciary Trust Company, Vanguard Global Advisers, LLC and Vanguard Investments Australia Ltd. This Schedule 13G includes securities held by Vanguard funds, or sleeves thereof, over which Vanguard Capital Management LLC exercises dispositive power, in addition to securities held by clients over which the affiliates or business divisions of such affiliates indicated above exercise dispositive and/or voting power. This Schedule 13G does not include securities, if any, beneficially owned by other subsidiaries or affiliates of Vanguard Capital Management LLC, or business divisions of such subsidiaries, whose ownership of securities is disaggregated from that of the reporting business unit in accordance with such release.</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ectPr>
          <w:pgSz w:w="11900" w:h="16854" w:orient="portrait"/>
          <w:cols w:equalWidth="0" w:num="1">
            <w:col w:w="11180"/>
          </w:cols>
          <w:pgMar w:left="320" w:top="102" w:right="399" w:bottom="0" w:gutter="0" w:footer="0" w:header="0"/>
        </w:sectPr>
      </w:pP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2.</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Array Technologies Inc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3901 Midway Place Northeast, Albuquerque, NM, 87109</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Vanguard Capital Management</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100 Vanguard Blvd,, Malvern, PA, 19355</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PA</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right="3640"/>
        <w:spacing w:after="0" w:line="322" w:lineRule="auto"/>
        <w:rPr>
          <w:sz w:val="20"/>
          <w:szCs w:val="20"/>
          <w:color w:val="auto"/>
        </w:rPr>
      </w:pPr>
      <w:r>
        <w:rPr>
          <w:rFonts w:ascii="Times New Roman" w:cs="Times New Roman" w:eastAsia="Times New Roman" w:hAnsi="Times New Roman"/>
          <w:sz w:val="22"/>
          <w:szCs w:val="22"/>
          <w:color w:val="auto"/>
        </w:rPr>
        <w:t>Broker or dealer registered under section 15 of the Act (15 U.S.C. 78o); 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-421640</wp:posOffset>
            </wp:positionV>
            <wp:extent cx="128905" cy="12827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27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-224155</wp:posOffset>
            </wp:positionV>
            <wp:extent cx="128905" cy="12827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54" w:orient="portrait"/>
          <w:cols w:equalWidth="0" w:num="2">
            <w:col w:w="660" w:space="300"/>
            <w:col w:w="10220"/>
          </w:cols>
          <w:pgMar w:left="320" w:top="102" w:right="399" w:bottom="0" w:gutter="0" w:footer="0" w:header="0"/>
          <w:type w:val="continuous"/>
        </w:sectPr>
      </w:pPr>
    </w:p>
    <w:bookmarkStart w:id="2" w:name="page3"/>
    <w:bookmarkEnd w:id="2"/>
    <w:p>
      <w:pPr>
        <w:spacing w:after="0" w:line="10" w:lineRule="exact"/>
        <w:rPr>
          <w:sz w:val="20"/>
          <w:szCs w:val="20"/>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680" w:hanging="912"/>
        <w:spacing w:after="0" w:line="185" w:lineRule="auto"/>
        <w:tabs>
          <w:tab w:leader="none" w:pos="920" w:val="left"/>
        </w:tabs>
        <w:numPr>
          <w:ilvl w:val="0"/>
          <w:numId w:val="3"/>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7810158</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5.1 %</w:t>
      </w:r>
    </w:p>
    <w:p>
      <w:pPr>
        <w:spacing w:after="0" w:line="20"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49" w:orient="portrait"/>
          <w:cols w:equalWidth="0" w:num="1">
            <w:col w:w="11140"/>
          </w:cols>
          <w:pgMar w:left="360" w:top="126"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right="6520" w:firstLine="6"/>
        <w:spacing w:after="0" w:line="486" w:lineRule="auto"/>
        <w:tabs>
          <w:tab w:leader="none" w:pos="25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1132093</w:t>
      </w:r>
    </w:p>
    <w:p>
      <w:pPr>
        <w:spacing w:after="0" w:line="1"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7810158</w:t>
      </w:r>
    </w:p>
    <w:p>
      <w:pPr>
        <w:spacing w:after="0" w:line="1"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jc w:val="both"/>
        <w:ind w:right="300"/>
        <w:spacing w:after="0" w:line="239" w:lineRule="auto"/>
        <w:rPr>
          <w:sz w:val="20"/>
          <w:szCs w:val="20"/>
          <w:color w:val="auto"/>
        </w:rPr>
      </w:pPr>
      <w:r>
        <w:rPr>
          <w:rFonts w:ascii="Times New Roman" w:cs="Times New Roman" w:eastAsia="Times New Roman" w:hAnsi="Times New Roman"/>
          <w:sz w:val="22"/>
          <w:szCs w:val="22"/>
          <w:color w:val="auto"/>
        </w:rPr>
        <w:t>Vanguard Capital Management, including investment companies registered under the Investment Company Act of 1940 and other managed accounts, have the right to receive or the power to direct the receipt of dividends from, or the proceeds from the sale of, the securities reported herein.No one other person's interest in the securities reported herein is more than 5%.</w:t>
      </w:r>
    </w:p>
    <w:p>
      <w:pPr>
        <w:spacing w:after="0" w:line="18"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ectPr>
          <w:pgSz w:w="11900" w:h="16849" w:orient="portrait"/>
          <w:cols w:equalWidth="0" w:num="2">
            <w:col w:w="620" w:space="300"/>
            <w:col w:w="10220"/>
          </w:cols>
          <w:pgMar w:left="360" w:top="126" w:right="399" w:bottom="0" w:gutter="0" w:footer="0" w:header="0"/>
          <w:type w:val="continuous"/>
        </w:sect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1"/>
          <w:szCs w:val="21"/>
          <w:color w:val="auto"/>
        </w:rPr>
        <w:t>By signing below I certify that, to the best of my knowledge and belief, the securities referred to above were acquired</w:t>
      </w:r>
    </w:p>
    <w:p>
      <w:pPr>
        <w:sectPr>
          <w:pgSz w:w="11900" w:h="16849" w:orient="portrait"/>
          <w:cols w:equalWidth="0" w:num="1">
            <w:col w:w="11140"/>
          </w:cols>
          <w:pgMar w:left="360" w:top="126" w:right="399" w:bottom="0" w:gutter="0" w:footer="0" w:header="0"/>
          <w:type w:val="continuous"/>
        </w:sectPr>
      </w:pPr>
    </w:p>
    <w:bookmarkStart w:id="3" w:name="page4"/>
    <w:bookmarkEnd w:id="3"/>
    <w:p>
      <w:pPr>
        <w:ind w:left="720" w:right="180"/>
        <w:spacing w:after="0"/>
        <w:rPr>
          <w:sz w:val="20"/>
          <w:szCs w:val="20"/>
          <w:color w:val="auto"/>
        </w:rPr>
      </w:pPr>
      <w:r>
        <w:rPr>
          <w:rFonts w:ascii="Times New Roman" w:cs="Times New Roman" w:eastAsia="Times New Roman" w:hAnsi="Times New Roman"/>
          <w:sz w:val="22"/>
          <w:szCs w:val="22"/>
          <w:color w:val="auto"/>
        </w:rPr>
        <w:t>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26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22"/>
          <w:szCs w:val="22"/>
          <w:color w:val="auto"/>
        </w:rPr>
        <w:t>Vanguard Capital Management</w:t>
      </w:r>
    </w:p>
    <w:p>
      <w:pPr>
        <w:spacing w:after="0" w:line="152"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Ashley Grim</w:t>
      </w:r>
    </w:p>
    <w:p>
      <w:pPr>
        <w:spacing w:after="0" w:line="44"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22"/>
          <w:szCs w:val="22"/>
          <w:color w:val="auto"/>
        </w:rPr>
        <w:t>Name/Title: Head of Global Fund Administration</w:t>
      </w:r>
    </w:p>
    <w:p>
      <w:pPr>
        <w:spacing w:after="0" w:line="44"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04/29/2026</w:t>
      </w:r>
    </w:p>
    <w:sectPr>
      <w:pgSz w:w="11900" w:h="16838" w:orient="portrait"/>
      <w:cols w:equalWidth="0" w:num="1">
        <w:col w:w="10920"/>
      </w:cols>
      <w:pgMar w:left="580" w:top="112"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AE8944A"/>
    <w:multiLevelType w:val="hybridMultilevel"/>
    <w:lvl w:ilvl="0">
      <w:lvlJc w:val="left"/>
      <w:lvlText w:val="2"/>
      <w:numFmt w:val="bullet"/>
      <w:start w:val="1"/>
    </w:lvl>
  </w:abstractNum>
  <w:abstractNum w:abstractNumId="1">
    <w:nsid w:val="625558EC"/>
    <w:multiLevelType w:val="hybridMultilevel"/>
    <w:lvl w:ilvl="0">
      <w:lvlJc w:val="left"/>
      <w:lvlText w:val="3"/>
      <w:numFmt w:val="bullet"/>
      <w:start w:val="1"/>
    </w:lvl>
  </w:abstractNum>
  <w:abstractNum w:abstractNumId="2">
    <w:nsid w:val="238E1F29"/>
    <w:multiLevelType w:val="hybridMultilevel"/>
    <w:lvl w:ilvl="0">
      <w:lvlJc w:val="left"/>
      <w:lvlText w:val="(%1)"/>
      <w:numFmt w:val="lowerLetter"/>
      <w:start w:val="3"/>
    </w:lvl>
  </w:abstractNum>
  <w:abstractNum w:abstractNumId="3">
    <w:nsid w:val="46E87CCD"/>
    <w:multiLevelType w:val="hybridMultilevel"/>
    <w:lvl w:ilvl="0">
      <w:lvlJc w:val="left"/>
      <w:lvlText w:val="(%1)"/>
      <w:numFmt w:val="lowerLetter"/>
      <w:start w:val="11"/>
    </w:lvl>
  </w:abstractNum>
  <w:abstractNum w:abstractNumId="4">
    <w:nsid w:val="3D1B58BA"/>
    <w:multiLevelType w:val="hybridMultilevel"/>
    <w:lvl w:ilvl="0">
      <w:lvlJc w:val="left"/>
      <w:lvlText w:val="(%1)"/>
      <w:numFmt w:val="lowerLetter"/>
      <w:start w:val="3"/>
    </w:lvl>
  </w:abstractNum>
  <w:abstractNum w:abstractNumId="5">
    <w:nsid w:val="507ED7A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2026-04-29T17:11:27Z</dcterms:created>
  <dcterms:modified xsi:type="dcterms:W3CDTF">2026-04-29T17:11:27Z</dcterms:modified>
</cp:coreProperties>
</file>