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8"/>
        </w:rPr>
        <w:t>QUARTERLY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quarterly period ended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8"/>
        </w:rPr>
        <w:t>TRANSITION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 to 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001-39613</w:t>
      </w:r>
    </w:p>
    <w:p>
      <w:pPr>
        <w:pStyle w:val="TextBody"/>
        <w:bidi w:val="0"/>
        <w:spacing w:before="0" w:after="0"/>
        <w:jc w:val="center"/>
        <w:rPr/>
      </w:pPr>
      <w:r>
        <w:rPr/>
      </w:r>
    </w:p>
    <w:p>
      <w:pPr>
        <w:pStyle w:val="TextBody"/>
        <w:bidi w:val="0"/>
        <w:spacing w:before="0" w:after="0"/>
        <w:jc w:val="center"/>
        <w:rPr/>
      </w:pPr>
      <w:r>
        <w:rPr/>
        <w:drawing>
          <wp:inline distT="0" distB="0" distL="0" distR="0">
            <wp:extent cx="19145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152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ARRAY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0"/>
        <w:jc w:val="center"/>
        <w:rPr/>
      </w:pPr>
      <w:r>
        <w:rPr/>
      </w:r>
    </w:p>
    <w:tbl>
      <w:tblPr>
        <w:tblW w:w="8068" w:type="dxa"/>
        <w:jc w:val="center"/>
        <w:tblInd w:w="0" w:type="dxa"/>
        <w:tblLayout w:type="fixed"/>
        <w:tblCellMar>
          <w:top w:w="28" w:type="dxa"/>
          <w:left w:w="28" w:type="dxa"/>
          <w:bottom w:w="28" w:type="dxa"/>
          <w:right w:w="28" w:type="dxa"/>
        </w:tblCellMar>
      </w:tblPr>
      <w:tblGrid>
        <w:gridCol w:w="893"/>
        <w:gridCol w:w="783"/>
        <w:gridCol w:w="783"/>
        <w:gridCol w:w="487"/>
        <w:gridCol w:w="487"/>
        <w:gridCol w:w="497"/>
        <w:gridCol w:w="109"/>
        <w:gridCol w:w="109"/>
        <w:gridCol w:w="109"/>
        <w:gridCol w:w="454"/>
        <w:gridCol w:w="454"/>
        <w:gridCol w:w="456"/>
        <w:gridCol w:w="163"/>
        <w:gridCol w:w="163"/>
        <w:gridCol w:w="163"/>
        <w:gridCol w:w="573"/>
        <w:gridCol w:w="573"/>
        <w:gridCol w:w="812"/>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9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83-2747826</w:t>
            </w:r>
          </w:p>
        </w:tc>
      </w:tr>
      <w:tr>
        <w:trPr/>
        <w:tc>
          <w:tcPr>
            <w:tcW w:w="3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3901 Midway Place NE</w:t>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Albuquerque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New Mexico</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87109</w:t>
            </w:r>
          </w:p>
        </w:tc>
      </w:tr>
      <w:tr>
        <w:trPr/>
        <w:tc>
          <w:tcPr>
            <w:tcW w:w="56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tbl>
      <w:tblPr>
        <w:tblW w:w="6148" w:type="dxa"/>
        <w:jc w:val="center"/>
        <w:tblInd w:w="0" w:type="dxa"/>
        <w:tblLayout w:type="fixed"/>
        <w:tblCellMar>
          <w:top w:w="28" w:type="dxa"/>
          <w:left w:w="28" w:type="dxa"/>
          <w:bottom w:w="28" w:type="dxa"/>
          <w:right w:w="28" w:type="dxa"/>
        </w:tblCellMar>
      </w:tblPr>
      <w:tblGrid>
        <w:gridCol w:w="1620"/>
        <w:gridCol w:w="1423"/>
        <w:gridCol w:w="1427"/>
        <w:gridCol w:w="204"/>
        <w:gridCol w:w="204"/>
        <w:gridCol w:w="206"/>
        <w:gridCol w:w="310"/>
        <w:gridCol w:w="310"/>
        <w:gridCol w:w="44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(505)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881-7567</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(Former name, former address and former fiscal year, if changed since last report)</w:t>
      </w:r>
      <w:r>
        <w:rPr>
          <w:color w:val="000000"/>
        </w:rPr>
        <w:t xml:space="preserve"> </w:t>
      </w:r>
      <w:r>
        <w:rPr>
          <w:rFonts w:ascii="Arial;sans-serif" w:hAnsi="Arial;sans-serif"/>
          <w:b/>
          <w:color w:val="000000"/>
          <w:sz w:val="22"/>
        </w:rPr>
        <w:t>N/A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271"/>
        <w:gridCol w:w="1117"/>
        <w:gridCol w:w="1122"/>
        <w:gridCol w:w="109"/>
        <w:gridCol w:w="109"/>
        <w:gridCol w:w="109"/>
        <w:gridCol w:w="534"/>
        <w:gridCol w:w="534"/>
        <w:gridCol w:w="536"/>
        <w:gridCol w:w="109"/>
        <w:gridCol w:w="109"/>
        <w:gridCol w:w="109"/>
        <w:gridCol w:w="1108"/>
        <w:gridCol w:w="1108"/>
        <w:gridCol w:w="1579"/>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Global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958"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As of May 4, 2026, there were 153,826,378 shares of common stock, par value $0.001 per share,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Index to Form 10-Q</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7"/>
        <w:gridCol w:w="311"/>
        <w:gridCol w:w="311"/>
        <w:gridCol w:w="2751"/>
        <w:gridCol w:w="2697"/>
        <w:gridCol w:w="2704"/>
        <w:gridCol w:w="311"/>
        <w:gridCol w:w="311"/>
        <w:gridCol w:w="452"/>
      </w:tblGrid>
      <w:tr>
        <w:trPr/>
        <w:tc>
          <w:tcPr>
            <w:tcW w:w="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0">
              <w:r>
                <w:rPr>
                  <w:rStyle w:val="InternetLink"/>
                  <w:rFonts w:ascii="Arial;sans-serif" w:hAnsi="Arial;sans-serif"/>
                  <w:b/>
                  <w:color w:val="0000FF"/>
                  <w:sz w:val="20"/>
                  <w:u w:val="single"/>
                </w:rPr>
                <w:t>PART I - FINANCIAL INFORMATION</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3">
              <w:r>
                <w:rPr>
                  <w:rStyle w:val="InternetLink"/>
                  <w:rFonts w:ascii="Arial;sans-serif" w:hAnsi="Arial;sans-serif"/>
                  <w:b w:val="false"/>
                  <w:color w:val="0000FF"/>
                  <w:sz w:val="20"/>
                  <w:u w:val="single"/>
                </w:rPr>
                <w:t>Item 1.</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3">
              <w:r>
                <w:rPr>
                  <w:rStyle w:val="InternetLink"/>
                  <w:rFonts w:ascii="Arial;sans-serif" w:hAnsi="Arial;sans-serif"/>
                  <w:b w:val="false"/>
                  <w:color w:val="0000FF"/>
                  <w:sz w:val="20"/>
                  <w:u w:val="single"/>
                </w:rPr>
                <w:t>Unaudited Condensed Consolidated Financial Statements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6">
              <w:r>
                <w:rPr>
                  <w:rStyle w:val="InternetLink"/>
                  <w:rFonts w:ascii="Arial;sans-serif" w:hAnsi="Arial;sans-serif"/>
                  <w:b w:val="false"/>
                  <w:color w:val="0000FF"/>
                  <w:sz w:val="20"/>
                  <w:u w:val="single"/>
                </w:rPr>
                <w:t>Condensed Consolidated Balance Sheets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6">
              <w:r>
                <w:rPr>
                  <w:rStyle w:val="InternetLink"/>
                  <w:rFonts w:ascii="Arial;sans-serif" w:hAnsi="Arial;sans-serif"/>
                  <w:b w:val="false"/>
                  <w:color w:val="0000FF"/>
                  <w:sz w:val="20"/>
                  <w:u w:val="single"/>
                </w:rPr>
                <w:t>1</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9">
              <w:r>
                <w:rPr>
                  <w:rStyle w:val="InternetLink"/>
                  <w:rFonts w:ascii="Arial;sans-serif" w:hAnsi="Arial;sans-serif"/>
                  <w:b w:val="false"/>
                  <w:color w:val="0000FF"/>
                  <w:sz w:val="20"/>
                  <w:u w:val="single"/>
                </w:rPr>
                <w:t>Condensed Consolidated Statements of Operations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9">
              <w:r>
                <w:rPr>
                  <w:rStyle w:val="InternetLink"/>
                  <w:rFonts w:ascii="Arial;sans-serif" w:hAnsi="Arial;sans-serif"/>
                  <w:b w:val="false"/>
                  <w:color w:val="0000FF"/>
                  <w:sz w:val="20"/>
                  <w:u w:val="single"/>
                </w:rPr>
                <w:t>3</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22">
              <w:r>
                <w:rPr>
                  <w:rStyle w:val="InternetLink"/>
                  <w:rFonts w:ascii="Arial;sans-serif" w:hAnsi="Arial;sans-serif"/>
                  <w:b w:val="false"/>
                  <w:color w:val="0000FF"/>
                  <w:sz w:val="20"/>
                  <w:u w:val="single"/>
                </w:rPr>
                <w:t>Condensed Consolidated Statements of Comprehensive Income (Loss)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22">
              <w:r>
                <w:rPr>
                  <w:rStyle w:val="InternetLink"/>
                  <w:rFonts w:ascii="Arial;sans-serif" w:hAnsi="Arial;sans-serif"/>
                  <w:b w:val="false"/>
                  <w:color w:val="0000FF"/>
                  <w:sz w:val="20"/>
                  <w:u w:val="single"/>
                </w:rPr>
                <w:t>4</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25">
              <w:r>
                <w:rPr>
                  <w:rStyle w:val="InternetLink"/>
                  <w:rFonts w:ascii="Arial;sans-serif" w:hAnsi="Arial;sans-serif"/>
                  <w:b w:val="false"/>
                  <w:color w:val="0000FF"/>
                  <w:sz w:val="20"/>
                  <w:u w:val="single"/>
                </w:rPr>
                <w:t>Condensed Consolidated Statements of Changes in Redeemable Perpetual Preferred Stock and Stockholders’ Equity</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25">
              <w:r>
                <w:rPr>
                  <w:rStyle w:val="InternetLink"/>
                  <w:rFonts w:ascii="Arial;sans-serif" w:hAnsi="Arial;sans-serif"/>
                  <w:b w:val="false"/>
                  <w:color w:val="0000FF"/>
                  <w:sz w:val="20"/>
                  <w:u w:val="single"/>
                </w:rPr>
                <w:t>5</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28">
              <w:r>
                <w:rPr>
                  <w:rStyle w:val="InternetLink"/>
                  <w:rFonts w:ascii="Arial;sans-serif" w:hAnsi="Arial;sans-serif"/>
                  <w:b w:val="false"/>
                  <w:color w:val="0000FF"/>
                  <w:sz w:val="20"/>
                  <w:u w:val="single"/>
                </w:rPr>
                <w:t>Condensed Consolidated Statements of Cash Flows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28">
              <w:r>
                <w:rPr>
                  <w:rStyle w:val="InternetLink"/>
                  <w:rFonts w:ascii="Arial;sans-serif" w:hAnsi="Arial;sans-serif"/>
                  <w:b w:val="false"/>
                  <w:color w:val="0000FF"/>
                  <w:sz w:val="20"/>
                  <w:u w:val="single"/>
                </w:rPr>
                <w:t>7</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31">
              <w:r>
                <w:rPr>
                  <w:rStyle w:val="InternetLink"/>
                  <w:rFonts w:ascii="Arial;sans-serif" w:hAnsi="Arial;sans-serif"/>
                  <w:b w:val="false"/>
                  <w:color w:val="0000FF"/>
                  <w:sz w:val="20"/>
                  <w:u w:val="single"/>
                </w:rPr>
                <w:t>Notes to Condensed Consolidated Financial Statements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31">
              <w:r>
                <w:rPr>
                  <w:rStyle w:val="InternetLink"/>
                  <w:rFonts w:ascii="Arial;sans-serif" w:hAnsi="Arial;sans-serif"/>
                  <w:b w:val="false"/>
                  <w:color w:val="0000FF"/>
                  <w:sz w:val="20"/>
                  <w:u w:val="single"/>
                </w:rPr>
                <w:t>8</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88">
              <w:r>
                <w:rPr>
                  <w:rStyle w:val="InternetLink"/>
                  <w:rFonts w:ascii="Arial;sans-serif" w:hAnsi="Arial;sans-serif"/>
                  <w:b w:val="false"/>
                  <w:color w:val="0000FF"/>
                  <w:sz w:val="20"/>
                  <w:u w:val="single"/>
                </w:rPr>
                <w:t>Item 2.</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88">
              <w:r>
                <w:rPr>
                  <w:rStyle w:val="InternetLink"/>
                  <w:rFonts w:ascii="Arial;sans-serif" w:hAnsi="Arial;sans-serif"/>
                  <w:b w:val="false"/>
                  <w:color w:val="0000FF"/>
                  <w:sz w:val="20"/>
                  <w:u w:val="single"/>
                </w:rPr>
                <w:t>Management’s Discussion and Analysis of Financial Condition and Results of Operations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88">
              <w:r>
                <w:rPr>
                  <w:rStyle w:val="InternetLink"/>
                  <w:rFonts w:ascii="Arial;sans-serif" w:hAnsi="Arial;sans-serif"/>
                  <w:b w:val="false"/>
                  <w:color w:val="0000FF"/>
                  <w:sz w:val="20"/>
                  <w:u w:val="single"/>
                </w:rPr>
                <w:t>36</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03">
              <w:r>
                <w:rPr>
                  <w:rStyle w:val="InternetLink"/>
                  <w:rFonts w:ascii="Arial;sans-serif" w:hAnsi="Arial;sans-serif"/>
                  <w:b w:val="false"/>
                  <w:color w:val="0000FF"/>
                  <w:sz w:val="20"/>
                  <w:u w:val="single"/>
                </w:rPr>
                <w:t>Item 3.</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03">
              <w:r>
                <w:rPr>
                  <w:rStyle w:val="InternetLink"/>
                  <w:rFonts w:ascii="Arial;sans-serif" w:hAnsi="Arial;sans-serif"/>
                  <w:b w:val="false"/>
                  <w:color w:val="0000FF"/>
                  <w:sz w:val="20"/>
                  <w:u w:val="single"/>
                </w:rPr>
                <w:t>Quantitative and Qualitative Disclosures About Market Risk</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03">
              <w:r>
                <w:rPr>
                  <w:rStyle w:val="InternetLink"/>
                  <w:rFonts w:ascii="Arial;sans-serif" w:hAnsi="Arial;sans-serif"/>
                  <w:b w:val="false"/>
                  <w:color w:val="0000FF"/>
                  <w:sz w:val="20"/>
                  <w:u w:val="single"/>
                </w:rPr>
                <w:t>54</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06">
              <w:r>
                <w:rPr>
                  <w:rStyle w:val="InternetLink"/>
                  <w:rFonts w:ascii="Arial;sans-serif" w:hAnsi="Arial;sans-serif"/>
                  <w:b w:val="false"/>
                  <w:color w:val="0000FF"/>
                  <w:sz w:val="20"/>
                  <w:u w:val="single"/>
                </w:rPr>
                <w:t>Item 4.</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06">
              <w:r>
                <w:rPr>
                  <w:rStyle w:val="InternetLink"/>
                  <w:rFonts w:ascii="Arial;sans-serif" w:hAnsi="Arial;sans-serif"/>
                  <w:b w:val="false"/>
                  <w:color w:val="0000FF"/>
                  <w:sz w:val="20"/>
                  <w:u w:val="single"/>
                </w:rPr>
                <w:t>Controls and Procedures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06">
              <w:r>
                <w:rPr>
                  <w:rStyle w:val="InternetLink"/>
                  <w:rFonts w:ascii="Arial;sans-serif" w:hAnsi="Arial;sans-serif"/>
                  <w:b w:val="false"/>
                  <w:color w:val="0000FF"/>
                  <w:sz w:val="20"/>
                  <w:u w:val="single"/>
                </w:rPr>
                <w:t>54</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09">
              <w:r>
                <w:rPr>
                  <w:rStyle w:val="InternetLink"/>
                  <w:rFonts w:ascii="Arial;sans-serif" w:hAnsi="Arial;sans-serif"/>
                  <w:b/>
                  <w:color w:val="0000FF"/>
                  <w:sz w:val="20"/>
                  <w:u w:val="single"/>
                </w:rPr>
                <w:t>PART II - OTHER INFORMATION</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12">
              <w:r>
                <w:rPr>
                  <w:rStyle w:val="InternetLink"/>
                  <w:rFonts w:ascii="Arial;sans-serif" w:hAnsi="Arial;sans-serif"/>
                  <w:b w:val="false"/>
                  <w:color w:val="0000FF"/>
                  <w:sz w:val="20"/>
                  <w:u w:val="single"/>
                </w:rPr>
                <w:t>Item 1.</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12">
              <w:r>
                <w:rPr>
                  <w:rStyle w:val="InternetLink"/>
                  <w:rFonts w:ascii="Arial;sans-serif" w:hAnsi="Arial;sans-serif"/>
                  <w:b w:val="false"/>
                  <w:color w:val="0000FF"/>
                  <w:sz w:val="20"/>
                  <w:u w:val="single"/>
                </w:rPr>
                <w:t>Legal Proceedings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12">
              <w:r>
                <w:rPr>
                  <w:rStyle w:val="InternetLink"/>
                  <w:rFonts w:ascii="Arial;sans-serif" w:hAnsi="Arial;sans-serif"/>
                  <w:b w:val="false"/>
                  <w:color w:val="0000FF"/>
                  <w:sz w:val="20"/>
                  <w:u w:val="single"/>
                </w:rPr>
                <w:t>55</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15">
              <w:r>
                <w:rPr>
                  <w:rStyle w:val="InternetLink"/>
                  <w:rFonts w:ascii="Arial;sans-serif" w:hAnsi="Arial;sans-serif"/>
                  <w:b w:val="false"/>
                  <w:color w:val="0000FF"/>
                  <w:sz w:val="20"/>
                  <w:u w:val="single"/>
                </w:rPr>
                <w:t>Item 1A.</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15">
              <w:r>
                <w:rPr>
                  <w:rStyle w:val="InternetLink"/>
                  <w:rFonts w:ascii="Arial;sans-serif" w:hAnsi="Arial;sans-serif"/>
                  <w:b w:val="false"/>
                  <w:color w:val="0000FF"/>
                  <w:sz w:val="20"/>
                  <w:u w:val="single"/>
                </w:rPr>
                <w:t>Risk Factors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15">
              <w:r>
                <w:rPr>
                  <w:rStyle w:val="InternetLink"/>
                  <w:rFonts w:ascii="Arial;sans-serif" w:hAnsi="Arial;sans-serif"/>
                  <w:b w:val="false"/>
                  <w:color w:val="0000FF"/>
                  <w:sz w:val="20"/>
                  <w:u w:val="single"/>
                </w:rPr>
                <w:t>57</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18">
              <w:r>
                <w:rPr>
                  <w:rStyle w:val="InternetLink"/>
                  <w:rFonts w:ascii="Arial;sans-serif" w:hAnsi="Arial;sans-serif"/>
                  <w:b w:val="false"/>
                  <w:color w:val="0000FF"/>
                  <w:sz w:val="20"/>
                  <w:u w:val="single"/>
                </w:rPr>
                <w:t>Item 2.</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18">
              <w:r>
                <w:rPr>
                  <w:rStyle w:val="InternetLink"/>
                  <w:rFonts w:ascii="Arial;sans-serif" w:hAnsi="Arial;sans-serif"/>
                  <w:b w:val="false"/>
                  <w:color w:val="0000FF"/>
                  <w:sz w:val="20"/>
                  <w:u w:val="single"/>
                </w:rPr>
                <w:t>Unregistered Sales of Equity Securities and Use of Proceeds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18">
              <w:r>
                <w:rPr>
                  <w:rStyle w:val="InternetLink"/>
                  <w:rFonts w:ascii="Arial;sans-serif" w:hAnsi="Arial;sans-serif"/>
                  <w:b w:val="false"/>
                  <w:color w:val="0000FF"/>
                  <w:sz w:val="20"/>
                  <w:u w:val="single"/>
                </w:rPr>
                <w:t>57</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21">
              <w:r>
                <w:rPr>
                  <w:rStyle w:val="InternetLink"/>
                  <w:rFonts w:ascii="Arial;sans-serif" w:hAnsi="Arial;sans-serif"/>
                  <w:b w:val="false"/>
                  <w:color w:val="0000FF"/>
                  <w:sz w:val="20"/>
                  <w:u w:val="single"/>
                </w:rPr>
                <w:t>Item 3.</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21">
              <w:r>
                <w:rPr>
                  <w:rStyle w:val="InternetLink"/>
                  <w:rFonts w:ascii="Arial;sans-serif" w:hAnsi="Arial;sans-serif"/>
                  <w:b w:val="false"/>
                  <w:color w:val="0000FF"/>
                  <w:sz w:val="20"/>
                  <w:u w:val="single"/>
                </w:rPr>
                <w:t>Defaults Upon Senior Securities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21">
              <w:r>
                <w:rPr>
                  <w:rStyle w:val="InternetLink"/>
                  <w:rFonts w:ascii="Arial;sans-serif" w:hAnsi="Arial;sans-serif"/>
                  <w:b w:val="false"/>
                  <w:color w:val="0000FF"/>
                  <w:sz w:val="20"/>
                  <w:u w:val="single"/>
                </w:rPr>
                <w:t>57</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24">
              <w:r>
                <w:rPr>
                  <w:rStyle w:val="InternetLink"/>
                  <w:rFonts w:ascii="Arial;sans-serif" w:hAnsi="Arial;sans-serif"/>
                  <w:b w:val="false"/>
                  <w:color w:val="0000FF"/>
                  <w:sz w:val="20"/>
                  <w:u w:val="single"/>
                </w:rPr>
                <w:t>Item 4.</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24">
              <w:r>
                <w:rPr>
                  <w:rStyle w:val="InternetLink"/>
                  <w:rFonts w:ascii="Arial;sans-serif" w:hAnsi="Arial;sans-serif"/>
                  <w:b w:val="false"/>
                  <w:color w:val="0000FF"/>
                  <w:sz w:val="20"/>
                  <w:u w:val="single"/>
                </w:rPr>
                <w:t>Mine Safety Disclosures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24">
              <w:r>
                <w:rPr>
                  <w:rStyle w:val="InternetLink"/>
                  <w:rFonts w:ascii="Arial;sans-serif" w:hAnsi="Arial;sans-serif"/>
                  <w:b w:val="false"/>
                  <w:color w:val="0000FF"/>
                  <w:sz w:val="20"/>
                  <w:u w:val="single"/>
                </w:rPr>
                <w:t>57</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27">
              <w:r>
                <w:rPr>
                  <w:rStyle w:val="InternetLink"/>
                  <w:rFonts w:ascii="Arial;sans-serif" w:hAnsi="Arial;sans-serif"/>
                  <w:b w:val="false"/>
                  <w:color w:val="0000FF"/>
                  <w:sz w:val="20"/>
                  <w:u w:val="single"/>
                </w:rPr>
                <w:t>Item 5.</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27">
              <w:r>
                <w:rPr>
                  <w:rStyle w:val="InternetLink"/>
                  <w:rFonts w:ascii="Arial;sans-serif" w:hAnsi="Arial;sans-serif"/>
                  <w:b w:val="false"/>
                  <w:color w:val="0000FF"/>
                  <w:sz w:val="20"/>
                  <w:u w:val="single"/>
                </w:rPr>
                <w:t>Other Information</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27">
              <w:r>
                <w:rPr>
                  <w:rStyle w:val="InternetLink"/>
                  <w:rFonts w:ascii="Arial;sans-serif" w:hAnsi="Arial;sans-serif"/>
                  <w:b w:val="false"/>
                  <w:color w:val="0000FF"/>
                  <w:sz w:val="20"/>
                  <w:u w:val="single"/>
                </w:rPr>
                <w:t>57</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30">
              <w:r>
                <w:rPr>
                  <w:rStyle w:val="InternetLink"/>
                  <w:rFonts w:ascii="Arial;sans-serif" w:hAnsi="Arial;sans-serif"/>
                  <w:b w:val="false"/>
                  <w:color w:val="0000FF"/>
                  <w:sz w:val="20"/>
                  <w:u w:val="single"/>
                </w:rPr>
                <w:t>Item 6.</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bb1536239dc4e6fa44434d4894d5151_130">
              <w:r>
                <w:rPr>
                  <w:rStyle w:val="InternetLink"/>
                  <w:rFonts w:ascii="Arial;sans-serif" w:hAnsi="Arial;sans-serif"/>
                  <w:b w:val="false"/>
                  <w:color w:val="0000FF"/>
                  <w:sz w:val="20"/>
                  <w:u w:val="single"/>
                </w:rPr>
                <w:t>Exhibits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bb1536239dc4e6fa44434d4894d5151_130">
              <w:r>
                <w:rPr>
                  <w:rStyle w:val="InternetLink"/>
                  <w:rFonts w:ascii="Arial;sans-serif" w:hAnsi="Arial;sans-serif"/>
                  <w:b w:val="false"/>
                  <w:color w:val="0000FF"/>
                  <w:sz w:val="20"/>
                  <w:u w:val="singl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Arial;sans-serif" w:hAnsi="Arial;sans-serif"/>
          <w:b/>
          <w:color w:val="000000"/>
          <w:sz w:val="22"/>
        </w:rPr>
      </w:pPr>
      <w:r>
        <w:rPr>
          <w:rFonts w:ascii="Arial;sans-serif" w:hAnsi="Arial;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2"/>
        <w:gridCol w:w="1969"/>
        <w:gridCol w:w="1965"/>
        <w:gridCol w:w="250"/>
        <w:gridCol w:w="1247"/>
        <w:gridCol w:w="120"/>
        <w:gridCol w:w="109"/>
        <w:gridCol w:w="109"/>
        <w:gridCol w:w="109"/>
        <w:gridCol w:w="301"/>
        <w:gridCol w:w="1505"/>
        <w:gridCol w:w="209"/>
      </w:tblGrid>
      <w:tr>
        <w:trPr/>
        <w:tc>
          <w:tcPr>
            <w:tcW w:w="231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ASSETS</w:t>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200,702 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244,388 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Restricted cash</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Accounts receivable, net of allowance of $6,800 and $6,245, respectively</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271,578 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 net</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167,973 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150,374 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201,108 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1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879,419 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869,044 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58,225 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97,088 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135,173 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135,173 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224,921 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238,579 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24,735 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23,965 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54,112 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29,718 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1,475,027 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1,451,792 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LIABILITIES, REDEEMABLE PERPETUAL PREFERRED STOCK AND STOCKHOLDERS' EQUITY</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143,994 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62,777 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54,289 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4,687 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138,527 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128,433 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warranty liability</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10,844 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10,315 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390,403 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377,012 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12,739 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Warranty liability, net of current portion</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5,466 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89,552 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r>
        <w:rPr>
          <w:color w:val="000000"/>
        </w:rPr>
        <w:t xml:space="preserve">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2707"/>
        <w:gridCol w:w="2017"/>
        <w:gridCol w:w="2021"/>
        <w:gridCol w:w="231"/>
        <w:gridCol w:w="1156"/>
        <w:gridCol w:w="111"/>
        <w:gridCol w:w="109"/>
        <w:gridCol w:w="109"/>
        <w:gridCol w:w="109"/>
        <w:gridCol w:w="244"/>
        <w:gridCol w:w="1220"/>
        <w:gridCol w:w="171"/>
      </w:tblGrid>
      <w:tr>
        <w:trPr/>
        <w:tc>
          <w:tcPr>
            <w:tcW w:w="270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656,958 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658,664 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1,207,143 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1,191,404 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Commitments and contingencies (Note 12)</w:t>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Series A Redeemable Perpetual Preferred Stock of $0.001 par value; 500,000 authorized; 498,498 and 490,829 shares issued as of March 31, 2026 and December 31, 2025, respectively; liquidation preference of $498.5 million and $493.1 million at each date, respectively</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482,265 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466,728 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Preferred stock of $0.001 par value - 4,500,000 shares authorized; none issued at respective dates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of $0.001 par value - 1,000,000,000 shares authorized; 153,734,045 and 152,779,614 shares issued at respective dates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214,485 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226,848 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(420,862)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(422,859)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Accumulated other comprehensive loss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(214,381)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(206,340)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1,475,027 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1,451,792 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Statements of Operations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924"/>
        <w:gridCol w:w="1640"/>
        <w:gridCol w:w="1652"/>
        <w:gridCol w:w="109"/>
        <w:gridCol w:w="109"/>
        <w:gridCol w:w="226"/>
        <w:gridCol w:w="226"/>
        <w:gridCol w:w="469"/>
        <w:gridCol w:w="1967"/>
        <w:gridCol w:w="226"/>
        <w:gridCol w:w="109"/>
        <w:gridCol w:w="109"/>
        <w:gridCol w:w="109"/>
        <w:gridCol w:w="226"/>
        <w:gridCol w:w="946"/>
        <w:gridCol w:w="158"/>
      </w:tblGrid>
      <w:tr>
        <w:trPr/>
        <w:tc>
          <w:tcPr>
            <w:tcW w:w="192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657" w:type="dxa"/>
            <w:gridSpan w:val="6"/>
            <w:tcBorders/>
          </w:tcPr>
          <w:p>
            <w:pPr>
              <w:pStyle w:val="TableContents"/>
              <w:bidi w:val="0"/>
              <w:spacing w:before="0" w:after="283"/>
              <w:jc w:val="left"/>
              <w:rPr>
                <w:sz w:val="4"/>
                <w:szCs w:val="4"/>
              </w:rPr>
            </w:pPr>
            <w:r>
              <w:rPr>
                <w:sz w:val="4"/>
                <w:szCs w:val="4"/>
              </w:rPr>
            </w:r>
          </w:p>
        </w:tc>
      </w:tr>
      <w:tr>
        <w:trPr/>
        <w:tc>
          <w:tcPr>
            <w:tcW w:w="5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223,412 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302,363 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154,794 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222,296 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160,408 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225,935 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63,004 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76,428 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55,895 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(5,563)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(loss) income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(13,540)</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(0.09)</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152,076 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152,956 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152,783 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Statements of Comprehensive (Loss) Income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tbl>
      <w:tblPr>
        <w:tblW w:w="8124" w:type="dxa"/>
        <w:jc w:val="left"/>
        <w:tblInd w:w="0" w:type="dxa"/>
        <w:tblLayout w:type="fixed"/>
        <w:tblCellMar>
          <w:top w:w="28" w:type="dxa"/>
          <w:left w:w="28" w:type="dxa"/>
          <w:bottom w:w="28" w:type="dxa"/>
          <w:right w:w="28" w:type="dxa"/>
        </w:tblCellMar>
      </w:tblPr>
      <w:tblGrid>
        <w:gridCol w:w="1097"/>
        <w:gridCol w:w="964"/>
        <w:gridCol w:w="969"/>
        <w:gridCol w:w="109"/>
        <w:gridCol w:w="109"/>
        <w:gridCol w:w="289"/>
        <w:gridCol w:w="289"/>
        <w:gridCol w:w="600"/>
        <w:gridCol w:w="1876"/>
        <w:gridCol w:w="289"/>
        <w:gridCol w:w="109"/>
        <w:gridCol w:w="109"/>
        <w:gridCol w:w="109"/>
        <w:gridCol w:w="226"/>
        <w:gridCol w:w="82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Foreign currency translation</w:t>
            </w:r>
            <w:r>
              <w:rPr>
                <w:rFonts w:ascii="Arial;sans-serif" w:hAnsi="Arial;sans-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4,319 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There are no tax effects on foreign currency adjustments.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Three Months Ended March 31, 2026</w:t>
      </w:r>
    </w:p>
    <w:tbl>
      <w:tblPr>
        <w:tblW w:w="15681" w:type="dxa"/>
        <w:jc w:val="center"/>
        <w:tblInd w:w="0" w:type="dxa"/>
        <w:tblLayout w:type="fixed"/>
        <w:tblCellMar>
          <w:top w:w="28" w:type="dxa"/>
          <w:left w:w="28" w:type="dxa"/>
          <w:bottom w:w="28" w:type="dxa"/>
          <w:right w:w="28" w:type="dxa"/>
        </w:tblCellMar>
      </w:tblPr>
      <w:tblGrid>
        <w:gridCol w:w="666"/>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(422,859)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(206,340)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issued in connection with:</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purchase plan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153,734 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(420,862)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(214,381)</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Three Months Ended March 31, 2025</w:t>
      </w:r>
    </w:p>
    <w:tbl>
      <w:tblPr>
        <w:tblW w:w="15572" w:type="dxa"/>
        <w:jc w:val="left"/>
        <w:tblInd w:w="0" w:type="dxa"/>
        <w:tblLayout w:type="fixed"/>
        <w:tblCellMar>
          <w:top w:w="28" w:type="dxa"/>
          <w:left w:w="28" w:type="dxa"/>
          <w:bottom w:w="28" w:type="dxa"/>
          <w:right w:w="28" w:type="dxa"/>
        </w:tblCellMar>
      </w:tblPr>
      <w:tblGrid>
        <w:gridCol w:w="666"/>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49"/>
        <w:gridCol w:w="1010"/>
        <w:gridCol w:w="182"/>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2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151,952 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(370,624)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(118,096)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issued in connection with:</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purchase plan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152,513 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(353,878)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(97,774)</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(in thousands)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87"/>
        <w:gridCol w:w="2174"/>
        <w:gridCol w:w="2181"/>
        <w:gridCol w:w="259"/>
        <w:gridCol w:w="1085"/>
        <w:gridCol w:w="124"/>
        <w:gridCol w:w="124"/>
        <w:gridCol w:w="124"/>
        <w:gridCol w:w="124"/>
        <w:gridCol w:w="259"/>
        <w:gridCol w:w="1085"/>
        <w:gridCol w:w="179"/>
      </w:tblGrid>
      <w:tr>
        <w:trPr/>
        <w:tc>
          <w:tcPr>
            <w:tcW w:w="248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r>
      <w:tr>
        <w:trPr/>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Adjustments to reconcile net income to cash used in operating activities:</w:t>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Provision for bad debts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Deferred tax (benefit) expense</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Inventory reserve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 non-cash</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Changes in operating assets and liabilities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(50,589)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(48,784)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operating activities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(29,421)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(13,059)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(7,511)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other debt</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(27,412)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(7,294)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term loan facility</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 financing</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(7,612)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2,488 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 and restricted cash</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(43,991)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(14,648)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beginning of period</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245,984 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364,141 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end of period</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201,993 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349,493 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Notes to Condensed Consolidated Financial Statements </w:t>
      </w:r>
      <w:r>
        <w:rPr>
          <w:rFonts w:ascii="Arial;sans-serif" w:hAnsi="Arial;sans-serif"/>
          <w:b/>
          <w:i/>
          <w:color w:val="000000"/>
          <w:sz w:val="22"/>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w:t>
      </w:r>
      <w:r>
        <w:rPr>
          <w:color w:val="000000"/>
        </w:rPr>
        <w:t>    </w:t>
      </w:r>
      <w:r>
        <w:rPr>
          <w:rFonts w:ascii="Arial;sans-serif" w:hAnsi="Arial;sans-serif"/>
          <w:b/>
          <w:color w:val="000000"/>
          <w:sz w:val="22"/>
        </w:rPr>
        <w:t xml:space="preserve">Organization and Business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Headquartered in Albuquerque, New Mexico, Array Technologies, Inc. (the “Company”) is a leading global provider of solar tracking technology and fixed-tilt systems to utility-scale and distributed generation customers who construct, develop, and operate solar photovoltaic (“PV”) sites. With solutions engineered to withstand harsh weather conditions, the Company’s high-quality solar trackers, fixed-tilt systems, software platforms, foundation solutions, and field services combine to optimize energy production and deliver value to our customers for the entire lifecycle of a project.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On August 14, 2025, the Company acquired 100% of the issued and outstanding equity interests of APA Solar, LLC (“APA”), the terms of which are discussed in </w:t>
      </w:r>
      <w:hyperlink w:anchor="i8bb1536239dc4e6fa44434d4894d5151_40">
        <w:r>
          <w:rPr>
            <w:rStyle w:val="InternetLink"/>
            <w:rFonts w:ascii="Arial;sans-serif" w:hAnsi="Arial;sans-serif"/>
            <w:b w:val="false"/>
            <w:color w:val="0000FF"/>
            <w:sz w:val="22"/>
            <w:u w:val="single"/>
          </w:rPr>
          <w:t>Note 3 – Acquisition</w:t>
        </w:r>
      </w:hyperlink>
      <w:r>
        <w:rPr>
          <w:color w:val="000000"/>
        </w:rPr>
        <w:t xml:space="preserve"> </w:t>
      </w:r>
      <w:r>
        <w:rPr>
          <w:rFonts w:ascii="Arial;sans-serif" w:hAnsi="Arial;sans-serif"/>
          <w:b w:val="false"/>
          <w:color w:val="000000"/>
          <w:sz w:val="22"/>
        </w:rPr>
        <w:t>(the “APA Acquisition”). APA designs, engineers and manufactures solar racking, mounting and foundation systems, and the integration of such systems into the Company’s business model through the APA Acquisition supports the Company’s strategic expansion in the solar energy market and expands its operational footprint.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2.    Summary of Significant Accounting Policies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Basis of Accounting and Presentation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accompanying unaudited condensed consolidated financial statements in this Quarterly Report have been prepared on the accrual basis of accounting in accordance with accounting principles generally accepted in the United States of America (“U.S. GAAP”) for interim financial information and pursuant to the instructions to Form 10-Q and Article 10 of Regulation S-X of the Securities and Exchange Commission (the “SEC”). Accordingly, these interim financial statements do not include all of the information and footnotes required by U.S. GAAP for annual financial statements. In the opinion of Array’s management, all adjustments (consisting only of normal recurring adjustments) considered necessary for a fair statement of results for the interim periods reported have been included. These unaudited condensed consolidated financial statements should be read in conjunction with the Company’s audited consolidated financial statements included in our Annual Report on Form 10-K for the year ended December 31, 2025, filed with the SEC on February 25, 2026.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Principles of Consolidation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condensed consolidated financial statements include the accounts of Array Technologies, Inc. and its subsidiaries. All intercompany accounts and transactions have been eliminated upon consolidation.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Use of Estimates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Business Combinations</w:t>
      </w:r>
    </w:p>
    <w:p>
      <w:pPr>
        <w:pStyle w:val="TextBody"/>
        <w:bidi w:val="0"/>
        <w:spacing w:lineRule="auto" w:line="300" w:before="0" w:after="0"/>
        <w:jc w:val="both"/>
        <w:rPr/>
      </w:pPr>
      <w:r>
        <w:rPr>
          <w:rFonts w:ascii="Arial;sans-serif" w:hAnsi="Arial;sans-serif"/>
          <w:b w:val="false"/>
          <w:color w:val="000000"/>
          <w:sz w:val="22"/>
        </w:rPr>
        <w:t xml:space="preserve">The Company accounts for its business acquisitions under the acquisition method of accounting in accordance with the Financial Accounting Standards Board’s (“FASB”) Accounting Standards Codification (“ASC”) Topic 805 </w:t>
      </w:r>
      <w:r>
        <w:rPr>
          <w:rFonts w:ascii="Arial;sans-serif" w:hAnsi="Arial;sans-serif"/>
          <w:b w:val="false"/>
          <w:i/>
          <w:color w:val="000000"/>
          <w:sz w:val="22"/>
        </w:rPr>
        <w:t>Business Combinations</w:t>
      </w:r>
      <w:r>
        <w:rPr>
          <w:color w:val="000000"/>
        </w:rPr>
        <w:t xml:space="preserve"> </w:t>
      </w:r>
      <w:r>
        <w:rPr>
          <w:rFonts w:ascii="Arial;sans-serif" w:hAnsi="Arial;sans-serif"/>
          <w:b w:val="false"/>
          <w:color w:val="000000"/>
          <w:sz w:val="22"/>
        </w:rPr>
        <w:t xml:space="preserve">(“ASC 805”). The excess of the purchase price over the estimated fair values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Vendor Rebates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section 45X Credit is a per-unit tax credit that is earned over time for each 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in the form of “Vendor Rebates.”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revenue on the condensed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March 31, 2026, the Company had outstanding Vendor Rebate receivables of $164.7 million and $35.1 million included in Prepaid expenses and other and Other assets, respectively. As of December 31, 2025 the Company had outstanding Vendor Rebate receivables of $152.0 million and $10.9 million, included in Prepaid expenses and other and Other assets,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45X Credits</w:t>
      </w:r>
    </w:p>
    <w:p>
      <w:pPr>
        <w:pStyle w:val="TextBody"/>
        <w:bidi w:val="0"/>
        <w:spacing w:lineRule="auto" w:line="300" w:before="0" w:after="0"/>
        <w:jc w:val="both"/>
        <w:rPr/>
      </w:pPr>
      <w:r>
        <w:rPr>
          <w:rFonts w:ascii="Arial;sans-serif" w:hAnsi="Arial;sans-serif"/>
          <w:b w:val="false"/>
          <w:color w:val="000000"/>
          <w:sz w:val="22"/>
        </w:rPr>
        <w:t>The Company accounts for the 45X Credit established by the IRA, under International Accounting Standard 20 - Accounting for Government Grants and Disclosure of Government Assistance (“IAS 20”), as a reduction to Cost of product and service revenue in the condensed consolidated statements of operations. The tax credit is included as an offset in Income tax payable in the condensed consolidated balance sheets dated March 31, 2026</w:t>
      </w:r>
      <w:r>
        <w:rPr>
          <w:color w:val="000000"/>
        </w:rPr>
        <w:t xml:space="preserve"> </w:t>
      </w:r>
      <w:r>
        <w:rPr>
          <w:rFonts w:ascii="Arial;sans-serif" w:hAnsi="Arial;sans-serif"/>
          <w:b w:val="false"/>
          <w:color w:val="000000"/>
          <w:sz w:val="22"/>
        </w:rPr>
        <w:t xml:space="preserve">and December 31, 2025.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Goodwill and Indefinite-Lived Intangible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Goodwill is assessed for impairment using either a qualitative assessment or quantitative approach to determine whether it is more likely than not that the fair value of the reporting unit is less than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of the reporting unit is less than the carrying amount of the reporting unit, and an impairment charge is recognized for the differential.</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(“GPC”) market place EBITDA multiples to corroborate the fair value of the reporting unit determined under the income approach.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not identified any indicators of impairment that would require the Company to test its goodwill for impairment as of March 31,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one indefinite-lived intangible asset for a Trade name it acquired as part of a past acquisition associated with the Array Legacy Operations reporting unit. The Company performs an annual impairment test on its Trade name indefinite-lived intangible asset, utilizing a qualitative or quantitative impairment analysis during the fourth quarter of each year. There were no indicators of impairment associated with this Trade name as of March 31,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Equity Investment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November 6, 2024, the Company invested $3.0 million through a Simple Agreement for Future Equity (“SAFE”) with a technology company. On June 2, 2025, the SAFE investment converted into 182,669 preferred shares of the technology company at the predetermined price. The conversion did not result in the recognition of a gain or loss.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fourth quarter of 2025, the same technology company achieved certain defined milestones, upon which the Company invested an additional $1.0 million through another SAFE. At the next equity financing round of the technology company, the SAFE investment will convert into preferred shares of the technology company, subject to certain conditions.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equity investment of $3.0 million and additional investment of $1.0 million are recorded as investments at cost and are included within Other assets in the condensed consolidated balance sheet. The investment will be carried at cost and remeasured to fair value if impaired or if there are observable changes in transaction prices.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may invest up to $1.0 million in additional future SAFEs, contingent upon the technology company’s achievement of defined milestones. As of March 31, 2026, no additional commitments have been recognized, and no impairment indicators have been identified.</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Long-Lived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amount of goodwill is not included in the asset group.</w:t>
      </w:r>
      <w:r>
        <w:rPr>
          <w:color w:val="000000"/>
        </w:rPr>
        <w:t xml:space="preserve"> </w:t>
      </w:r>
      <w:r>
        <w:rPr>
          <w:rFonts w:ascii="Arial;sans-serif" w:hAnsi="Arial;sans-serif"/>
          <w:b w:val="false"/>
          <w:color w:val="000000"/>
          <w:sz w:val="22"/>
        </w:rPr>
        <w:t>The carrying values are adjusted, if necessary, for the result of each impairment test prior to performing the next test.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When events, circumstances or operating results indicate that the carrying values of long-lived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not identified indicators of impairment that would require the Company to test its long-lived assets for impairment as of March 31,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Revenue Recognition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incurs research and development (“R&amp;D”) costs while researching and developing new products and significant enhancements to existing products. R&amp;D costs consist primarily of personnel-related costs associated with the Company’s internal engineers, third-party consultants, materials and overhead. The Company expenses these costs as incurred prior to a respective product being ready for commercial production. R&amp;D expense was $3.0 million and $2.4 million during the three months ended March 31, 2026 and 2025,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Recently Issued Accounting Pronouncements</w:t>
      </w:r>
    </w:p>
    <w:p>
      <w:pPr>
        <w:pStyle w:val="TextBody"/>
        <w:bidi w:val="0"/>
        <w:spacing w:lineRule="auto" w:line="300" w:before="0" w:after="0"/>
        <w:jc w:val="both"/>
        <w:rPr/>
      </w:pPr>
      <w:r>
        <w:rPr>
          <w:rFonts w:ascii="Arial;sans-serif" w:hAnsi="Arial;sans-serif"/>
          <w:b w:val="false"/>
          <w:color w:val="000000"/>
          <w:sz w:val="22"/>
        </w:rPr>
        <w:t xml:space="preserve">In November 2024, the Financial Accounting Standards Board (the “FASB”) issued ASU 2024-03, </w:t>
      </w:r>
      <w:r>
        <w:rPr>
          <w:rFonts w:ascii="Arial;sans-serif" w:hAnsi="Arial;sans-serif"/>
          <w:b w:val="false"/>
          <w:i/>
          <w:color w:val="000000"/>
          <w:sz w:val="22"/>
        </w:rPr>
        <w:t>Income Statement - Reporting Comprehensive Income - Expense Disaggregation Disclosures</w:t>
      </w:r>
      <w:r>
        <w:rPr>
          <w:rFonts w:ascii="Arial;sans-serif" w:hAnsi="Arial;sans-serif"/>
          <w:b w:val="false"/>
          <w:color w:val="000000"/>
          <w:sz w:val="22"/>
        </w:rPr>
        <w:t xml:space="preserve">, which requires public entities to disclose additional information 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In September 2025, the FASB issued ASU 2025-06, </w:t>
      </w:r>
      <w:r>
        <w:rPr>
          <w:rFonts w:ascii="Arial;sans-serif" w:hAnsi="Arial;sans-serif"/>
          <w:b w:val="false"/>
          <w:i/>
          <w:color w:val="000000"/>
          <w:sz w:val="22"/>
        </w:rPr>
        <w:t>Intangibles - Goodwill and Other - Internal-Use Software</w:t>
      </w:r>
      <w:r>
        <w:rPr>
          <w:rFonts w:ascii="Arial;sans-serif" w:hAnsi="Arial;sans-serif"/>
          <w:b w:val="false"/>
          <w:color w:val="000000"/>
          <w:sz w:val="22"/>
        </w:rPr>
        <w:t xml:space="preserve">, which updates the accounting for internal-use software by removing project stage references and introduces a new capitalization threshold based on management authorization and project completion probability. The guidance requires evaluation of significant development uncertainty, including novel functionality and unresolved performance requirements. ASU 2025-06 also requires website-specific development costs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evaluated under the same framework as other internal-use software and clarifies that capitalized internal-use software costs are subject to the property, plant and equipment disclosure requirements under ASC Topic 360 </w:t>
      </w:r>
      <w:r>
        <w:rPr>
          <w:rFonts w:ascii="Arial;sans-serif" w:hAnsi="Arial;sans-serif"/>
          <w:b w:val="false"/>
          <w:i/>
          <w:color w:val="000000"/>
          <w:sz w:val="22"/>
        </w:rPr>
        <w:t>Property, Plant, and Equipment</w:t>
      </w:r>
      <w:r>
        <w:rPr>
          <w:rFonts w:ascii="Arial;sans-serif" w:hAnsi="Arial;sans-serif"/>
          <w:b w:val="false"/>
          <w:color w:val="000000"/>
          <w:sz w:val="22"/>
        </w:rPr>
        <w:t>. The amendments are effective for fiscal years beginning after December 15, 2027, and interim periods within those fiscal years. ASU 2025-06 may be applied prospectively, retrospectively or on a modified transition approach with early adoption permitted. The Company is currently evaluating the impact of ASU 2025-06 on its financial statement disclosures.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In December 2025, the FASB issued ASU 2025-11, </w:t>
      </w:r>
      <w:r>
        <w:rPr>
          <w:rFonts w:ascii="Arial;sans-serif" w:hAnsi="Arial;sans-serif"/>
          <w:b w:val="false"/>
          <w:i/>
          <w:color w:val="000000"/>
          <w:sz w:val="22"/>
        </w:rPr>
        <w:t xml:space="preserve">Interim Reporting: Narrow-Scope Improvements, </w:t>
      </w:r>
      <w:r>
        <w:rPr>
          <w:rFonts w:ascii="Arial;sans-serif" w:hAnsi="Arial;sans-serif"/>
          <w:b w:val="false"/>
          <w:color w:val="000000"/>
          <w:sz w:val="22"/>
        </w:rPr>
        <w:t>which provides clarity and navigability of interim reporting requirements, requiring the entities to provide interim financial statements and notes in accordance with U.S. GAAP and added a comprehensive list of interim disclosures required by U.S. GAAP. The new standard is effective for the Company beginning in fiscal year 2029 with early adoption permitted. The Company is currently evaluating the impact of ASU 2025-11 on its financial statement disclosures.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Recently Adopted Accounting Pronouncements</w:t>
      </w:r>
    </w:p>
    <w:p>
      <w:pPr>
        <w:pStyle w:val="TextBody"/>
        <w:bidi w:val="0"/>
        <w:spacing w:lineRule="auto" w:line="300" w:before="0" w:after="0"/>
        <w:jc w:val="both"/>
        <w:rPr/>
      </w:pPr>
      <w:r>
        <w:rPr>
          <w:rFonts w:ascii="Arial;sans-serif" w:hAnsi="Arial;sans-serif"/>
          <w:b w:val="false"/>
          <w:color w:val="000000"/>
          <w:sz w:val="22"/>
        </w:rPr>
        <w:t xml:space="preserve">In July 2025, the FASB issued ASU 2025-05, </w:t>
      </w:r>
      <w:r>
        <w:rPr>
          <w:rFonts w:ascii="Arial;sans-serif" w:hAnsi="Arial;sans-serif"/>
          <w:b w:val="false"/>
          <w:i/>
          <w:color w:val="000000"/>
          <w:sz w:val="22"/>
        </w:rPr>
        <w:t>Financial Instruments - Credit Losses</w:t>
      </w:r>
      <w:r>
        <w:rPr>
          <w:rFonts w:ascii="Arial;sans-serif" w:hAnsi="Arial;sans-serif"/>
          <w:b w:val="false"/>
          <w:color w:val="000000"/>
          <w:sz w:val="22"/>
        </w:rPr>
        <w:t>, which provides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new standard is effective for fiscal years beginning after December 15, 2027, and interim periods within those fiscal years, with early adoption permitted.</w:t>
      </w:r>
      <w:r>
        <w:rPr>
          <w:color w:val="000000"/>
          <w:shd w:fill="FFFFFF" w:val="clear"/>
        </w:rPr>
        <w:t xml:space="preserve"> </w:t>
      </w:r>
      <w:r>
        <w:rPr>
          <w:rFonts w:ascii="Arial;sans-serif" w:hAnsi="Arial;sans-serif"/>
          <w:b w:val="false"/>
          <w:color w:val="000000"/>
          <w:sz w:val="22"/>
          <w:shd w:fill="FFFFFF" w:val="clear"/>
        </w:rPr>
        <w:t>The Company adopted ASU 2025-05 in the first quarter of fiscal year 2026, and it did not have a material impact on the Company’s consolidated financial statements upon adoption.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3.    Acquisition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14, 2025 (the “Closing Date”), the Company, through its indirect wholly owned subsidiary STINorland USA, Inc., a California corporation (“Buyer”), completed the APA Acquisition, pursuant to the terms of the equity purchase agreement, dated as of June 17, 2025, by and among the Company, Buyer, APA, SunHoldings, LLC, an Ohio limited liability company (“Seller”) and the guarantors party thereto (as amended, the “Purchase Agreement”). The cash consideration paid was approximately $166.1 million. The Purchase Agreement also includes an earnout provision estimated to have a fair value of approximately $19.3 million as of the Closing Date (the “Earnout Consideration”), under which the Seller may receive shares of Company common stock, or equivalent cash value at the Buyer’s discretion, based upon APA’s achievement of certain financial performance targets during the three-year period ending on September 30, 2028. As a result, the purchase consideration approximates $185.4 million. Subject to the terms and conditions set forth in the Purchase Agreement, the Company has also agreed to pay aggregate deferred purchase price consideration of approximately $40.0 million payable in three installments over a two-year period based on service within five business days after the first and second anniversaries from the Closing Date and as set forth below (the “Deferred Consideration”). Each of the Earnout Consideration and Deferred Consideration are described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more detail below. The Company is currently finalizing the valuation of the acquired assets and liabilities and assessing the related accounting impacts.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purchase consideration to acquire APA consisted of the following:</w:t>
      </w:r>
    </w:p>
    <w:tbl>
      <w:tblPr>
        <w:tblW w:w="4128" w:type="dxa"/>
        <w:jc w:val="left"/>
        <w:tblInd w:w="0" w:type="dxa"/>
        <w:tblLayout w:type="fixed"/>
        <w:tblCellMar>
          <w:top w:w="28" w:type="dxa"/>
          <w:left w:w="28" w:type="dxa"/>
          <w:bottom w:w="28" w:type="dxa"/>
          <w:right w:w="28" w:type="dxa"/>
        </w:tblCellMar>
      </w:tblPr>
      <w:tblGrid>
        <w:gridCol w:w="897"/>
        <w:gridCol w:w="788"/>
        <w:gridCol w:w="790"/>
        <w:gridCol w:w="109"/>
        <w:gridCol w:w="109"/>
        <w:gridCol w:w="109"/>
        <w:gridCol w:w="226"/>
        <w:gridCol w:w="94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185,391 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The Purchase</w:t>
      </w:r>
      <w:r>
        <w:rPr>
          <w:color w:val="000000"/>
          <w:shd w:fill="FFFFFF" w:val="clear"/>
        </w:rPr>
        <w:t xml:space="preserve"> </w:t>
      </w:r>
      <w:r>
        <w:rPr>
          <w:rFonts w:ascii="Arial;sans-serif" w:hAnsi="Arial;sans-serif"/>
          <w:b w:val="false"/>
          <w:color w:val="000000"/>
          <w:sz w:val="22"/>
          <w:shd w:fill="FFFFFF" w:val="clear"/>
        </w:rPr>
        <w:t xml:space="preserve">Agreement includes an earnout provision pursuant to which Seller may be granted shares of the Company’s common stock, </w:t>
      </w:r>
      <w:r>
        <w:rPr>
          <w:rFonts w:ascii="Arial;sans-serif" w:hAnsi="Arial;sans-serif"/>
          <w:b w:val="false"/>
          <w:color w:val="000000"/>
          <w:sz w:val="22"/>
        </w:rPr>
        <w:t xml:space="preserve">or equivalent cash value at the Buyer’s discretion, </w:t>
      </w:r>
      <w:r>
        <w:rPr>
          <w:rFonts w:ascii="Arial;sans-serif" w:hAnsi="Arial;sans-serif"/>
          <w:b w:val="false"/>
          <w:color w:val="000000"/>
          <w:sz w:val="22"/>
          <w:shd w:fill="FFFFFF" w:val="clear"/>
        </w:rPr>
        <w:t>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Seller continues to assume the managerial responsibilities of APA.</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Earnout Consideration is accounted for as contingent consideration, and the fair value is estimated each reporting period. As of the Closing Date, the Earnout Consideration was estimated to have a fair value of approximately $19.3 million using a Monte-Carlo simulation method. Changes in fair value of the contingent liability are recognized in Change in fair value of contingent consideration on the condensed consolidated statements of operations. Refer to Note </w:t>
      </w:r>
      <w:hyperlink w:anchor="i8bb1536239dc4e6fa44434d4894d5151_67">
        <w:r>
          <w:rPr>
            <w:rStyle w:val="InternetLink"/>
          </w:rPr>
          <w:t xml:space="preserve">12 - </w:t>
        </w:r>
      </w:hyperlink>
      <w:hyperlink w:anchor="i8bb1536239dc4e6fa44434d4894d5151_67">
        <w:r>
          <w:rPr>
            <w:rStyle w:val="InternetLink"/>
          </w:rPr>
          <w:t>Commitments and Contingencies</w:t>
        </w:r>
      </w:hyperlink>
      <w:r>
        <w:rPr>
          <w:color w:val="000000"/>
        </w:rPr>
        <w:t xml:space="preserve"> </w:t>
      </w:r>
      <w:r>
        <w:rPr>
          <w:rFonts w:ascii="Arial;sans-serif" w:hAnsi="Arial;sans-serif"/>
          <w:b w:val="false"/>
          <w:color w:val="000000"/>
          <w:sz w:val="22"/>
        </w:rPr>
        <w:t>for additional details.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Deferred Consideration Installments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Deferred Consideration which will be payable to Seller in three installments (each, a “Deferred Consideration Installment”): (i) 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Purchase Agreement, the Deferred Consideration Installments are subject to reduction if certain equity holders of Seller cease to be employees of the Company under certain circumstances. Each Deferred Consideration Installment will, at the Company’s election, be paid (i) in cash, (ii) through the issuance of shares of Company common stock, par value $0.001 per share, valued at the closing price on the trading day immediately preceding the applicable Deferred Consideration Anniversary (if any such shares are issued, the “Deferred Consideration Shares”) or (iii) by any combination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foregoing. As the Deferred Consideration Installments are tied to future service to the Company, they are considered compensatory and not included in purchase consideration.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shd w:fill="FFFFFF" w:val="clear"/>
        </w:rPr>
      </w:pPr>
      <w:r>
        <w:rPr>
          <w:rFonts w:ascii="Arial;sans-serif" w:hAnsi="Arial;sans-serif"/>
          <w:b w:val="false"/>
          <w:i/>
          <w:color w:val="000000"/>
          <w:sz w:val="22"/>
          <w:shd w:fill="FFFFFF" w:val="clear"/>
        </w:rPr>
        <w:t>Purchase Price Allocation</w:t>
      </w:r>
    </w:p>
    <w:p>
      <w:pPr>
        <w:pStyle w:val="TextBody"/>
        <w:bidi w:val="0"/>
        <w:spacing w:lineRule="auto" w:line="300" w:before="0" w:after="0"/>
        <w:jc w:val="both"/>
        <w:rPr/>
      </w:pPr>
      <w:r>
        <w:rPr>
          <w:rFonts w:ascii="Arial;sans-serif" w:hAnsi="Arial;sans-serif"/>
          <w:b w:val="false"/>
          <w:color w:val="000000"/>
          <w:sz w:val="22"/>
        </w:rPr>
        <w:t xml:space="preserve">The APA Acquisition was accounted for as a business combination applying ASC 805. The allocation of the purchase price to the tangible and identifiable intangible assets acquired and liabilities assumed was based on their estimated fair values as of the date of acquisition.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APA Acquisition. The goodwill </w:t>
      </w:r>
      <w:r>
        <w:rPr>
          <w:rFonts w:ascii="Arial;sans-serif" w:hAnsi="Arial;sans-serif"/>
          <w:b w:val="false"/>
          <w:color w:val="000000"/>
          <w:sz w:val="22"/>
          <w:shd w:fill="FFFFFF" w:val="clear"/>
        </w:rPr>
        <w:t>is deductible for tax purposes.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summarizes the fair values of the assets acquired and liabilities assumed, including measurement period adjustments recognized through December 31, 2025 (in thousands). No measurement period adjustments were recognized during the three months ended March 31, 2026.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14"/>
        <w:gridCol w:w="1660"/>
        <w:gridCol w:w="1669"/>
        <w:gridCol w:w="109"/>
        <w:gridCol w:w="109"/>
        <w:gridCol w:w="109"/>
        <w:gridCol w:w="109"/>
        <w:gridCol w:w="109"/>
        <w:gridCol w:w="109"/>
        <w:gridCol w:w="109"/>
        <w:gridCol w:w="714"/>
        <w:gridCol w:w="2995"/>
        <w:gridCol w:w="490"/>
      </w:tblGrid>
      <w:tr>
        <w:trPr/>
        <w:tc>
          <w:tcPr>
            <w:tcW w:w="191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52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 xml:space="preserve">Fair Value of Net Assets Acquired and Liabilities Assumed: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color w:val="000000"/>
                <w:sz w:val="22"/>
              </w:rPr>
            </w:pPr>
            <w:r>
              <w:rPr>
                <w:rFonts w:ascii="Arial;sans-serif" w:hAnsi="Arial;sans-serif"/>
                <w:b/>
                <w:color w:val="000000"/>
                <w:sz w:val="22"/>
              </w:rPr>
              <w:t>Acquisition Date Including Remeasurements</w:t>
            </w:r>
          </w:p>
        </w:tc>
      </w:tr>
      <w:tr>
        <w:trPr/>
        <w:tc>
          <w:tcPr>
            <w:tcW w:w="5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1,219 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29,124 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25,136 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14,256 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88,000 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27,244 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185,445 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12,540 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22,329 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4,138 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26,493 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65,500 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Fair value of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119,945 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Allocation to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65,446 </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amounts recorded as of March 31, 2026 are preliminary, as the Company is finalizing working capital, post-closing, and other customary adjustments. These preliminary estimates are subject to change within the measurement period (defined as the twelve months following the Closing Date) and related accounting adjustments may be materially different, as the Company obtains additional information on these matters and as additional information is made known during the post-acquisition measurement period. As a result of further refining its estimates and assumptions since the date of the acquisition, the Company recorded measurement period adjustments to the initial opening balance sheet as shown in the table above. There were no measurement period adjustments materially impacting earnings that would have been recorded in previous reporting periods if the adjustments had been recognized as of the acquisition date.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purchase price allocation includes $88.0 million of acquired identifiable intangible assets as follows:</w:t>
      </w:r>
    </w:p>
    <w:tbl>
      <w:tblPr>
        <w:tblW w:w="10205" w:type="dxa"/>
        <w:jc w:val="left"/>
        <w:tblInd w:w="0" w:type="dxa"/>
        <w:tblLayout w:type="fixed"/>
        <w:tblCellMar>
          <w:top w:w="28" w:type="dxa"/>
          <w:left w:w="28" w:type="dxa"/>
          <w:bottom w:w="28" w:type="dxa"/>
          <w:right w:w="28" w:type="dxa"/>
        </w:tblCellMar>
      </w:tblPr>
      <w:tblGrid>
        <w:gridCol w:w="1117"/>
        <w:gridCol w:w="955"/>
        <w:gridCol w:w="960"/>
        <w:gridCol w:w="109"/>
        <w:gridCol w:w="109"/>
        <w:gridCol w:w="109"/>
        <w:gridCol w:w="398"/>
        <w:gridCol w:w="1456"/>
        <w:gridCol w:w="191"/>
        <w:gridCol w:w="109"/>
        <w:gridCol w:w="109"/>
        <w:gridCol w:w="109"/>
        <w:gridCol w:w="1306"/>
        <w:gridCol w:w="1306"/>
        <w:gridCol w:w="1862"/>
      </w:tblGrid>
      <w:tr>
        <w:trPr/>
        <w:tc>
          <w:tcPr>
            <w:tcW w:w="111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Fair Value</w:t>
              <w:br/>
              <w:t>(in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Weighted Average Useful Life in Years</w:t>
            </w:r>
          </w:p>
        </w:tc>
      </w:tr>
      <w:tr>
        <w:trPr/>
        <w:tc>
          <w:tcPr>
            <w:tcW w:w="3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 thousands, except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Computer software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39,500 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5-9</w:t>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w:t>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w:t>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88,000 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fair value of the identifiable intangible assets has been estimated using the Multi-Period Excess Earnings Method (Customer relationships and Backlog), Relief from Royalty Method (Trade name), and Replacement Cost Method (Developed technology and Computer software and other).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APA Acquisition.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Included in the Company’s condensed consolidated statement of operations for the three months ended March 31, 2026 are revenues of $14.9 million and an operating loss of $10.2 million, inclusive of $5.0 million of expenses related to the Deferred Consideration and $4.3 million of amortization expense related to identified intangible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 Forma Financial Information (Unaudited)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unaudited pro forma financial information presents the combined results of operations of the Company and APA as if the acquisition had occurred on January 1, 2024, after giving effect to certain unaudited pro forma adjustments. The unaudited pro forma adjustments reflected herein include only those adjustments that are directly attributable to the APA Acquisition and factually supportable. The unaudited pro forma financial information does not reflect any adjustments for anticipated expense savings resulting from the APA Acquisition and is not necessarily indicative of the operating results that would have actually occurred had the APA Acquisition been consummated on January 1, 2024. These results are prepared in accordance with U.S. GAAP (in thousands).</w:t>
      </w:r>
    </w:p>
    <w:tbl>
      <w:tblPr>
        <w:tblW w:w="722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109"/>
        <w:gridCol w:w="109"/>
        <w:gridCol w:w="186"/>
        <w:gridCol w:w="669"/>
        <w:gridCol w:w="2804"/>
        <w:gridCol w:w="456"/>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100"/>
              <w:jc w:val="left"/>
              <w:rPr>
                <w:sz w:val="4"/>
                <w:szCs w:val="4"/>
              </w:rPr>
            </w:pPr>
            <w:r>
              <w:rPr>
                <w:sz w:val="4"/>
                <w:szCs w:val="4"/>
              </w:rPr>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328,240 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100"/>
              <w:jc w:val="left"/>
              <w:rPr>
                <w:sz w:val="4"/>
                <w:szCs w:val="4"/>
              </w:rPr>
            </w:pPr>
            <w:r>
              <w:rPr>
                <w:sz w:val="4"/>
                <w:szCs w:val="4"/>
              </w:rPr>
            </w:r>
          </w:p>
        </w:tc>
        <w:tc>
          <w:tcPr>
            <w:tcW w:w="347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12,970 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100"/>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 xml:space="preserve">Pro forma adjustments </w:t>
            </w:r>
            <w:r>
              <w:rPr>
                <w:rFonts w:ascii="Arial;sans-serif" w:hAnsi="Arial;sans-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100"/>
              <w:jc w:val="left"/>
              <w:rPr>
                <w:sz w:val="4"/>
                <w:szCs w:val="4"/>
              </w:rPr>
            </w:pPr>
            <w:r>
              <w:rPr>
                <w:sz w:val="4"/>
                <w:szCs w:val="4"/>
              </w:rPr>
            </w:r>
          </w:p>
        </w:tc>
        <w:tc>
          <w:tcPr>
            <w:tcW w:w="66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80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(6,788)</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Pro forma adjustments represent re-casting of incremental expenses, net of estimated taxes, resulting from the APA Acquisition, including Deferred Consideration expense, intangible asset amortization, and the impacts of lease re-measurements and increases to the fair value of inventories and property, plant and equipment.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pPr>
      <w:r>
        <w:rPr>
          <w:rFonts w:ascii="Arial;sans-serif" w:hAnsi="Arial;sans-serif"/>
          <w:b/>
          <w:color w:val="000000"/>
          <w:sz w:val="22"/>
        </w:rPr>
        <w:t>4.</w:t>
      </w:r>
      <w:r>
        <w:rPr>
          <w:color w:val="000000"/>
        </w:rPr>
        <w:t>    </w:t>
      </w:r>
      <w:r>
        <w:rPr>
          <w:rFonts w:ascii="Arial;sans-serif" w:hAnsi="Arial;sans-serif"/>
          <w:b/>
          <w:color w:val="000000"/>
          <w:sz w:val="22"/>
        </w:rPr>
        <w:t xml:space="preserve">Condensed Consolidated Balance Sheet Details </w: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Inventories, net</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Inventories, net consisted of the following (in thousands): </w:t>
      </w:r>
    </w:p>
    <w:tbl>
      <w:tblPr>
        <w:tblW w:w="6335" w:type="dxa"/>
        <w:jc w:val="left"/>
        <w:tblInd w:w="0" w:type="dxa"/>
        <w:tblLayout w:type="fixed"/>
        <w:tblCellMar>
          <w:top w:w="28" w:type="dxa"/>
          <w:left w:w="28" w:type="dxa"/>
          <w:bottom w:w="28" w:type="dxa"/>
          <w:right w:w="28" w:type="dxa"/>
        </w:tblCellMar>
      </w:tblPr>
      <w:tblGrid>
        <w:gridCol w:w="813"/>
        <w:gridCol w:w="715"/>
        <w:gridCol w:w="716"/>
        <w:gridCol w:w="274"/>
        <w:gridCol w:w="1150"/>
        <w:gridCol w:w="226"/>
        <w:gridCol w:w="109"/>
        <w:gridCol w:w="109"/>
        <w:gridCol w:w="109"/>
        <w:gridCol w:w="360"/>
        <w:gridCol w:w="1509"/>
        <w:gridCol w:w="245"/>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Raw materials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51,597 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47,613 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Work in process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2,164 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Finished goods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114,212 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100,566 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100"/>
              <w:jc w:val="left"/>
              <w:rPr>
                <w:rFonts w:ascii="Arial;sans-serif" w:hAnsi="Arial;sans-serif"/>
                <w:b w:val="false"/>
                <w:color w:val="000000"/>
                <w:sz w:val="22"/>
              </w:rPr>
            </w:pPr>
            <w:r>
              <w:rPr>
                <w:rFonts w:ascii="Arial;sans-serif" w:hAnsi="Arial;sans-serif"/>
                <w:b w:val="false"/>
                <w:color w:val="000000"/>
                <w:sz w:val="22"/>
              </w:rPr>
              <w:t>Total inventories, net</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167,973 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150,374 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values inventory using costing methods that approximate a first-in, first-out (“FIFO”) basis.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Prepaid expenses and other current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shows the components of Prepaid expenses and other current assets (in thousands):</w:t>
      </w:r>
    </w:p>
    <w:tbl>
      <w:tblPr>
        <w:tblW w:w="8935" w:type="dxa"/>
        <w:jc w:val="left"/>
        <w:tblInd w:w="0" w:type="dxa"/>
        <w:tblLayout w:type="fixed"/>
        <w:tblCellMar>
          <w:top w:w="28" w:type="dxa"/>
          <w:left w:w="28" w:type="dxa"/>
          <w:bottom w:w="28" w:type="dxa"/>
          <w:right w:w="28" w:type="dxa"/>
        </w:tblCellMar>
      </w:tblPr>
      <w:tblGrid>
        <w:gridCol w:w="1754"/>
        <w:gridCol w:w="1539"/>
        <w:gridCol w:w="1551"/>
        <w:gridCol w:w="291"/>
        <w:gridCol w:w="1219"/>
        <w:gridCol w:w="140"/>
        <w:gridCol w:w="109"/>
        <w:gridCol w:w="109"/>
        <w:gridCol w:w="109"/>
        <w:gridCol w:w="360"/>
        <w:gridCol w:w="1509"/>
        <w:gridCol w:w="245"/>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IRA vendor rebates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164,721 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152,036 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Prepaid taxes</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27,443 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27,319 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prepaid expenses and other current assets</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217,126 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201,108 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Contingent consideration</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shows the components of contingent consideration (in thousands):</w:t>
      </w:r>
    </w:p>
    <w:tbl>
      <w:tblPr>
        <w:tblW w:w="9252" w:type="dxa"/>
        <w:jc w:val="left"/>
        <w:tblInd w:w="0" w:type="dxa"/>
        <w:tblLayout w:type="fixed"/>
        <w:tblCellMar>
          <w:top w:w="28" w:type="dxa"/>
          <w:left w:w="28" w:type="dxa"/>
          <w:bottom w:w="28" w:type="dxa"/>
          <w:right w:w="28" w:type="dxa"/>
        </w:tblCellMar>
      </w:tblPr>
      <w:tblGrid>
        <w:gridCol w:w="1871"/>
        <w:gridCol w:w="1643"/>
        <w:gridCol w:w="1646"/>
        <w:gridCol w:w="321"/>
        <w:gridCol w:w="1174"/>
        <w:gridCol w:w="155"/>
        <w:gridCol w:w="109"/>
        <w:gridCol w:w="109"/>
        <w:gridCol w:w="109"/>
        <w:gridCol w:w="395"/>
        <w:gridCol w:w="1447"/>
        <w:gridCol w:w="273"/>
      </w:tblGrid>
      <w:tr>
        <w:trPr/>
        <w:tc>
          <w:tcPr>
            <w:tcW w:w="187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TRA</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Earnout Consideration</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11,794 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Total current portion of contingent consideration</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TRA</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5,495 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Earnout Consideration</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7,244 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Total contingent consideration, net of current portion</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12,739 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Accrued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Accrued expenses consisted of the following (in thousands):</w:t>
      </w:r>
    </w:p>
    <w:tbl>
      <w:tblPr>
        <w:tblW w:w="6761" w:type="dxa"/>
        <w:jc w:val="left"/>
        <w:tblInd w:w="0" w:type="dxa"/>
        <w:tblLayout w:type="fixed"/>
        <w:tblCellMar>
          <w:top w:w="28" w:type="dxa"/>
          <w:left w:w="28" w:type="dxa"/>
          <w:bottom w:w="28" w:type="dxa"/>
          <w:right w:w="28" w:type="dxa"/>
        </w:tblCellMar>
      </w:tblPr>
      <w:tblGrid>
        <w:gridCol w:w="966"/>
        <w:gridCol w:w="850"/>
        <w:gridCol w:w="853"/>
        <w:gridCol w:w="321"/>
        <w:gridCol w:w="1174"/>
        <w:gridCol w:w="155"/>
        <w:gridCol w:w="109"/>
        <w:gridCol w:w="109"/>
        <w:gridCol w:w="109"/>
        <w:gridCol w:w="395"/>
        <w:gridCol w:w="1447"/>
        <w:gridCol w:w="273"/>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payables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18,931 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14,185 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payroll expenses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23,420 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17,135 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interest</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5,564 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Other accrued expenses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17,405 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expenses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62,777 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54,289 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fourth quarter of 2025, the Company approved a plan to resize certain aspects of its international operations to better align its cost structure with future business needs. The Company’s severance liabilities totaled $1.2 million as of both March 31, 2026 and December 31, 2025 and are included in Accrued expenses in the Company’s condensed consolidated balance sheets. The Company did not make any payments against the liabilities or recognize a change in the estimated severance provision. The Company expects the reorganization to be substantially complete in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Leases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right-of-use (“ROU”) assets and lease liabilities (in thousands):</w:t>
      </w:r>
    </w:p>
    <w:tbl>
      <w:tblPr>
        <w:tblW w:w="10205" w:type="dxa"/>
        <w:jc w:val="left"/>
        <w:tblInd w:w="0" w:type="dxa"/>
        <w:tblLayout w:type="fixed"/>
        <w:tblCellMar>
          <w:top w:w="28" w:type="dxa"/>
          <w:left w:w="28" w:type="dxa"/>
          <w:bottom w:w="28" w:type="dxa"/>
          <w:right w:w="28" w:type="dxa"/>
        </w:tblCellMar>
      </w:tblPr>
      <w:tblGrid>
        <w:gridCol w:w="2443"/>
        <w:gridCol w:w="2007"/>
        <w:gridCol w:w="2025"/>
        <w:gridCol w:w="109"/>
        <w:gridCol w:w="109"/>
        <w:gridCol w:w="109"/>
        <w:gridCol w:w="273"/>
        <w:gridCol w:w="1000"/>
        <w:gridCol w:w="132"/>
        <w:gridCol w:w="109"/>
        <w:gridCol w:w="109"/>
        <w:gridCol w:w="109"/>
        <w:gridCol w:w="311"/>
        <w:gridCol w:w="1141"/>
        <w:gridCol w:w="219"/>
      </w:tblGrid>
      <w:tr>
        <w:trPr/>
        <w:tc>
          <w:tcPr>
            <w:tcW w:w="244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Finance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48,265 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48,791 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Operating lease ROU assets, including $24,919 and $26,419, respectively, from leases with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46,266 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48,297 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94,531 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97,088 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Operating lease liabilities, current portion, including $602 and $592, respectively, from leases with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7,587 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7,662 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Finance lease liabilities, 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43,080 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Operating lease liabilities, long-term portion, including $25,066 and $26,050, respectively, from leases with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46,117 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47,288 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89,552 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5.</w:t>
      </w:r>
      <w:r>
        <w:rPr>
          <w:color w:val="000000"/>
        </w:rPr>
        <w:t>    </w:t>
      </w:r>
      <w:r>
        <w:rPr>
          <w:rFonts w:ascii="Arial;sans-serif" w:hAnsi="Arial;sans-serif"/>
          <w:b/>
          <w:color w:val="000000"/>
          <w:sz w:val="22"/>
        </w:rPr>
        <w:t xml:space="preserve">Property, Plant and Equipment, Net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net consisted of the following (in thousands, except useful lives): </w:t>
      </w:r>
    </w:p>
    <w:tbl>
      <w:tblPr>
        <w:tblW w:w="10205" w:type="dxa"/>
        <w:jc w:val="left"/>
        <w:tblInd w:w="0" w:type="dxa"/>
        <w:tblLayout w:type="fixed"/>
        <w:tblCellMar>
          <w:top w:w="28" w:type="dxa"/>
          <w:left w:w="28" w:type="dxa"/>
          <w:bottom w:w="28" w:type="dxa"/>
          <w:right w:w="28" w:type="dxa"/>
        </w:tblCellMar>
      </w:tblPr>
      <w:tblGrid>
        <w:gridCol w:w="1118"/>
        <w:gridCol w:w="985"/>
        <w:gridCol w:w="998"/>
        <w:gridCol w:w="976"/>
        <w:gridCol w:w="976"/>
        <w:gridCol w:w="978"/>
        <w:gridCol w:w="109"/>
        <w:gridCol w:w="109"/>
        <w:gridCol w:w="109"/>
        <w:gridCol w:w="304"/>
        <w:gridCol w:w="1112"/>
        <w:gridCol w:w="146"/>
        <w:gridCol w:w="109"/>
        <w:gridCol w:w="109"/>
        <w:gridCol w:w="109"/>
        <w:gridCol w:w="365"/>
        <w:gridCol w:w="1337"/>
        <w:gridCol w:w="256"/>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Land</w:t>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Buildings and land improvements</w:t>
            </w:r>
          </w:p>
        </w:tc>
        <w:tc>
          <w:tcPr>
            <w:tcW w:w="293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12,660 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12,482 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Manufacturing equipment</w:t>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45,201 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Furniture, fixtures and equipment</w:t>
            </w:r>
          </w:p>
        </w:tc>
        <w:tc>
          <w:tcPr>
            <w:tcW w:w="293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Vehicles</w:t>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Hardware</w:t>
            </w:r>
          </w:p>
        </w:tc>
        <w:tc>
          <w:tcPr>
            <w:tcW w:w="293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Construction in progress</w:t>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93,451 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88,545 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Less: accumulated depreciation</w:t>
            </w:r>
          </w:p>
        </w:tc>
        <w:tc>
          <w:tcPr>
            <w:tcW w:w="2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(30,320)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62,136 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58,225 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expense was $2.4 million and $1.1 million for the three months ended March 31, 2026 and 2025, respectively, of which $1.7 million and $0.6 million, respectively, was included in Cost of product and service revenue and $0.7 million and $0.5 million, respectively, was included in Depreciation and amortization on the accompanying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6.    Goodwill and Other Intangible Assets, Net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Goodwill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March 31, 2026, the aggregate carrying value of goodwill was $135.2 million, all attributable to the Array Legacy Operations segment, net of cumulative impairments of $51.9 million. There were no changes in the carrying amount of goodwill by segment during three months ended March 31, 2026.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tests goodwill for impairment annually or more frequently if facts or circumstances indicate that it is more likely than not that the fair value of its reporting units is less than its carrying value, which would require the Company to perform an interim goodwill impairment test. The Company did not identify any indicators of impairment as of March 31,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 Lived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assesses long-lived assets classified as “held and used,” including property, plant and equipment, lease assets and intangible assets for impairment whenever events or changes in circumstances arise, including consideration of technological obsolescence, that may indicate that the carrying amount of such assets may not be recoverable.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As of March 31, 2026, no events or circumstances were noted that would indicate the carrying amount of any of Array Legacy’s Operations or STI Operations assets may not be recoverable.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Intangible Assets,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Other intangible assets, net consisted of the following (in thousands, except useful lives): </w:t>
      </w:r>
    </w:p>
    <w:tbl>
      <w:tblPr>
        <w:tblW w:w="10205" w:type="dxa"/>
        <w:jc w:val="left"/>
        <w:tblInd w:w="0" w:type="dxa"/>
        <w:tblLayout w:type="fixed"/>
        <w:tblCellMar>
          <w:top w:w="28" w:type="dxa"/>
          <w:left w:w="28" w:type="dxa"/>
          <w:bottom w:w="28" w:type="dxa"/>
          <w:right w:w="28" w:type="dxa"/>
        </w:tblCellMar>
      </w:tblPr>
      <w:tblGrid>
        <w:gridCol w:w="1146"/>
        <w:gridCol w:w="940"/>
        <w:gridCol w:w="946"/>
        <w:gridCol w:w="982"/>
        <w:gridCol w:w="982"/>
        <w:gridCol w:w="984"/>
        <w:gridCol w:w="109"/>
        <w:gridCol w:w="109"/>
        <w:gridCol w:w="109"/>
        <w:gridCol w:w="279"/>
        <w:gridCol w:w="1172"/>
        <w:gridCol w:w="134"/>
        <w:gridCol w:w="109"/>
        <w:gridCol w:w="109"/>
        <w:gridCol w:w="109"/>
        <w:gridCol w:w="337"/>
        <w:gridCol w:w="1413"/>
        <w:gridCol w:w="236"/>
      </w:tblGrid>
      <w:tr>
        <w:trPr/>
        <w:tc>
          <w:tcPr>
            <w:tcW w:w="1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Amortizable:</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225,800 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225,800 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 and other</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29,817 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29,285 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228,980 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230,660 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22,318 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26,856 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27,139 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533,771 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535,519 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Accumulated amortization:</w:t>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144,409 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139,669 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 and other</w:t>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16,046 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132,758 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127,301 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21,006 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accumulated amortization</w:t>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319,150 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307,240 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 net</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214,621 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228,279 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Non-amortizable:</w:t>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intangible assets, net</w:t>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224,921 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238,579 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expense related to intangible assets was $13.0 million and $8.5 million for the three months ended March 31, 2026 and 2025, respectively, of which $5.6 million and $3.6 million, respectively, was included in Amortization of developed technology and backlog, a component of cost of revenue, and $7.4 million and $4.9 million, respectively, was included in Depreciation and amortization, on the accompanying condensed consolidated statements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Estimated future amortization expense of intangible assets as of March 31, 2026, is as follows (in thousands):</w:t>
      </w:r>
    </w:p>
    <w:tbl>
      <w:tblPr>
        <w:tblW w:w="3391" w:type="dxa"/>
        <w:jc w:val="left"/>
        <w:tblInd w:w="0" w:type="dxa"/>
        <w:tblLayout w:type="fixed"/>
        <w:tblCellMar>
          <w:top w:w="28" w:type="dxa"/>
          <w:left w:w="28" w:type="dxa"/>
          <w:bottom w:w="28" w:type="dxa"/>
          <w:right w:w="28" w:type="dxa"/>
        </w:tblCellMar>
      </w:tblPr>
      <w:tblGrid>
        <w:gridCol w:w="748"/>
        <w:gridCol w:w="657"/>
        <w:gridCol w:w="660"/>
        <w:gridCol w:w="226"/>
        <w:gridCol w:w="94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Remainder of 2026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2029</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2030</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214,621 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7.</w:t>
      </w:r>
      <w:r>
        <w:rPr>
          <w:color w:val="000000"/>
        </w:rPr>
        <w:t>    </w:t>
      </w:r>
      <w:r>
        <w:rPr>
          <w:rFonts w:ascii="Arial;sans-serif" w:hAnsi="Arial;sans-serif"/>
          <w:b/>
          <w:color w:val="000000"/>
          <w:sz w:val="22"/>
        </w:rPr>
        <w:t xml:space="preserve">Income Taxes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follows guidance under ASC Topic 740-270 </w:t>
      </w:r>
      <w:r>
        <w:rPr>
          <w:rFonts w:ascii="Arial;sans-serif" w:hAnsi="Arial;sans-serif"/>
          <w:b w:val="false"/>
          <w:i/>
          <w:color w:val="000000"/>
          <w:sz w:val="22"/>
        </w:rPr>
        <w:t>Income Taxes</w:t>
      </w:r>
      <w:r>
        <w:rPr>
          <w:rFonts w:ascii="Arial;sans-serif" w:hAnsi="Arial;sans-serif"/>
          <w:b w:val="false"/>
          <w:color w:val="000000"/>
          <w:sz w:val="22"/>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recorded income tax expense of $2.1 million and $6.5 million for the three months ended March 31, 2026 and 2025, respectively. The income tax expense for the three months ended March 31, 2026 was impacted favorably by a higher mix of U.S. profits and tax credits recorded during the period. Additionally, discrete tax items for the quarter resulted in a $1.3 million net tax expense related to equity-based compensation, tax reserve releases and a change in state deferred tax assets. The income tax expense for the three months ended March 31, 2025 was impacted favorably by lower profits in non-U.S. jurisdictions and additional tax credits recorded during the period.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March 31, 2026 and December 31, 2025, the balance of reserves for uncertain tax positions was $0.8 million for both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8.</w:t>
      </w:r>
      <w:r>
        <w:rPr>
          <w:color w:val="000000"/>
        </w:rPr>
        <w:t>    </w:t>
      </w:r>
      <w:r>
        <w:rPr>
          <w:rFonts w:ascii="Arial;sans-serif" w:hAnsi="Arial;sans-serif"/>
          <w:b/>
          <w:color w:val="000000"/>
          <w:sz w:val="22"/>
        </w:rPr>
        <w:t xml:space="preserve">Debt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total debt (in thousands):</w:t>
      </w:r>
    </w:p>
    <w:tbl>
      <w:tblPr>
        <w:tblW w:w="8831" w:type="dxa"/>
        <w:jc w:val="left"/>
        <w:tblInd w:w="0" w:type="dxa"/>
        <w:tblLayout w:type="fixed"/>
        <w:tblCellMar>
          <w:top w:w="28" w:type="dxa"/>
          <w:left w:w="28" w:type="dxa"/>
          <w:bottom w:w="28" w:type="dxa"/>
          <w:right w:w="28" w:type="dxa"/>
        </w:tblCellMar>
      </w:tblPr>
      <w:tblGrid>
        <w:gridCol w:w="1718"/>
        <w:gridCol w:w="1506"/>
        <w:gridCol w:w="1516"/>
        <w:gridCol w:w="291"/>
        <w:gridCol w:w="1219"/>
        <w:gridCol w:w="140"/>
        <w:gridCol w:w="109"/>
        <w:gridCol w:w="109"/>
        <w:gridCol w:w="109"/>
        <w:gridCol w:w="360"/>
        <w:gridCol w:w="1509"/>
        <w:gridCol w:w="245"/>
      </w:tblGrid>
      <w:tr>
        <w:trPr/>
        <w:tc>
          <w:tcPr>
            <w:tcW w:w="171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Revolving credit facility</w:t>
            </w:r>
          </w:p>
        </w:tc>
        <w:tc>
          <w:tcPr>
            <w:tcW w:w="29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2028 Convertible notes</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2031 Convertible notes</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Other debt</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12,802 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principal</w:t>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679,464 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682,802 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 total</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(13,042)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(13,823)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(10,315)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long-term debt, net of current portion</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656,958 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658,664 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Senior Secured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 entered into a credit agreement (as amended, the “Credit Agreement”) governing the Company’s senior secured credit facility, consisting of (i) a $575 million senior secured seven-year term loan facility (the “Term Loan Facility”) and (ii) a $200 million senior secured five-year revolving credit facility (the “Revolving Credit Facility” and, together with the Term Loan Facility, the “Senior Secured Credit Facility”). The Credit Agreement was amended on February 23, 2021, February 26, 2021, March 2, 2023, and May 1, 2025 (the “Fourth Amendment”). During the second quarter of 2025, the Company repaid in full the remaining balance of the Term Loan Facility.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February 18, 2026, the Company (the “Borrower”) entered into an amendment to the Credit Agreement (the “Fifth Amendment”), by and among the Borrower, the Company’s wholly-owned subsidiary ATI Investment Sub, Inc., as holdings (“Holdings”), Goldman Sachs Bank USA, as administrative agent and collateral agent, and the Lenders (as defined in the Fifth Amendment). The Fifth Amendment: (i) increases the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commitments under the Fourth Amendment from $166 million to $370.0 million; (ii) extends the maturity of the revolving credit facility from October 14, 2028 to February 18, 2031; (iii) removes the credit spread adjustment with respect to Term SOFR (as defined in the Credit Agreement); and (iv) expands the number of currencies under which the Borrower can request revolving credit loans and letters of credit.</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Revolving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had no outstanding balance under the Revolving Credit Facility at both March 31, 2026 and December 31, 2025. At March 31, 2026 and December 31, 2025 the Company had $27.9 million and $28.1 million, respectively, in standby letters of credit, and $342.1 million and $137.9 million, respectively, available to withdraw against total commitments under the Revolving Credit Facility of $370.0 million and $166.0 million, respectively. The Revolving Credit Facility incurs interest at the Company’s election, at either (x) for SOFR Loans at Adjusted Term SOFR (as defined in the Credit Agreement) plus 3.25% or (y) for Base Rate Loans at the higher of the Prime Rate (each as defined in the Credit Agreement), one half of 1.00% above the Federal Funds Rate (as defined in the Credit Agreement) or the Adjusted Term SOFR for one-month interest period, after giving effect to any floor plus 1.00%, plus 2.25%.</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Convertible Notes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December 3, 2021 and December 9, 2021, the Company completed a $425.0 million private offering ($375.0 million and $50.0 million, respectively), of its 1.00% Convertible Senior Notes due 2028 (the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27, 2025, the Company issued aggregate principal amount of $345.0 million of its 2.875% Convertible Senior Notes due 2031 (the “2031 Convertible Notes” and, together with the 2028 Convertible Notes, the “Convertible Notes”) in a private placement. The Company used approximately $78.4 million of the proceeds from the 2031 Convertible Notes to repurchase $100.0 million aggregate principal amount of the 2028 Convertible Notes. The Company incurred $10.4 million of initial purchasers’ discounts and offering expenses, resulting in net proceeds of $334.6 million. The 2031 Convertible Notes were issued pursuant to an indenture, dated June 27, 2025, between the Company and U.S. Bank Trust Company, National Association, as trustee (the “2031 Indenture”). 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net carrying amount of the Convertible Notes was as follows (in thousands):</w:t>
      </w:r>
    </w:p>
    <w:tbl>
      <w:tblPr>
        <w:tblW w:w="10205" w:type="dxa"/>
        <w:jc w:val="left"/>
        <w:tblInd w:w="0" w:type="dxa"/>
        <w:tblLayout w:type="fixed"/>
        <w:tblCellMar>
          <w:top w:w="28" w:type="dxa"/>
          <w:left w:w="28" w:type="dxa"/>
          <w:bottom w:w="28" w:type="dxa"/>
          <w:right w:w="28" w:type="dxa"/>
        </w:tblCellMar>
      </w:tblPr>
      <w:tblGrid>
        <w:gridCol w:w="711"/>
        <w:gridCol w:w="624"/>
        <w:gridCol w:w="631"/>
        <w:gridCol w:w="318"/>
        <w:gridCol w:w="1330"/>
        <w:gridCol w:w="153"/>
        <w:gridCol w:w="109"/>
        <w:gridCol w:w="109"/>
        <w:gridCol w:w="109"/>
        <w:gridCol w:w="318"/>
        <w:gridCol w:w="1330"/>
        <w:gridCol w:w="153"/>
        <w:gridCol w:w="109"/>
        <w:gridCol w:w="109"/>
        <w:gridCol w:w="109"/>
        <w:gridCol w:w="318"/>
        <w:gridCol w:w="1330"/>
        <w:gridCol w:w="153"/>
        <w:gridCol w:w="109"/>
        <w:gridCol w:w="109"/>
        <w:gridCol w:w="109"/>
        <w:gridCol w:w="313"/>
        <w:gridCol w:w="1317"/>
        <w:gridCol w:w="22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2028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Arial;sans-serif" w:hAnsi="Arial;sans-serif"/>
                <w:b/>
                <w:color w:val="000000"/>
                <w:sz w:val="22"/>
              </w:rPr>
            </w:pPr>
            <w:r>
              <w:rPr>
                <w:rFonts w:ascii="Arial;sans-serif" w:hAnsi="Arial;sans-serif"/>
                <w:b/>
                <w:color w:val="000000"/>
                <w:sz w:val="22"/>
              </w:rPr>
              <w:t>2031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2028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Arial;sans-serif" w:hAnsi="Arial;sans-serif"/>
                <w:b/>
                <w:color w:val="000000"/>
                <w:sz w:val="22"/>
              </w:rPr>
            </w:pPr>
            <w:r>
              <w:rPr>
                <w:rFonts w:ascii="Arial;sans-serif" w:hAnsi="Arial;sans-serif"/>
                <w:b/>
                <w:color w:val="000000"/>
                <w:sz w:val="22"/>
              </w:rPr>
              <w:t>2031 Convertible Notes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Principal</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Unamortized issuance costs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(3,909)</w:t>
            </w:r>
          </w:p>
        </w:tc>
        <w:tc>
          <w:tcPr>
            <w:tcW w:w="153"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(9,133)</w:t>
            </w:r>
          </w:p>
        </w:tc>
        <w:tc>
          <w:tcPr>
            <w:tcW w:w="153"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(4,267)</w:t>
            </w:r>
          </w:p>
        </w:tc>
        <w:tc>
          <w:tcPr>
            <w:tcW w:w="153"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(9,556)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Net carrying amount</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321,091 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335,867 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320,733 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335,444 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Neither the 2028 Convertible Notes nor the 2031 Convertible Notes were convertible during the three months ended March 31, 2026, and none have been converted to date. As the average market price of the Company’s common stock has not exceeded the applicable conversion prices, there was no dilutive impact from either series of Convertible Notes for the three months ended March 31,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connection with the issuances of the Convertible Notes, the Company entered into separate capped call transactions with certain financial institutions. The capped calls are designed to reduce potential dilution to the Company’s common stockholders upon conversion of the related series of Convertible Notes and/or offset any cash payments the Company may be required to make in excess of the principal amount of the 2028 Convertible Notes or 2031 Convertible Notes, as applicable.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summarizes the key terms of the capped calls issued in connection with the 2028 Convertible Notes (the “2028 Capped Calls”) and the capped calls issued in connection with the 2031 Convertible Notes (the “2031 Capped Calls”, together with the 2028 Capped Calls, the “Capped Calls”): </w:t>
      </w:r>
    </w:p>
    <w:tbl>
      <w:tblPr>
        <w:tblW w:w="10205" w:type="dxa"/>
        <w:jc w:val="left"/>
        <w:tblInd w:w="0" w:type="dxa"/>
        <w:tblLayout w:type="fixed"/>
        <w:tblCellMar>
          <w:top w:w="28" w:type="dxa"/>
          <w:left w:w="28" w:type="dxa"/>
          <w:bottom w:w="28" w:type="dxa"/>
          <w:right w:w="28" w:type="dxa"/>
        </w:tblCellMar>
      </w:tblPr>
      <w:tblGrid>
        <w:gridCol w:w="653"/>
        <w:gridCol w:w="574"/>
        <w:gridCol w:w="576"/>
        <w:gridCol w:w="109"/>
        <w:gridCol w:w="109"/>
        <w:gridCol w:w="109"/>
        <w:gridCol w:w="364"/>
        <w:gridCol w:w="947"/>
        <w:gridCol w:w="178"/>
        <w:gridCol w:w="109"/>
        <w:gridCol w:w="109"/>
        <w:gridCol w:w="109"/>
        <w:gridCol w:w="879"/>
        <w:gridCol w:w="879"/>
        <w:gridCol w:w="882"/>
        <w:gridCol w:w="109"/>
        <w:gridCol w:w="109"/>
        <w:gridCol w:w="109"/>
        <w:gridCol w:w="391"/>
        <w:gridCol w:w="1224"/>
        <w:gridCol w:w="188"/>
        <w:gridCol w:w="109"/>
        <w:gridCol w:w="109"/>
        <w:gridCol w:w="109"/>
        <w:gridCol w:w="240"/>
        <w:gridCol w:w="752"/>
        <w:gridCol w:w="170"/>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Premium Paid</w:t>
            </w:r>
          </w:p>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Number of Shares Covered</w:t>
            </w:r>
          </w:p>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Initial Strike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Cap Price</w:t>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2028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2031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initial strike and cap prices are subject to customary anti-dilution adjustments. The 2028 Capped Calls are scheduled to expire on December 1, 2028 and the 2031 Capped Calls are scheduled to expire on July 1, 2031. In connection with the early extinguishment of a portion of the 2028 Convertible Notes, none of the 2028 Capped Calls were settled, and the Company has not unwound, terminated, or otherwise adjusted any portion of these instruments.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issuance of each of the Capped Calls,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If the Convertible Notes are converted, the number of shares to be issued by the Company would be effectively partially offset by the shares of common stock received by the Company under the Capped Calls, thereby mitigating dilution. The Capped Calls are subject to termination or adjustment upon the occurrence of certain events, including mergers, tender offers, nationalization, insolvency, delisting of the Company’s common stock, events of default, changes in law, failure to deliver, stock splits, combinations, dividends, repurchases, or early conversion of the Convertible Notes.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Debt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consists of the debt obligations of STI Operations (“Other Debt”). Interest rates on Other Debt are based EURIBOR plus a spread and range from 2.5% to 3.0% annually. As of March 31, 2026, the entire $9.5 million aggregate carrying value of these debt obligations was denominated in Euros. These debt obligations mature between 2026 and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9.</w:t>
      </w:r>
      <w:r>
        <w:rPr>
          <w:color w:val="000000"/>
        </w:rPr>
        <w:t>    </w:t>
      </w:r>
      <w:r>
        <w:rPr>
          <w:rFonts w:ascii="Arial;sans-serif" w:hAnsi="Arial;sans-serif"/>
          <w:b/>
          <w:color w:val="000000"/>
          <w:sz w:val="22"/>
        </w:rPr>
        <w:t>Redeemable Perpetual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entered into a Securities Purchase Agreement (the “Series A Purchase Agreement”), dated August 10, 2021, pursuant to which the Company issued 400,000 shares of its Series A Redeemable Perpetual Preferred Stock (the “Series A Shares”) and 9,000,000 shares of the Company’s common stock for an aggregate purchase price of approximately $395.4 million (the “Closing”). The Series A Shares have no maturity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has classified the Series A Shares as temporary equity and is accreting the carrying amount to its full redemption amount from the date of issuance to the earliest redemption date using the effective interest method. Such accretion totaled $7.9 million and $7.2 million for the three months ended March 31, 2026 and 2025,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issuance, the Company evaluated the accounting for the instruments issued pursuant to the Series A Purchase Agreement and determined the Series A Shares and common stock issued in the Closing are freestanding instruments that are classified in equity.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Dividends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or prior to the fifth anniversary of the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Closing, dividends are payable only in cash. To the extent the Company does not declare such dividends and pay in cash following the fifth anniversary of the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(A) the amount of Default Accrued Dividends divided by (B) 95% of the 30-day VWAP of the Company’s common stock (“Non-Cash Dividend”).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Regular Dividend Rate” of the Series A Shares means: (i) initially, 5.75% per annum on the Liquidation Preference; and (ii) increased by (A) 50 basis points on each of the fifth, sixth and seventh anniversaries of the Closing and (B) 100 basis points on each of the eighth, ninth and tenth anniversaries of the Closing. The “Accrued Regular Dividend Rate” on the Series A Shares means 6.25% per annum on the Liquidation Preference.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used herein, “Liquidation Preference” means, with respect to the Series A Shares, the initial liquidation preference of $1,000 per share, plus accrued dividends of such share at the time of the determination.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three months ended March 31, 2026 and 2025, the Company accrued dividends on the Series A Shares at the Accrued Regular Dividend rate of 6.25% totaling $7.7 million and $7.2 million, respectively. As of March 31, 2026 and December 31, 2025, total accrued and unpaid dividends were $98.5 million and $90.8 million,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The Series A Shares have similar characteristics of an “Increasing Rate Security” as described by SEC Staff Accounting Bulletin Topic 5Q, </w:t>
      </w:r>
      <w:r>
        <w:rPr>
          <w:rFonts w:ascii="Arial;sans-serif" w:hAnsi="Arial;sans-serif"/>
          <w:b w:val="false"/>
          <w:i/>
          <w:color w:val="000000"/>
          <w:sz w:val="22"/>
        </w:rPr>
        <w:t>Increasing Rate Preferred Stock</w:t>
      </w:r>
      <w:r>
        <w:rPr>
          <w:rFonts w:ascii="Arial;sans-serif" w:hAnsi="Arial;sans-serif"/>
          <w:b w:val="false"/>
          <w:color w:val="000000"/>
          <w:sz w:val="22"/>
        </w:rPr>
        <w:t xml:space="preserve">.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10.</w:t>
      </w:r>
      <w:r>
        <w:rPr>
          <w:color w:val="000000"/>
        </w:rPr>
        <w:t>    </w:t>
      </w:r>
      <w:r>
        <w:rPr>
          <w:rFonts w:ascii="Arial;sans-serif" w:hAnsi="Arial;sans-serif"/>
          <w:b/>
          <w:color w:val="000000"/>
          <w:sz w:val="22"/>
        </w:rPr>
        <w:t xml:space="preserve">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disaggregates its revenue from contracts with customers by sales recorded over time and sales recorded at a point in time. The following table presents the Company’s disaggregated revenues (in thousands):    </w:t>
      </w:r>
    </w:p>
    <w:tbl>
      <w:tblPr>
        <w:tblW w:w="7375" w:type="dxa"/>
        <w:jc w:val="left"/>
        <w:tblInd w:w="0" w:type="dxa"/>
        <w:tblLayout w:type="fixed"/>
        <w:tblCellMar>
          <w:top w:w="28" w:type="dxa"/>
          <w:left w:w="28" w:type="dxa"/>
          <w:bottom w:w="28" w:type="dxa"/>
          <w:right w:w="28" w:type="dxa"/>
        </w:tblCellMar>
      </w:tblPr>
      <w:tblGrid>
        <w:gridCol w:w="782"/>
        <w:gridCol w:w="688"/>
        <w:gridCol w:w="690"/>
        <w:gridCol w:w="109"/>
        <w:gridCol w:w="109"/>
        <w:gridCol w:w="243"/>
        <w:gridCol w:w="243"/>
        <w:gridCol w:w="504"/>
        <w:gridCol w:w="2111"/>
        <w:gridCol w:w="243"/>
        <w:gridCol w:w="109"/>
        <w:gridCol w:w="109"/>
        <w:gridCol w:w="109"/>
        <w:gridCol w:w="226"/>
        <w:gridCol w:w="94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653"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Over-time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ind w:left="0" w:right="0" w:hanging="20"/>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172,051 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261,622 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Point in time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ind w:left="0" w:right="0" w:hanging="20"/>
              <w:jc w:val="left"/>
              <w:rPr>
                <w:sz w:val="4"/>
                <w:szCs w:val="4"/>
              </w:rPr>
            </w:pPr>
            <w:r>
              <w:rPr>
                <w:sz w:val="4"/>
                <w:szCs w:val="4"/>
              </w:rPr>
            </w:r>
          </w:p>
        </w:tc>
        <w:tc>
          <w:tcPr>
            <w:tcW w:w="261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51,361 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ind w:left="0" w:right="0" w:hanging="20"/>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223,412 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302,363 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Contract Balances </w:t>
      </w:r>
    </w:p>
    <w:p>
      <w:pPr>
        <w:pStyle w:val="TextBody"/>
        <w:bidi w:val="0"/>
        <w:spacing w:lineRule="auto" w:line="300" w:before="0" w:after="0"/>
        <w:jc w:val="both"/>
        <w:rPr/>
      </w:pPr>
      <w:r>
        <w:rPr>
          <w:rFonts w:ascii="Arial;sans-serif" w:hAnsi="Arial;sans-serif"/>
          <w:b w:val="false"/>
          <w:color w:val="000000"/>
          <w:sz w:val="22"/>
        </w:rPr>
        <w:t>The timing of revenue recognition, billings and cash collections result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w:t>
      </w:r>
      <w:r>
        <w:rPr>
          <w:color w:val="FF0000"/>
        </w:rPr>
        <w:t xml:space="preserve"> </w:t>
      </w:r>
      <w:r>
        <w:rPr>
          <w:rFonts w:ascii="Arial;sans-serif" w:hAnsi="Arial;sans-serif"/>
          <w:b w:val="false"/>
          <w:color w:val="000000"/>
          <w:sz w:val="22"/>
        </w:rPr>
        <w:t>Billing sometimes occurs subsequent to revenue recognition, resulting in contract assets. The changes in contract assets and the corresponding amounts recorded in Revenue relate to fluctuations in the timing and volume of billings.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assets consisting of unbilled receivables are recorded within Accounts receivable, net on the condensed consolidated balance sheets on a contract-by-contract basis at the end of the reporting period. At March 31, 2026 and December 31, 2025, unbilled receivables totaled $110.5 million and $92.8 million,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also receives advances or deposits from its customers prior to the recognition of revenue, resulting in contract liabilities. The changes in contract liabilities (i.e., deferred revenue) relate to advanced orders and payments received by the Company. Contract liabilities, consisting of deferred revenue recorded on a contract</w:t>
        <w:noBreakHyphen/>
        <w:t>by</w:t>
        <w:noBreakHyphen/>
        <w:t>contract basis, totaled $138.5 million and $128.4 million as of March 31, 2026 and December 31, 2025, respectively, for the current portion, and are presented within Deferred revenue on the condensed consolidated balance sheets. The long</w:t>
        <w:noBreakHyphen/>
        <w:t>term portion of deferred revenue was $31.4 million and $16.8 million as of March 31, 2026 and December 31, 2025, respectively, and is presented within Other long</w:t>
        <w:noBreakHyphen/>
        <w:t xml:space="preserve">term liabilities.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three months ended March 31, 2026, the Company converted $25.2 million in deferred revenue to revenue, which represented 17% of the prior year’s deferred revenue balance. Included in Deferred revenue as of December 31, 2025 are cash advances for signed contracts that begin several months subsequent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receiving the advance. In addition, Deferred revenue includes paid extended warranty, which can be recognized upon expiration of the warranty.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Remaining Performance Obligations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March 31, 2026, the Company had $544.0 million of remaining performance obligations. The Company expects to recognize revenue on 94% of these performance obligations in the next twelve months.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11.    (Loss) Earnings Per Share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sets forth the computation of basic and diluted income per share (in thousands, except per share amounts): </w:t>
      </w:r>
    </w:p>
    <w:tbl>
      <w:tblPr>
        <w:tblW w:w="10090" w:type="dxa"/>
        <w:jc w:val="left"/>
        <w:tblInd w:w="0" w:type="dxa"/>
        <w:tblLayout w:type="fixed"/>
        <w:tblCellMar>
          <w:top w:w="28" w:type="dxa"/>
          <w:left w:w="28" w:type="dxa"/>
          <w:bottom w:w="28" w:type="dxa"/>
          <w:right w:w="28" w:type="dxa"/>
        </w:tblCellMar>
      </w:tblPr>
      <w:tblGrid>
        <w:gridCol w:w="1809"/>
        <w:gridCol w:w="1588"/>
        <w:gridCol w:w="1598"/>
        <w:gridCol w:w="109"/>
        <w:gridCol w:w="109"/>
        <w:gridCol w:w="248"/>
        <w:gridCol w:w="248"/>
        <w:gridCol w:w="514"/>
        <w:gridCol w:w="2086"/>
        <w:gridCol w:w="248"/>
        <w:gridCol w:w="109"/>
        <w:gridCol w:w="109"/>
        <w:gridCol w:w="109"/>
        <w:gridCol w:w="226"/>
        <w:gridCol w:w="82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Less: preferred dividends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15,537 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(loss) income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(13,540)</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Arial;sans-serif" w:hAnsi="Arial;sans-serif"/>
                <w:b w:val="false"/>
                <w:color w:val="000000"/>
                <w:sz w:val="22"/>
              </w:rPr>
              <w:t>(Loss)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ind w:left="0" w:right="0" w:hanging="20"/>
              <w:jc w:val="left"/>
              <w:rPr>
                <w:sz w:val="4"/>
                <w:szCs w:val="4"/>
              </w:rPr>
            </w:pPr>
            <w:r>
              <w:rPr>
                <w:sz w:val="4"/>
                <w:szCs w:val="4"/>
              </w:rPr>
            </w:r>
          </w:p>
        </w:tc>
        <w:tc>
          <w:tcPr>
            <w:tcW w:w="5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0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(0.09)</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restricted stock and performance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(Loss)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ind w:left="0" w:right="0" w:hanging="20"/>
              <w:jc w:val="left"/>
              <w:rPr>
                <w:sz w:val="4"/>
                <w:szCs w:val="4"/>
              </w:rPr>
            </w:pPr>
            <w:r>
              <w:rPr>
                <w:sz w:val="4"/>
                <w:szCs w:val="4"/>
              </w:rPr>
            </w:r>
          </w:p>
        </w:tc>
        <w:tc>
          <w:tcPr>
            <w:tcW w:w="5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0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(0.09)</w:t>
            </w:r>
          </w:p>
        </w:tc>
        <w:tc>
          <w:tcPr>
            <w:tcW w:w="2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Since the Company had a Net loss to common stockholders for the three months ended March 31, 2026, basic net loss per share to common stockholders is the same as diluted net loss per share to common stockholders, as the inclusion of all potential shares of common stock outstanding would have been anti-dilutive. As such, 6,831,154</w:t>
      </w:r>
      <w:r>
        <w:rPr>
          <w:color w:val="000000"/>
        </w:rPr>
        <w:t xml:space="preserve"> </w:t>
      </w:r>
      <w:r>
        <w:rPr>
          <w:rFonts w:ascii="Arial;sans-serif" w:hAnsi="Arial;sans-serif"/>
          <w:b w:val="false"/>
          <w:color w:val="000000"/>
          <w:sz w:val="22"/>
        </w:rPr>
        <w:t>shares of common stock equivalents were excluded from the calculation of diluted net loss per share during the three months ended March 31, 2026, as they had an antidilutive effect.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Potentially dilutive common shares issuable pursuant to equity-based awards of 1,107,733</w:t>
      </w:r>
      <w:r>
        <w:rPr>
          <w:color w:val="000000"/>
        </w:rPr>
        <w:t xml:space="preserve"> </w:t>
      </w:r>
      <w:r>
        <w:rPr>
          <w:rFonts w:ascii="Arial;sans-serif" w:hAnsi="Arial;sans-serif"/>
          <w:b w:val="false"/>
          <w:color w:val="000000"/>
          <w:sz w:val="22"/>
        </w:rPr>
        <w:t>were excluded from the computation of diluted earnings per share for the three months ended March 31, 2025, as their effect would have been antidilutive.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there were no potentially dilutive common shares issuable pursuant to the Convertible Notes for both the three months ended March 31, 2026 and 2025, as the average market price of the Company’s common stock did not exceed the applicable conversion price during those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12.</w:t>
      </w:r>
      <w:r>
        <w:rPr>
          <w:color w:val="000000"/>
        </w:rPr>
        <w:t>    </w:t>
      </w:r>
      <w:r>
        <w:rPr>
          <w:rFonts w:ascii="Arial;sans-serif" w:hAnsi="Arial;sans-serif"/>
          <w:b/>
          <w:color w:val="000000"/>
          <w:sz w:val="22"/>
        </w:rPr>
        <w:t xml:space="preserve">Commitments and Contingencies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Legal Proceedings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in the normal course of business, is subject to claims and litigation. The Company reviews the status of each matter and assesses its potential financial exposure. If the potential loss from any claim or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proceeding is considered probable and the amount can be reasonably estimated, the Company would accrue a liability for the estimated loss.</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Plymouth Class Action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May 14, 2021, a putative class action (the “Plymouth Action”) was filed in the U.S. District Court for the Southern District of New York (the “District Court”) against the Company and certain officers and directors alleging violations of Sections 10(b) and 20(a) of the Securities Exchange Act of 1934, as amended (the “Exchange Act”), and Rule 10b-5, promulgated thereunder, and Sections 11, 12(a)(2) and 15 of the Securities Act of 1933, as amended (the “Securities Act”). 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 A consolidated amended class action complaint was filed on December 7, 2021.</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 On August 4, 2023, the lead plaintiffs filed a notice of appeal of the court’s dismissal of the consolidated amended complaint to the U.S. Court of Appeals for the Second Circuit. After full briefing, the court of appeals heard oral argument on June 26, 2024. On March 24, 2026, the Second Circuit issued a summary order affirming the District Court's dismissal of the Plymouth Action with prejudice.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Derivative Complaints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Southern District of New York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16, 2021, a verified derivative complaint was filed in the Southern District of New York against certain officers and directors of the Company. The complaint alleged: (i) violations of Section 14(a) of the Exchange Act for misleading proxy statements; (ii) breach of fiduciary duty; (iii) unjust enrichment; (iv) abuse of control; (v) gross mismanagement; (vi) corporate waste; (vii) aiding and abetting breach of fiduciary duty; and (viii) contribution under Sections 10(b) and 21D of the Exchange 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30, 2021, a second verified derivative complaint was filed in the Southern District of New York against certain officers and directors of the Company. The complaint alleged: (i) violations of Section 14(a) of the Exchange Act for causing the issuance of a false/misleading proxy statement; (ii) breach of fiduciary duty; and (iii) aiding and abetting breaches of fiduciary duty.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24, 2021, the Southern District of New York derivative actions were consolidated, and the court appointed co-lead counsel. On April 28, 2026, the District Court entered a stipulation and order submitted by the parties voluntarily dismissing the New York derivative action in light of the Second Circuit Court of Appeals’ affirmance of the dismissal of the Plymouth Action with prejudice.</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Delaware Court of Chancery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3, 2022, a verified derivative complaint was filed in the Court of Chancery of the State of Delaware against certain officers and directors of the Company, asserting claims for: (i) breach of fiduciary duty; and (ii) unjust enrichment. The derivative plaintiff in this action seeks: an award of compensatory damages in favor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restitution from the defendants and disgorgement of profits, benefits, and other compensation obtained by the defendants; an order directing the Company to reform its corporate governance and internal procedures; equitable or injunctive relief as permitted by law and equity; and the costs and disbursements of the action, including attorneys’ fees.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11, 2022, a second verified derivative complaint was filed with the Court of Chancery against certain officers and directors of the Company, asserting claims for: (i) breach of fiduciary duty; (ii) aiding and abetting breaches of fiduciary duty; (iii) waste of corporate assets; (iv) unjust enrichment; (v) insider selling; and (vi) aiding and abetting insider selling. The derivative plaintiff in this action seeks: declaratory relief; an award of compensatory damages in favor of the Company; disgorgement of profits obtained from certain sales of Company stock by certain of the defendants; establishment of a constructive trust over certain amounts obtained by certain of the defendants; and the costs and disbursements of the action, including attorneys’ fees.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derivative cases with the Court of Chancery were consolidated and the court appointed co-lead counsel. The consolidated cases remain stayed pending the outcome of the appeal of the Plymouth Action.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Sterling and Wilson Solar Solutions, Inc. (“SWSS”) vs. Array Technologies, Inc.</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September 16, 2025, Sterling &amp; Wilson Solar Solutions Inc. (“SWSS”) served an arbitration demand (the “Demand”) on the Company asserting contractual and negligence claims purportedly arising out of the Company’s provision of goods for use in a solar project in Bickleton, Washington. The Company filed its Answer on October 30, 2025, and asserted defenses, including that (i) SWSS’s claims are barred by applicable contractual limitations provisions and statutes of limitations, and (ii) are otherwise unsupported. In February 2026, SWSS filed a statement of claims and damages, specifying that it is seeking contractual damages from the Company, and further adding a claim seeking indemnification by the Company for any damages incurred by SWSS relating to counterclaims brought against SWSS in another litigation concerning the same solar project. The Company is not a party to that litigation. The amount of potential damages to SWSS, if any, is unknown because the Company understands the underlying litigation to be in its early and preliminary stages. On March 5, 2026, the Company sought leave to file a dispositive motion concerning all of SWSS’ claims. On March 24, 2026, that request was denied, but the arbitration panel noted that it would consider additional requests at a later date. On April 29, 2026, the parties requested that the panel stay the arbitration pending the resolution of the underlying litigation. The Company is vigorously defending the arbitration.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not recorded any material loss contingency in the condensed consolidated balance sheets as of March 31,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Contingent Consideration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Tax Receivable Agreement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Concurrent with the Former Parent’s acquisition of Array Technologies Patent Holdings Co., LLC on July 8, 2016, the Company’s operating subsidiary, Array Tech, Inc. (f/k/a Array Technologies, Inc.), entered into a tax receivable agreement (the “TRA”) with the former majority stockholder of Array Tech, Inc.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March 31, 2026 and December 31, 2025, the fair value of the TRA was $5.8 million and $8.3 million,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activity related to the estimated TRA liability (in thousands):</w:t>
      </w:r>
    </w:p>
    <w:tbl>
      <w:tblPr>
        <w:tblW w:w="7178" w:type="dxa"/>
        <w:jc w:val="left"/>
        <w:tblInd w:w="0" w:type="dxa"/>
        <w:tblLayout w:type="fixed"/>
        <w:tblCellMar>
          <w:top w:w="28" w:type="dxa"/>
          <w:left w:w="28" w:type="dxa"/>
          <w:bottom w:w="28" w:type="dxa"/>
          <w:right w:w="28" w:type="dxa"/>
        </w:tblCellMar>
      </w:tblPr>
      <w:tblGrid>
        <w:gridCol w:w="797"/>
        <w:gridCol w:w="701"/>
        <w:gridCol w:w="706"/>
        <w:gridCol w:w="109"/>
        <w:gridCol w:w="109"/>
        <w:gridCol w:w="289"/>
        <w:gridCol w:w="289"/>
        <w:gridCol w:w="600"/>
        <w:gridCol w:w="1876"/>
        <w:gridCol w:w="289"/>
        <w:gridCol w:w="109"/>
        <w:gridCol w:w="109"/>
        <w:gridCol w:w="109"/>
        <w:gridCol w:w="226"/>
        <w:gridCol w:w="70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ind w:left="0" w:right="0" w:hanging="20"/>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8,252 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ind w:left="0" w:right="0" w:hanging="20"/>
              <w:jc w:val="left"/>
              <w:rPr>
                <w:sz w:val="4"/>
                <w:szCs w:val="4"/>
              </w:rPr>
            </w:pPr>
            <w:r>
              <w:rPr>
                <w:sz w:val="4"/>
                <w:szCs w:val="4"/>
              </w:rPr>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(2,574)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ind w:left="0" w:right="0" w:hanging="20"/>
              <w:jc w:val="left"/>
              <w:rPr>
                <w:sz w:val="4"/>
                <w:szCs w:val="4"/>
              </w:rPr>
            </w:pPr>
            <w:r>
              <w:rPr>
                <w:sz w:val="4"/>
                <w:szCs w:val="4"/>
              </w:rPr>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ind w:left="0" w:right="0" w:hanging="20"/>
              <w:jc w:val="left"/>
              <w:rPr>
                <w:sz w:val="4"/>
                <w:szCs w:val="4"/>
              </w:rPr>
            </w:pPr>
            <w:r>
              <w:rPr>
                <w:sz w:val="4"/>
                <w:szCs w:val="4"/>
              </w:rPr>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5,774 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TRA liability requires significant judgment and is classified as Level 3 in the fair value hierarchy.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 xml:space="preserve">As discussed in </w:t>
      </w:r>
      <w:hyperlink w:anchor="i8bb1536239dc4e6fa44434d4894d5151_40">
        <w:r>
          <w:rPr>
            <w:rStyle w:val="InternetLink"/>
            <w:rFonts w:ascii="Arial;sans-serif" w:hAnsi="Arial;sans-serif"/>
            <w:b w:val="false"/>
            <w:color w:val="0000FF"/>
            <w:sz w:val="22"/>
            <w:u w:val="single"/>
          </w:rPr>
          <w:t>Note 3 – Acquisition</w:t>
        </w:r>
      </w:hyperlink>
      <w:r>
        <w:rPr>
          <w:rFonts w:ascii="Arial;sans-serif" w:hAnsi="Arial;sans-serif"/>
          <w:b w:val="false"/>
          <w:color w:val="000000"/>
          <w:sz w:val="22"/>
        </w:rPr>
        <w:t xml:space="preserve">, 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“Earnout Consideration”). </w:t>
      </w:r>
      <w:r>
        <w:rPr>
          <w:rFonts w:ascii="Arial;sans-serif" w:hAnsi="Arial;sans-serif"/>
          <w:b w:val="false"/>
          <w:color w:val="000000"/>
          <w:sz w:val="22"/>
          <w:shd w:fill="FFFFFF" w:val="clear"/>
        </w:rPr>
        <w:t xml:space="preserve">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Consideration Shares would require stockholder approval under Nasdaq Listing Rule 5635(a), the Company will pay cash in lieu of issuing such shares, unless such stockholder approval has been obtained. The principal Seller continues to assume the managerial responsibilities of APA.</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Upon the Closing Date, the Earnout Consideration was accounted for as contingent consideration, and the fair value is estimated each reporting period. As of March 31, 2026, the Earnout Consideration was estimated to have a fair value of approximately $16.4 million</w:t>
      </w:r>
      <w:r>
        <w:rPr>
          <w:color w:val="000000"/>
        </w:rPr>
        <w:t xml:space="preserve"> </w:t>
      </w:r>
      <w:r>
        <w:rPr>
          <w:rFonts w:ascii="Arial;sans-serif" w:hAnsi="Arial;sans-serif"/>
          <w:b w:val="false"/>
          <w:color w:val="000000"/>
          <w:sz w:val="22"/>
        </w:rPr>
        <w:t>using a Monte-Carlo simulation method. Changes in fair value of the contingent liability are recognized in Change in fair value of contingent consideration in the condensed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activity related to the estimated Earnout Consideration liability (in thousands):</w:t>
      </w:r>
    </w:p>
    <w:tbl>
      <w:tblPr>
        <w:tblW w:w="7841" w:type="dxa"/>
        <w:jc w:val="left"/>
        <w:tblInd w:w="0" w:type="dxa"/>
        <w:tblLayout w:type="fixed"/>
        <w:tblCellMar>
          <w:top w:w="28" w:type="dxa"/>
          <w:left w:w="28" w:type="dxa"/>
          <w:bottom w:w="28" w:type="dxa"/>
          <w:right w:w="28" w:type="dxa"/>
        </w:tblCellMar>
      </w:tblPr>
      <w:tblGrid>
        <w:gridCol w:w="797"/>
        <w:gridCol w:w="701"/>
        <w:gridCol w:w="706"/>
        <w:gridCol w:w="109"/>
        <w:gridCol w:w="109"/>
        <w:gridCol w:w="3886"/>
        <w:gridCol w:w="109"/>
        <w:gridCol w:w="226"/>
        <w:gridCol w:w="826"/>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Earnout Consideration liability requires significant judgment and is classified as Level 3 in the fair value hierarchy.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 As of March 31, 2026, the Company had surety bonds outstanding in the total amount of $230.8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13.    Fair Value of Financial Instruments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carrying values and estimated fair values of the Company’s debt financial instruments were as follows (in thousands):</w:t>
      </w:r>
    </w:p>
    <w:tbl>
      <w:tblPr>
        <w:tblW w:w="9331" w:type="dxa"/>
        <w:jc w:val="left"/>
        <w:tblInd w:w="0" w:type="dxa"/>
        <w:tblLayout w:type="fixed"/>
        <w:tblCellMar>
          <w:top w:w="28" w:type="dxa"/>
          <w:left w:w="28" w:type="dxa"/>
          <w:bottom w:w="28" w:type="dxa"/>
          <w:right w:w="28" w:type="dxa"/>
        </w:tblCellMar>
      </w:tblPr>
      <w:tblGrid>
        <w:gridCol w:w="875"/>
        <w:gridCol w:w="769"/>
        <w:gridCol w:w="771"/>
        <w:gridCol w:w="293"/>
        <w:gridCol w:w="1230"/>
        <w:gridCol w:w="141"/>
        <w:gridCol w:w="109"/>
        <w:gridCol w:w="109"/>
        <w:gridCol w:w="109"/>
        <w:gridCol w:w="226"/>
        <w:gridCol w:w="946"/>
        <w:gridCol w:w="109"/>
        <w:gridCol w:w="109"/>
        <w:gridCol w:w="109"/>
        <w:gridCol w:w="109"/>
        <w:gridCol w:w="293"/>
        <w:gridCol w:w="1230"/>
        <w:gridCol w:w="141"/>
        <w:gridCol w:w="109"/>
        <w:gridCol w:w="109"/>
        <w:gridCol w:w="109"/>
        <w:gridCol w:w="226"/>
        <w:gridCol w:w="94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2028 Convertible Notes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321,092 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293,631 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320,733 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2031 Convertible Notes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335,867 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335,444 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Convertible Notes is estimated using Level 2 inputs, as they are not registered securities nor listed on any securities exchange but may be traded by qualified institutional buyers.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with an aggregate carrying value of $9.5 million, consists of variable and fixed rate obligations. The carrying value of these variable rate obligations approximates fair value due to the variable nature of the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14.</w:t>
      </w:r>
      <w:r>
        <w:rPr>
          <w:color w:val="000000"/>
        </w:rPr>
        <w:t>    </w:t>
      </w:r>
      <w:r>
        <w:rPr>
          <w:rFonts w:ascii="Arial;sans-serif" w:hAnsi="Arial;sans-serif"/>
          <w:b/>
          <w:color w:val="000000"/>
          <w:sz w:val="22"/>
        </w:rPr>
        <w:t>Equity-Based Compensation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2020 Equity Incentive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Company’s 2020 Equity Incentive Plan (the “2020 Plan”) became effective. The 2020 Plan authorized 6,683,919 new shares, subject to adjustments pursuant to the 2020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Restricted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Pursuant to the 2020 Plan, the Company grants time-based restricted stock units (“RSUs”) to employees and members of the Company’s board of directors. The fair value of the RSUs is determined using the market value of the Company’s common stock on the grant date and is recognized on a straight-line basis over the vesting term of the awards.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RSU activity under the 2020 Plan was as follows:</w:t>
      </w:r>
    </w:p>
    <w:tbl>
      <w:tblPr>
        <w:tblW w:w="10205" w:type="dxa"/>
        <w:jc w:val="left"/>
        <w:tblInd w:w="0" w:type="dxa"/>
        <w:tblLayout w:type="fixed"/>
        <w:tblCellMar>
          <w:top w:w="28" w:type="dxa"/>
          <w:left w:w="28" w:type="dxa"/>
          <w:bottom w:w="28" w:type="dxa"/>
          <w:right w:w="28" w:type="dxa"/>
        </w:tblCellMar>
      </w:tblPr>
      <w:tblGrid>
        <w:gridCol w:w="1462"/>
        <w:gridCol w:w="1283"/>
        <w:gridCol w:w="1289"/>
        <w:gridCol w:w="669"/>
        <w:gridCol w:w="640"/>
        <w:gridCol w:w="619"/>
        <w:gridCol w:w="109"/>
        <w:gridCol w:w="109"/>
        <w:gridCol w:w="109"/>
        <w:gridCol w:w="912"/>
        <w:gridCol w:w="2373"/>
        <w:gridCol w:w="631"/>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2025</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4,322,377 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7.58 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1,563,980 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6.82 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(1,054,272)</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8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9.08 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forfeited/canceled</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(22,032)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8.00 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March 31, 2026</w:t>
            </w:r>
          </w:p>
        </w:tc>
        <w:tc>
          <w:tcPr>
            <w:tcW w:w="13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4,810,053 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373"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7.01 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Performance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granted performance-based restricted stock units (“PSUs”) to certain employees. The PSUs generally cliff vest after three years and upon meeting certain revenue and adjusted EPS targets. The PSUs also contain a modifier based on the total stock return compared to a certain index which modifies the number of PSUs that vest. PSUs were valued using a Monte-Carlo simulation method on the date of grant based on the U.S. Treasury Constant Maturity rates, and the assigned fair value on grant date is recognized on a straight-line basis over the vesting term of the awards. The probability of the awards meeting the performance related vested conditions is not included in the grant date fair value, but rather is estimated quarterly and the expense recognition is trued-up accordingly upon any probability to vest revision.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PSU awards that were awarded during 2025 and 2026 do not yet have a grant date because not all of the performance criteria is known at inception. These awarded shares have been included in Shares granted in the table below. Until the grant date is established, these awards are remeasured at fair value each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period using a Monte Carlo simulation, and the associated expense is recognized and trued-up quarterly based on the updated fair value and estimated probability of vesting.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weighted-average assumptions were used in the Monte Carlo simulation for computing the fair value of the PSUs issued during the three months ended March 31, 2026 and 2025:</w:t>
      </w:r>
    </w:p>
    <w:tbl>
      <w:tblPr>
        <w:tblW w:w="4463" w:type="dxa"/>
        <w:jc w:val="left"/>
        <w:tblInd w:w="0" w:type="dxa"/>
        <w:tblLayout w:type="fixed"/>
        <w:tblCellMar>
          <w:top w:w="28" w:type="dxa"/>
          <w:left w:w="28" w:type="dxa"/>
          <w:bottom w:w="28" w:type="dxa"/>
          <w:right w:w="28" w:type="dxa"/>
        </w:tblCellMar>
      </w:tblPr>
      <w:tblGrid>
        <w:gridCol w:w="808"/>
        <w:gridCol w:w="710"/>
        <w:gridCol w:w="717"/>
        <w:gridCol w:w="293"/>
        <w:gridCol w:w="293"/>
        <w:gridCol w:w="340"/>
        <w:gridCol w:w="109"/>
        <w:gridCol w:w="109"/>
        <w:gridCol w:w="109"/>
        <w:gridCol w:w="293"/>
        <w:gridCol w:w="293"/>
        <w:gridCol w:w="389"/>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Volatility</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Risk-free interest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3.75 </w:t>
            </w:r>
          </w:p>
        </w:tc>
        <w:tc>
          <w:tcPr>
            <w:tcW w:w="34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4.04 </w:t>
            </w:r>
          </w:p>
        </w:tc>
        <w:tc>
          <w:tcPr>
            <w:tcW w:w="3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Dividend yield</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activity under the 2020 Plan was as follows:</w:t>
      </w:r>
    </w:p>
    <w:tbl>
      <w:tblPr>
        <w:tblW w:w="10205" w:type="dxa"/>
        <w:jc w:val="left"/>
        <w:tblInd w:w="0" w:type="dxa"/>
        <w:tblLayout w:type="fixed"/>
        <w:tblCellMar>
          <w:top w:w="28" w:type="dxa"/>
          <w:left w:w="28" w:type="dxa"/>
          <w:bottom w:w="28" w:type="dxa"/>
          <w:right w:w="28" w:type="dxa"/>
        </w:tblCellMar>
      </w:tblPr>
      <w:tblGrid>
        <w:gridCol w:w="1463"/>
        <w:gridCol w:w="1283"/>
        <w:gridCol w:w="1290"/>
        <w:gridCol w:w="669"/>
        <w:gridCol w:w="638"/>
        <w:gridCol w:w="619"/>
        <w:gridCol w:w="109"/>
        <w:gridCol w:w="109"/>
        <w:gridCol w:w="109"/>
        <w:gridCol w:w="812"/>
        <w:gridCol w:w="2542"/>
        <w:gridCol w:w="562"/>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2025</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1,510,848 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11.22 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510,253 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7.68 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forfeited/canceled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March 31, 2026</w:t>
            </w:r>
          </w:p>
        </w:tc>
        <w:tc>
          <w:tcPr>
            <w:tcW w:w="13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2,021,101 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8.45 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Number of PSUs granted is based on the attainment level of performance metric(s), by key executive officers and employees of the Company, estimated to be probable at the grant date. The actual number of shares to be issued will depend on the relative attainment of the performance metrics.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three months ended March 31, 2026 and 2025, the Company recognized $3.9 million and $2.8 million, respectively, in equity-based compensation costs, which is included in General and administrative expense in the condensed consolidated statements of operations. These amounts include equity-based compensation related to RSUs, PSUs, and the Company’s Employee Stock Purchase Plan.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March 31, 2026, the Company had $37.3 million of unrecognized compensation costs related to RSUs and PSUs, which are expected to be recognized over 2.2 years and 2.5 years,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15.    Supplemental Cash Flow Information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Supplemental cash flow information consists of the following (in thousands):</w:t>
      </w:r>
    </w:p>
    <w:tbl>
      <w:tblPr>
        <w:tblW w:w="10205" w:type="dxa"/>
        <w:jc w:val="left"/>
        <w:tblInd w:w="0" w:type="dxa"/>
        <w:tblLayout w:type="fixed"/>
        <w:tblCellMar>
          <w:top w:w="28" w:type="dxa"/>
          <w:left w:w="28" w:type="dxa"/>
          <w:bottom w:w="28" w:type="dxa"/>
          <w:right w:w="28" w:type="dxa"/>
        </w:tblCellMar>
      </w:tblPr>
      <w:tblGrid>
        <w:gridCol w:w="2026"/>
        <w:gridCol w:w="1735"/>
        <w:gridCol w:w="1740"/>
        <w:gridCol w:w="109"/>
        <w:gridCol w:w="109"/>
        <w:gridCol w:w="265"/>
        <w:gridCol w:w="265"/>
        <w:gridCol w:w="551"/>
        <w:gridCol w:w="1723"/>
        <w:gridCol w:w="265"/>
        <w:gridCol w:w="109"/>
        <w:gridCol w:w="109"/>
        <w:gridCol w:w="109"/>
        <w:gridCol w:w="226"/>
        <w:gridCol w:w="706"/>
        <w:gridCol w:w="158"/>
      </w:tblGrid>
      <w:tr>
        <w:trPr/>
        <w:tc>
          <w:tcPr>
            <w:tcW w:w="202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417" w:type="dxa"/>
            <w:gridSpan w:val="6"/>
            <w:tcBorders/>
          </w:tcPr>
          <w:p>
            <w:pPr>
              <w:pStyle w:val="TableContents"/>
              <w:bidi w:val="0"/>
              <w:spacing w:before="0" w:after="283"/>
              <w:jc w:val="left"/>
              <w:rPr>
                <w:sz w:val="4"/>
                <w:szCs w:val="4"/>
              </w:rPr>
            </w:pPr>
            <w:r>
              <w:rPr>
                <w:sz w:val="4"/>
                <w:szCs w:val="4"/>
              </w:rPr>
            </w:r>
          </w:p>
        </w:tc>
      </w:tr>
      <w:tr>
        <w:trPr/>
        <w:tc>
          <w:tcPr>
            <w:tcW w:w="5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55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5,779 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Cash refunded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Property, plant and equipment acquisitions funded by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5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Preferred Series A dividends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15,537 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16.    Segment Reporting</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ASC Topic 280 </w:t>
      </w:r>
      <w:r>
        <w:rPr>
          <w:rFonts w:ascii="Arial;sans-serif" w:hAnsi="Arial;sans-serif"/>
          <w:b w:val="false"/>
          <w:i/>
          <w:color w:val="000000"/>
          <w:sz w:val="22"/>
        </w:rPr>
        <w:t>Segment Reporting</w:t>
      </w:r>
      <w:r>
        <w:rPr>
          <w:color w:val="000000"/>
        </w:rPr>
        <w:t xml:space="preserve"> </w:t>
      </w:r>
      <w:r>
        <w:rPr>
          <w:rFonts w:ascii="Arial;sans-serif" w:hAnsi="Arial;sans-serif"/>
          <w:b w:val="false"/>
          <w:color w:val="000000"/>
          <w:sz w:val="22"/>
        </w:rPr>
        <w:t>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works with customers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and internationally, primarily in Spain and Brazil and is expanding into other international markets through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two separate operating segments, Array Legacy Operations and STI Operations, which are also reportable segments. Array Legacy Operations consists primarily of amounts earned from the design and delivery of solar arrays in the United States, and STI Operations consists primarily of amounts earned from the design and delivery of solar arrays outside of the United States. APA is a component of the Array Legacy Operations reportable segment.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Company’s CODM assesses the performance of each operating segment by using gross profit. This measure is also predominantly used in the annual budget and forecasting process. The CODM primarily uses the annual operating plan and the monthly financial results for Array Legacy Operations and STI Operations when making decisions about the allocation of operating and capital resources to each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tables summarize the financial results by segment during the periods presented (in thousands):</w:t>
      </w:r>
    </w:p>
    <w:tbl>
      <w:tblPr>
        <w:tblW w:w="10205" w:type="dxa"/>
        <w:jc w:val="left"/>
        <w:tblInd w:w="0" w:type="dxa"/>
        <w:tblLayout w:type="fixed"/>
        <w:tblCellMar>
          <w:top w:w="28" w:type="dxa"/>
          <w:left w:w="28" w:type="dxa"/>
          <w:bottom w:w="28" w:type="dxa"/>
          <w:right w:w="28" w:type="dxa"/>
        </w:tblCellMar>
      </w:tblPr>
      <w:tblGrid>
        <w:gridCol w:w="1531"/>
        <w:gridCol w:w="1268"/>
        <w:gridCol w:w="1274"/>
        <w:gridCol w:w="415"/>
        <w:gridCol w:w="1740"/>
        <w:gridCol w:w="200"/>
        <w:gridCol w:w="109"/>
        <w:gridCol w:w="109"/>
        <w:gridCol w:w="109"/>
        <w:gridCol w:w="341"/>
        <w:gridCol w:w="1068"/>
        <w:gridCol w:w="165"/>
        <w:gridCol w:w="109"/>
        <w:gridCol w:w="109"/>
        <w:gridCol w:w="109"/>
        <w:gridCol w:w="263"/>
        <w:gridCol w:w="1102"/>
        <w:gridCol w:w="184"/>
      </w:tblGrid>
      <w:tr>
        <w:trPr/>
        <w:tc>
          <w:tcPr>
            <w:tcW w:w="153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2026</w:t>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217,381 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223,412 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Product cost</w:t>
            </w:r>
            <w:r>
              <w:rPr>
                <w:rFonts w:ascii="Arial;sans-serif" w:hAnsi="Arial;sans-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134,759 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142,866 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Other costs</w:t>
            </w:r>
            <w:r>
              <w:rPr>
                <w:rFonts w:ascii="Arial;sans-serif" w:hAnsi="Arial;sans-serif"/>
                <w:b w:val="false"/>
                <w:color w:val="000000"/>
                <w:sz w:val="13"/>
              </w:rPr>
              <w:t>(2)</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 (loss)</w:t>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65,257 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(2,253)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63,004 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(55,895)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Loss before income taxes</w:t>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4,125 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1,265,004 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210,023 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1,475,027 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1"/>
        <w:gridCol w:w="1268"/>
        <w:gridCol w:w="1274"/>
        <w:gridCol w:w="415"/>
        <w:gridCol w:w="1740"/>
        <w:gridCol w:w="200"/>
        <w:gridCol w:w="109"/>
        <w:gridCol w:w="109"/>
        <w:gridCol w:w="109"/>
        <w:gridCol w:w="305"/>
        <w:gridCol w:w="1120"/>
        <w:gridCol w:w="149"/>
        <w:gridCol w:w="109"/>
        <w:gridCol w:w="109"/>
        <w:gridCol w:w="109"/>
        <w:gridCol w:w="263"/>
        <w:gridCol w:w="1102"/>
        <w:gridCol w:w="184"/>
      </w:tblGrid>
      <w:tr>
        <w:trPr/>
        <w:tc>
          <w:tcPr>
            <w:tcW w:w="153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2025</w:t>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213,214 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302,363 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Product cost</w:t>
            </w:r>
            <w:r>
              <w:rPr>
                <w:rFonts w:ascii="Arial;sans-serif" w:hAnsi="Arial;sans-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133,340 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76,758 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210,098 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Other costs</w:t>
            </w:r>
            <w:r>
              <w:rPr>
                <w:rFonts w:ascii="Arial;sans-serif" w:hAnsi="Arial;sans-serif"/>
                <w:b w:val="false"/>
                <w:color w:val="000000"/>
                <w:sz w:val="13"/>
              </w:rPr>
              <w:t>(2)</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w:t>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65,681 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10,747 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76,428 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Income before income taxes</w:t>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23,280 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1,005,615 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420,143 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1,425,758 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color w:val="000000"/>
          <w:sz w:val="13"/>
        </w:rPr>
        <w:t xml:space="preserve">(1) </w:t>
      </w:r>
      <w:r>
        <w:rPr>
          <w:rFonts w:ascii="Arial;sans-serif" w:hAnsi="Arial;sans-serif"/>
          <w:b w:val="false"/>
          <w:color w:val="000000"/>
          <w:sz w:val="22"/>
        </w:rPr>
        <w:t>Includes 45X benefits realized.</w:t>
      </w:r>
    </w:p>
    <w:p>
      <w:pPr>
        <w:pStyle w:val="TextBody"/>
        <w:bidi w:val="0"/>
        <w:spacing w:lineRule="auto" w:line="300" w:before="0" w:after="0"/>
        <w:jc w:val="both"/>
        <w:rPr/>
      </w:pPr>
      <w:r>
        <w:rPr>
          <w:rFonts w:ascii="Arial;sans-serif" w:hAnsi="Arial;sans-serif"/>
          <w:b w:val="false"/>
          <w:color w:val="000000"/>
          <w:sz w:val="13"/>
        </w:rPr>
        <w:t xml:space="preserve">(2) </w:t>
      </w:r>
      <w:r>
        <w:rPr>
          <w:rFonts w:ascii="Arial;sans-serif" w:hAnsi="Arial;sans-serif"/>
          <w:b w:val="false"/>
          <w:color w:val="000000"/>
          <w:sz w:val="22"/>
        </w:rPr>
        <w:t>Other is primarily comprised of outbound freight and certain overhead costs. Outbound freight for the three months ended March 31, 2026 and 2025 for Array Legacy Operations was $9.5 million and $9.9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17.    Related Party Transactions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acquisition of APA, the Company has four lease agreements with related parties owned by certain members of APA's management team.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Expenses related to these operating lease agreements are allocated based on usage to Cost of product and service revenue and General and administrative expenses in the consolidated statements of operations. Total costs related to these operating lease agreements were $0.7 million for the three months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2"/>
        </w:rPr>
      </w:pPr>
      <w:r>
        <w:rPr>
          <w:rFonts w:ascii="Arial;sans-serif" w:hAnsi="Arial;sans-serif"/>
          <w:b w:val="false"/>
          <w:i/>
          <w:color w:val="000000"/>
          <w:sz w:val="22"/>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2025, and the related Management’s Discussion and Analysis of Financial Condition and Results of Operations included in our Annual Report on Form 10-K for the year ended December 31, 2025 (“2025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our 2025 Annual Report, and our other documents on file with the U.S. Securities and Exchange Commission (the “SEC”).</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CAUTIONARY NOTE REGARDING 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“positioned,” “designed to” or similar expressions and the negatives of those terms.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(“OBBB”),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successfully integrate APA Solar, LLC (“APA”) into our existing operations and realize the anticipated benefits or synergies of the acquisition; and other factors listed and described in more detail in the section captioned “Risk Factors” in this Quarterly Report, our 2025 Annual Report, and our other documents on file with the SEC.</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 leading global provider of solar tracking technology and fixed-tilt systems to utility-scale and distributed generation customers who construct, develop, and operate solar PV sites. With solutions engineered to withstand harsh weather conditions, Array’s high-quality solar trackers, fixed-tilt systems, software platforms, foundation solutions, and field services combine to optimize energy production and deliver value to our customers for the entire lifecycle of a project.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Trackers move solar panels throughout the day to maintain an optimal orientation to the sun, which significantly increases energy production. Solar energy projects that use trackers typically generate more energy and deliver a lower levelized cost of energy than projects that use “fixed tilt” mounting systems, which do not move. Hybrid sites utilizing trackers and fixed-tilt can be utilized to optimize productivity based on the topography, geography, and environment. The vast majority of ground mounted solar systems in the U.S. use trackers.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Our flagship tracker, DuraTrack</w:t>
      </w:r>
      <w:r>
        <w:rPr>
          <w:rFonts w:ascii="Arial;sans-serif" w:hAnsi="Arial;sans-serif"/>
          <w:b w:val="false"/>
          <w:i/>
          <w:color w:val="000000"/>
          <w:sz w:val="14"/>
        </w:rPr>
        <w:t>®</w:t>
      </w:r>
      <w:r>
        <w:rPr>
          <w:rFonts w:ascii="Arial;sans-serif" w:hAnsi="Arial;sans-serif"/>
          <w:b w:val="false"/>
          <w:color w:val="000000"/>
          <w:sz w:val="22"/>
        </w:rPr>
        <w:t xml:space="preserve">, uses a patented design that allows one motor to drive multiple rows of solar panels through articulated driveline joints. To avoid infringing on our U.S. patent, our competitors must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multiple tracker rows connected by an articulating drive shaft. This patent does not expire until February 5, 2030.</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Soluciones Técnicas Integrales Norland, S.L.U. and its subsidiaries (collectively, “STI”) in January 2022, we added a dual-row tracker design to our product portfolio, the Array STI H250. This tracker uses one motor to drive two connected rows and is ideally suited for sites with irregular and highly angled boundaries or fragmented project areas.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Our third tracker product, OmniTrack</w:t>
      </w:r>
      <w:r>
        <w:rPr>
          <w:rFonts w:ascii="null;sans-serif" w:hAnsi="null;sans-serif"/>
          <w:b w:val="false"/>
          <w:color w:val="000000"/>
          <w:sz w:val="14"/>
        </w:rPr>
        <w:t>®</w:t>
      </w:r>
      <w:r>
        <w:rPr>
          <w:rFonts w:ascii="Arial;sans-serif" w:hAnsi="Arial;sans-serif"/>
          <w:b w:val="false"/>
          <w:color w:val="000000"/>
          <w:sz w:val="22"/>
        </w:rPr>
        <w:t>, which was introduced in September 2022, requires significantly less grading and civil works permitting prior to installation in addition to accommodating uneven terrain.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the APA Acquisition (as defined below) in August 2025, we added a portfolio of fixed-tilt and foundation solutions, including the APA Titan and APA Titan Duo™ racking systems and the APA A-Frame™ Interface foundation. These products deliver adaptable designs for utility-scale projects, offering flexibility for challenging terrain, high snow loads, and large-format modules while streamlining installation and reducing material costs.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May 2026, we introduced DuraTrack D2S, which is our next-generation dual-row tracker designed for key international markets, which combines patented passive wind stow technology, the terrain adaptability of OmniTrack®, and optimized control through SmarTrack® into a single flexible platform.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corporate headquarters are located in Albuquerque, New Mexico. We sell our products to solar developers, independent power producers, utilities, and engineering, procurement and construction companies (“EPCs”) that build solar energy projects, often under master supply agreements or multi-year procurement contracts. During the three months ended March 31, 2026, we derived 95% and 5% of our revenues from customers in the U.S. and the rest of the world, respectively. From the founding of Array through March 31, 2026, we have shipped approximately 99 gigawatts of trackers to customers worldwide.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Acquisition of APA Solar</w:t>
      </w:r>
    </w:p>
    <w:p>
      <w:pPr>
        <w:pStyle w:val="TextBody"/>
        <w:bidi w:val="0"/>
        <w:spacing w:lineRule="auto" w:line="300" w:before="0" w:after="0"/>
        <w:jc w:val="both"/>
        <w:rPr/>
      </w:pPr>
      <w:r>
        <w:rPr>
          <w:rFonts w:ascii="Arial;sans-serif" w:hAnsi="Arial;sans-serif"/>
          <w:b w:val="false"/>
          <w:color w:val="000000"/>
          <w:sz w:val="22"/>
        </w:rPr>
        <w:t xml:space="preserve">On August 14, 2025 (the “Closing Date”), the Company, through its indirect wholly owned subsidiary STINorland USA, Inc., a California corporation (“Buyer”), completed the acquisition of 100% of the issued and outstanding equity interests of APA (such acquisition, the “APA Acquisition”), pursuant to the terms of the equity purchase agreement, dated as of June 17, 2025, by and among the Company, Buyer, APA, SunHoldings, LLC, an Ohio limited liability company (“Seller”) and the guarantors party thereto (as amended, the “Purchase Agreement”). The cash paid as of the Closing Date was $159.9 million, net of $10.1 million in preliminary and customary purchase price adjustments, which includes $6.2 million to retire debt. For GAAP purposes, the aggregate cash consideration paid was approximately $166.1 million, subject to final post-closing adjustment. We expect to finalize customary post-closing adjustments by June 2026. The Purchase Agreement also includes an earnout provision estimated to have a fair value of approximately $19.3 million as of the Closing Date (the “Earnout Consideration”), which is included in the purchase consideration, under which the Seller may receive shares of Company common stock, or equivalent cash value at the Buyer’s discretion, based upon APA’s achievement of certain financial performance targets during the three-year period ending on September 30, 2028. As a result, the purchase consideration for the APA Acquisition totaled approximately $185.4 million. Subject to the terms and conditions set forth in the Purchase Agreement, the Company has also agreed to pay aggregate deferred purchase price consideration of approximately $40.0 million payable in three installments over a two-year period based on service within five business days after the first and second anniversaries from the Closing Date and as set forth in </w:t>
      </w:r>
      <w:hyperlink w:anchor="i8bb1536239dc4e6fa44434d4894d5151_40">
        <w:r>
          <w:rPr>
            <w:rStyle w:val="InternetLink"/>
            <w:rFonts w:ascii="Arial;sans-serif" w:hAnsi="Arial;sans-serif"/>
            <w:b w:val="false"/>
            <w:color w:val="0000FF"/>
            <w:sz w:val="22"/>
            <w:u w:val="single"/>
          </w:rPr>
          <w:t>Note 3 - Acquisition</w:t>
        </w:r>
      </w:hyperlink>
      <w:r>
        <w:rPr>
          <w:color w:val="000000"/>
        </w:rPr>
        <w:t xml:space="preserve"> </w:t>
      </w:r>
      <w:r>
        <w:rPr>
          <w:rFonts w:ascii="Arial;sans-serif" w:hAnsi="Arial;sans-serif"/>
          <w:b w:val="false"/>
          <w:color w:val="000000"/>
          <w:sz w:val="22"/>
        </w:rPr>
        <w:t xml:space="preserve">(the “Deferred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Each of the Earnout Consideration and Deferred Consideration are described in more detail below. The Company is currently finalizing the valuation of the acquired assets and liabilities and assessing the related accounting impacts.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amounts recorded as of March 31, 2026 are preliminary, as the Company is finalizing working capital, post-closing, and other customary adjustments. These preliminary estimates are subject to change within the measurement period (defined as the twelve months following the Closing Date) and related accounting adjustments may be materially different, as the Company obtains additional information on these matters and as additional information is made known during the post-acquisition measurement period. As a result of further refining its estimates and assumptions since the date of the acquisition, the Company recorded measurement period adjustments to the initial opening balance sheet. There were no measurement period adjustments materially impacting earnings that would have been recorded in previous reporting periods if the adjustments had been recognized as of the acquisition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APA Acquisition, the Company has lease agreements for offices, manufacturing facilities and warehouses located in Ohio and Connecticut. Of these lease agreements, four are with related parties owned by certain members of APA's management team.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Expenses related to these operating lease agreements are allocated based on usage to Cost of product and service revenue or General and administrative expenses in the consolidated statements of operations. Total costs related to these operating lease agreements were $0.7 million for the three months ended March 31,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APA designs, engineers, and manufactures solar racking, mounting and foundation systems. Integrating such systems into our business model through the acquisition of APA expands our product portfolio to better serve the evolving needs of the solar industry and our customers.</w:t>
      </w:r>
    </w:p>
    <w:p>
      <w:pPr>
        <w:pStyle w:val="TextBody"/>
        <w:bidi w:val="0"/>
        <w:spacing w:before="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incur research and development (“R&amp;D”) costs during our process of researching and developing new products and significant enhancements to existing products. R&amp;D costs consist primarily of personnel-related costs associated with our internal engineers, third-party consultants, materials and overhead. We expense these costs as incurred prior to a respective product being ready for commercial production. R&amp;D expense was $3.0 million and $2.4 million during the three months ended March 31, 2026 and 2025,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Factors Affecting Results of Operations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Project Timing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can be affected by a number of factors including: </w:t>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Weather</w:t>
      </w:r>
      <w:r>
        <w:rPr>
          <w:rFonts w:ascii="Arial;sans-serif" w:hAnsi="Arial;sans-serif"/>
          <w:b w:val="false"/>
          <w:color w:val="000000"/>
          <w:sz w:val="22"/>
        </w:rPr>
        <w:t xml:space="preserve">. Inclement weather can affect our customers’ ability to install their systems, particularly in the northeastern U.S., Europe and Brazil. In addition, weather delays can adversely affect our logistics and operations by causing delays in the shipping and delivery of our materials.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The U.S. interest rate environment</w:t>
      </w:r>
      <w:r>
        <w:rPr>
          <w:rFonts w:ascii="Arial;sans-serif" w:hAnsi="Arial;sans-serif"/>
          <w:b w:val="false"/>
          <w:color w:val="000000"/>
          <w:sz w:val="22"/>
        </w:rPr>
        <w:t xml:space="preserve">. We have had customers delay planned installations or look to renegotiate power purchase agreements (“PPAs”) to improve project returns based on various rate environments. For example, in anticipation of interest rate reductions and more favorable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financing conditions later in 2024, some customers delayed installations. While the Federal Reserve began lowering interest rates in the second half of 2024, the timing and impact of subsequent rate adjustments during 2025 continued to create additional considerations for our customers, and there are varying outlooks on whether additional rate cuts may occur. Customers must weigh this uncertainty in conjunction with other macroeconomic factors when assessing the returns and timing for relevant projects.</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Availability of necessary equipment</w:t>
      </w:r>
      <w:r>
        <w:rPr>
          <w:rFonts w:ascii="Arial;sans-serif" w:hAnsi="Arial;sans-serif"/>
          <w:b w:val="false"/>
          <w:color w:val="000000"/>
          <w:sz w:val="22"/>
        </w:rPr>
        <w:t>. We have a broad portfolio of customer relationships including presence with Tier 1 utilities in the U.S. Each utility has unique specifications for access to its grid, which is generally not consistent across the industry. As the supply of renewables projects has increased, shortages and long lead-times in the supply of switches, transformers and high voltage breakers used in the interconnection of utility scale solar power plants to the grid, has historically affected the timing and completion of these projects, including for some of our customers.</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Macroeconomic factors. </w:t>
      </w:r>
      <w:r>
        <w:rPr>
          <w:rFonts w:ascii="Arial;sans-serif" w:hAnsi="Arial;sans-serif"/>
          <w:b w:val="false"/>
          <w:color w:val="000000"/>
          <w:sz w:val="22"/>
        </w:rPr>
        <w:t>There has been a rapid depreciation of the Brazilian Real in conjunction with existing pricing pressures on energy in the Brazilian market. Due to these dynamics, the economic cases for the power purchase agreements, or PPAs, for many solar projects have become less attractive for our customers. Many of the developers in Brazil of these projects continue to signal delays as they renegotiate the pricing of these PPAs. In addition, our results will also be impacted by tax incentives we can recognize, for example the Brazil value-added tax benefit, Imposto sobre Circulação de Mercadorias e Servicos (“ICMS”), which will be fully phased out in 2033. As a result, we are focused on reducing costs and better aligning our organization, including the size thereof, in Brazil with the current market conditions.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It is uncertain what impact new or existing tariffs, trade restrictions or retaliatory actions may have on us, the solar industry and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Local permitting</w:t>
      </w:r>
      <w:r>
        <w:rPr>
          <w:rFonts w:ascii="Arial;sans-serif" w:hAnsi="Arial;sans-serif"/>
          <w:b w:val="false"/>
          <w:color w:val="000000"/>
          <w:sz w:val="22"/>
        </w:rPr>
        <w:t xml:space="preserve">. If our customers cannot receive permitting for their projects, they are unable to begin and ultimately complete them in a timely manner. A dramatic increase in solar and battery storage sites has increased the average permitting time in many geographies in which our customers operate.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OBBB</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While solar power is cost-competitive with conventional forms of generation in many U.S. states even without the ITC, we believe previous step-downs in the ITC in past years have influenced the timing and quantity of some customers’ orders. On July 4, 2025, President Trump signed into law the OBBB, which includes changes to the energy tax credits. Specifically, the solar ITC now terminates for facilities that are placed in service after December 31, 2027, but that termination does not apply if the taxpayer begins construction on the facility before July 4, 2026. In addition, the OBBB imposes new foreign entity of concern limitations on the ITC before it expires, which could impact the ability of solar facilities to claim the ITC.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for solar facilities that begin construction after December 31, 2025 that receive material assistance from a prohibited foreign entity. On February 13, 2026, Treasury guidance was released clarifying methods for calculating material assistance from a prohibited foreign entity and requesting comments.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40</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15, 2025, Treasury and the IRS issued Notice 2025-42 consistent with the executive order, which eliminates the 5% safe harbor for utility-scale solar projects and only allows the physical work test to determine when a project begins construction. If solar developers are unable to satisfy the physical work test, our business, financial condition, and results of operations could be adversely affected.</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Company expects certain tax provisions of the OBBB, including the reinstatement of 100% bonus depreciation for qualified property and the immediate expensing of U.S.-based R&amp;D activities, to reduce our 2026 taxable income. These accelerated deductions are expected to lower current</w:t>
        <w:noBreakHyphen/>
        <w:t>year cash taxes and improve near-term operating cash flows.</w:t>
      </w:r>
      <w:r>
        <w:rPr>
          <w:color w:val="000000"/>
        </w:rPr>
        <w:t xml:space="preserve"> </w:t>
      </w:r>
      <w:r>
        <w:rPr>
          <w:rFonts w:ascii="Arial;sans-serif" w:hAnsi="Arial;sans-serif"/>
          <w:b w:val="false"/>
          <w:color w:val="000000"/>
          <w:sz w:val="22"/>
        </w:rPr>
        <w:t>The favorable impact primarily represents a timing difference. As assets subject to bonus depreciation become fully depreciated and as expensed R&amp;D activities normalize, we expect cash taxes to increase in future periods. The Company continues to evaluate additional guidance expected to be issued by Treasury related to the OBBB.</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Section 45X Credit</w:t>
      </w:r>
    </w:p>
    <w:p>
      <w:pPr>
        <w:pStyle w:val="TextBody"/>
        <w:bidi w:val="0"/>
        <w:spacing w:lineRule="auto" w:line="300" w:before="0" w:after="0"/>
        <w:jc w:val="both"/>
        <w:rPr/>
      </w:pPr>
      <w:r>
        <w:rPr>
          <w:rFonts w:ascii="Arial;sans-serif" w:hAnsi="Arial;sans-serif"/>
          <w:b w:val="false"/>
          <w:color w:val="000000"/>
          <w:sz w:val="22"/>
        </w:rPr>
        <w:t xml:space="preserve">The Section 45X manufacturing production tax credit applies to eligible components, including torque tube and structural fasteners. We have determined that the statutory definitions for these components (which are reiterated in final regulations) apply to our tracker components. </w:t>
      </w:r>
      <w:r>
        <w:rPr>
          <w:rFonts w:ascii="Arial;sans-serif" w:hAnsi="Arial;sans-serif"/>
          <w:b w:val="false"/>
          <w:color w:val="000000"/>
          <w:sz w:val="22"/>
          <w:shd w:fill="FFFFFF" w:val="clear"/>
        </w:rPr>
        <w:t>W</w:t>
      </w:r>
      <w:r>
        <w:rPr>
          <w:rFonts w:ascii="Arial;sans-serif" w:hAnsi="Arial;sans-serif"/>
          <w:b w:val="false"/>
          <w:color w:val="000000"/>
          <w:sz w:val="22"/>
        </w:rPr>
        <w:t xml:space="preserve">e have successfully negotiated, and we continue to successfully negotiate, agreements with 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hyperlink w:anchor="i8bb1536239dc4e6fa44434d4894d5151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in the accompanying notes to our condensed consolidated financial statements included in this Quarterly Report on Form 10-Q for a discussion on how we account for these incentives and amounts recognized for the periods presented. If these financial benefits vary significantly from our assumptions, our business, financial condition, and results of operations could be adversely affected.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OBBB did not modify the phase-out of the section 45X credit or the definitions of eligible components relating to solar trackers; however, the OBBB did impose foreign entity of concern limitations on taxpayers claiming the section 45X credit.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in taxable years beginning after enactment of the OBBB for eligible components that receive material assistance from a prohibited foreign entity. On February 13, 2026, Treasury guidance was released that further clarified methods for calculating material assistance, and included a request for comments by March 30, 2026. We anticipate forthcoming Treasury proposed rule will further clarify the potential impact of the foreign entity of concern limitations may have for credits claimed in 2026 and future years.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Domestic Content Safe Harbor Guidance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IRS issued Notice 2023-38 in May 2023 setting forth guidance on the domestic content bonus tax credits under the IRA. Uncertainties existed under this guidance, like whose costs would be used (the manufacturer’s cost, a vendor’s cost to acquire, etc.) and how to define manufactured product components associated with trackers. In May 2024, the IRS issued Notice 2024-41 setting forth further guidance on the domestic content bonus tax credits, including a safe harbor method for calculating domestic content percentages. On January 16, 2025, the IRS released Notice 2025-08, which modified Notice 2023-38 and Notice 2024-41, as well as introduced an updated elective safe harbor method for use in lieu of provisions of the adjusted percentage rule provided in Notice 2023-38 for calculating the domestic content bonus credit amounts applicable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qualified facilities and energy projects. Notice 2024-41 and Notice 2025-08 and the updated definitions described therein clarified certain pre-existing uncertainty in the industry, but also introduced new uncertainties. These uncertainties have and could continue to cause our customers to delay projects as they navigate the existing guidance in qualifying for the tax credit and possibly wait for further clarity. If these financial benefits vary significantly from our assumptions, our business, financial condition, and results of operations could be adversely affected.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OBBB increased the domestic content threshold for solar facilities that begin construction after June 16, 2025 to claim the domestic content bonus credit, however, the OBBB did not otherwise amend the requirements for claiming a domestic content bonus credit or the guidance previously issued by the government. As domestic content guidance is not a final rule, it could be further modified by the Trump Administration.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Structured Cost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the Ongoing Russian-Ukraine War</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Russia-Ukraine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Impact of the Iran War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March 2026, the U.S. and Israel initiated military actions against targets in Iran. In response, Iran retaliated with a series of attacks on key infrastructure in neighboring countries across the Middle East. Further, Iran has committed to utilizing military intervention to close the Strait of Hormuz, which impacts a significant portion of global oil and natural gas supply. An escalation by the U.S., Israel, Iran, or other countries, and any retaliatory measures by the U.S., Israel, Iran, or other countries, as applicable, in response, such as broader attacks on regional infrastructure, may impact costs, reduce our sales and earnings, or otherwise have an adverse effect on our operations. For example, the disruption of the global oil supply through the Strait of Hormuz and the conflict between the U.S. and Iran have driven up commodity prices and increased inflationary pressures, potentially affecting our transportation, manufacturing, distribution and other costs. Furthermore, these events may also cause shipping delays, rerouted freight, port congestion, or higher logistics and insurance costs, which could disrupt the movement of, limit the availability of, or increase the cost of sourcing raw materials. We do not know the ultimate severity or duration of the conflict, but we are monitoring developments with respect to the ongoing military conflict with Iran including the impact on global commodity prices and potential shipping and logistics disruptions.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Disruption of Key Shipping Lanes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various times since 2023, we have seen disruptions of container shipping traffic through the Red Sea create port congestion, especially in Asia, and cause many shipping companies to pause shipments through the Suez Canal and the Red Sea as a result of attacks against commercial vessels in the area, affecting transit times, capacity, and shipping costs for routes connecting the rest of the world with Asia. To address the persisting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42</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challenges arising from prolonged transit times, we have increased our local sourcing efforts where feasible within certain regions. These measures aim to reduce delays to get the product to project sites on time. There is still uncertainty on how long disruptions and the severity of their impact on our operations may last, but we continue to monitor such situations and evaluate our procurement and supply chain strategies,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 may continue to negatively impact our results of operations in the near-term. To mitigate these pressures on our business, and the volatility in steel and aluminum prices, we have continued to accelerate our productivity initiatives, expand our supplier base, and execute on our overhead cost-containment practices.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AD/CVD Petitions and Determinations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17, 2025, the Alliance for American Solar Manufacturing and Trade, a coalition of U.S.-based solar manufacturers, filed a petition with the U.S. Department of Commerce (“USDOC”) and U.S. International Trade Commission (“USITC”) seeking the imposition of antidumping and countervailing duty (“AD/CVD”) tariffs on imports of crystalline solar photovoltaic (“CSPV”) cells and modules from India, Indonesia, and Laos. In February 2026, USDOC issued preliminary affirmative CVD determinations and in April 2026, USDOC announced preliminary AD determinations. When combined, total preliminary AD/CVD rates now stand at approximately 234% for India, 121% to 178% for Indonesia, and 103% for Laos. Final Commerce determinations are expected in July and September 2026, with a final injury determination from the ITC scheduled for October 2026 and issuance of duty orders, if affirmed, expected by late October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we do not sell solar modules, the degree of our exposure is dependent on, among other things, the impact of the AD/CVD orders on the projects that are also intended to use our products, with such impact being largely out of our control. Successive rounds of AD/CVD actions have the potential to constrain the supply of solar cells and modules available to U.S. project developers, contribute to rising module prices, and create an increasingly complex procurement environment for our customers. To the extent that trade actions lead to project delays, cancellations, or reductions in the pace of U.S. solar installations, demand for our tracker systems could be adversely impacted.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U.S. Trade Policy and Executive Orders</w:t>
      </w:r>
    </w:p>
    <w:p>
      <w:pPr>
        <w:pStyle w:val="TextBody"/>
        <w:bidi w:val="0"/>
        <w:spacing w:lineRule="auto" w:line="300" w:before="0" w:after="0"/>
        <w:jc w:val="both"/>
        <w:rPr/>
      </w:pPr>
      <w:r>
        <w:rPr>
          <w:rFonts w:ascii="Arial;sans-serif" w:hAnsi="Arial;sans-serif"/>
          <w:b w:val="false"/>
          <w:color w:val="000000"/>
          <w:sz w:val="22"/>
        </w:rPr>
        <w:t xml:space="preserve">On February 20, 2026, the U.S. Supreme Court ruled in </w:t>
      </w:r>
      <w:r>
        <w:rPr>
          <w:rFonts w:ascii="Arial;sans-serif" w:hAnsi="Arial;sans-serif"/>
          <w:b w:val="false"/>
          <w:i/>
          <w:color w:val="000000"/>
          <w:sz w:val="22"/>
        </w:rPr>
        <w:t>Learning Resources, Inc. v. Trump</w:t>
      </w:r>
      <w:r>
        <w:rPr>
          <w:color w:val="000000"/>
        </w:rPr>
        <w:t xml:space="preserve"> </w:t>
      </w:r>
      <w:r>
        <w:rPr>
          <w:rFonts w:ascii="Arial;sans-serif" w:hAnsi="Arial;sans-serif"/>
          <w:b w:val="false"/>
          <w:color w:val="000000"/>
          <w:sz w:val="22"/>
        </w:rPr>
        <w:t>that the International Emergency Economic Powers Act ("IEEPA") does not authorize the President to impose tariffs, invalidating the "Reciprocal Tariffs" imposed on imports from most U.S. trading partners as well as the tariffs on imports from Canada, Mexico, and China related to fentanyl trafficking. Collection of all IEEPA-based tariffs ceased effective February 24, 2026. The Trump Administration subsequently imposed a temporary 10% ad valorem import surcharge under Section 122 of the Trade Act of 1974, which is limited by statute to 150 days and is set to expire on July 24, 2026 absent congressional extension. The legality of the Section 122 tariffs is the subject of pending litigation. Concurrently, the U.S. Trade Representative (“USTR”) initiated two accelerated investigations under Section 301 of the Trade Act of 1974 targeting excess manufacturing capacity and forced labor practices across dozens of economies. Trump Administration officials have indicated that Section 301 investigations are intended to establish a more durable statutory basis for tariffs before the Section 122 authority expires. The ultimate scope, rate, and duration of tariffs that may be imposed under Section 301 or other authorities remain uncertain.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Separately, on April 2, 2026, the President issued a proclamation significantly restructuring how Section 232 tariffs on steel, aluminum, and copper products are assessed. Effective April 6, 2026, the prior methodology,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through which Section 232 duties on derivative articles were calculated based on the value of the metal content within a product, was replaced with a framework in which duties apply to the full customs value of the imported article. Under the new structure, articles made entirely or predominantly of steel, aluminum, or copper, with limited exceptions, are subject to a 50% duty on their full customs value, while derivative articles with significant metal content are subject to a 25% duty on their full customs value. Products in which the applicable metal content constitutes less than 15% of the aggregate weight of the imported product are no longer subject to Section 232 duties.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continuing to evaluate the potential impact of the imposition of the announced tariffs, the new classification and duty treatment scheme, and any additional or retaliatory tariffs, to our business and financial condition. While we do not believe that the tariffs announced by the U.S. in 2025 and through the date of filing this Quarterly Report on Form 10-Q in 2026 will have a material adverse effect upon our results of operations, financial condition, or liquidity, the actual impact of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Section 337 Investigation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March 25, 2026, the USITC instituted a Section 337 investigation following a complaint by First Solar, Inc. alleging that imports of tunnel oxide passivated contact ("TOPCon") solar cells, modules, and panels infringe a U.S. patent. The complainant has requested a general exclusion order, which, if granted, could direct U.S. Customs and Border Protection to block imports of any TOPCon products found to infringe the asserted patent. The USITC has not yet made any determination on the merits or set a target completion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TOPCon represents a significant share of the modules being procured by U.S. project developers. Should the USITC ultimately issue a general exclusion order, a substantial portion of the module supply available to the U.S. market could be impacted. Any sustained disruption to module availability as a result of this case could adversely affect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Performance Measures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MWs shipped from period to period. MWs are measured for each individual project and are calculated based on the respective project’s expected megawatt output once installed and fully operational.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also utilize metrics related to price and cost of goods sold per MW, including average selling price (“ASP”) and cost per watt (“CPW”). ASP is calculated by dividing total applicable revenues by total applicable MWs,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44</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whereas CPW is calculated by dividing total applicable costs of goods sold by total applicable MWs. These metrics enable us to evaluate trends in pricing, manufacturing cost, and customer profitability.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Key Components of Our Results of Operations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discussion describes certain line items in our condensed consolidated statements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primarily generate revenue from the sale of solar tracking systems, fixed tilt systems, foundation solutions,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 technology and backlog,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When possible, we modify our production schedules and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to mitigate the impact of these disruptions and cost increases on our margins. We do not currently hedge against changes in the price of our raw materials.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Gross profit may vary from quarter to quarter and is primarily affected by our volume, ASPs, product costs, project mix, customer mix, geographical mix, commodity prices, logistics rates, warranty costs, and seasonality.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General and administrative expense consists primarily of salaries, benefits, and equity-based compensation related to our executive, sales, engineering, finance, human resources, information technology, and legal personnel, as well as travel, facility costs, marketing, provision for credit losses, professional fees, and third party services. The majority of our sales during the three months ended March 31, 2026 and 2025, were in the U.S.; however, we also have a sales presence in Spain, Brazil, and Australia. We intend to continue to expand our sales presence and marketing efforts to additional countries.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Contingent consideration consists of the changes in fair value of the TRA entered into with a former indirect stockholder, concurrent with the acquisition of Array Technologies Patent Holdings Co., LLC by ATI Investment Parent, LLC, as well as the Earnout Consideration associated with the APA Purchase Agreement. The TRA liability and Earnout Consideration were recorded at fair value and subsequent changes in the fair values are recognized in earnings. See </w:t>
      </w:r>
      <w:hyperlink w:anchor="i8bb1536239dc4e6fa44434d4894d5151_67">
        <w:r>
          <w:rPr>
            <w:rStyle w:val="InternetLink"/>
            <w:rFonts w:ascii="Arial;sans-serif" w:hAnsi="Arial;sans-serif"/>
            <w:b w:val="false"/>
            <w:color w:val="0000FF"/>
            <w:sz w:val="22"/>
            <w:u w:val="single"/>
          </w:rPr>
          <w:t>Note 12 – Commitments and Contingencies</w:t>
        </w:r>
      </w:hyperlink>
      <w:r>
        <w:rPr>
          <w:color w:val="000000"/>
        </w:rPr>
        <w:t xml:space="preserve"> </w:t>
      </w:r>
      <w:r>
        <w:rPr>
          <w:rFonts w:ascii="Arial;sans-serif" w:hAnsi="Arial;sans-serif"/>
          <w:b w:val="false"/>
          <w:color w:val="000000"/>
          <w:sz w:val="22"/>
        </w:rPr>
        <w:t>for discussion and analysis of the TRA and Earnout Consideration.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consists of the expense recognized over the expected period of use of our Customer relationships, Trade name, and Computer software and other intangible assets. Amortization related to certain acquired intangible assets is recorded as Total cost of revenue under Amortization of developed technology and backlog.</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Non-Operating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income consists of interest earned on our cash and cash equivalents balance.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expense consists of interest and other charges paid in connection with our senior secured credit facility (the “Senior Secured Credit Facility”), which included a $575 million term loan (the “Term Loan Facility”) and includes a $370.0 million revolving credit facility (the “Revolving Credit Facility”); the 1.00% Convertible Senior Notes due 2028 (the “2028 Convertible Notes” and, together with the 2031 Convertible Notes, the “Convertible Notes”); the 2031 Convertible Notes; and other debt held by our STI Operations (“Other Debt”).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U.S. federal, state and non-U.S. income taxes. As we expand into additional foreign markets, we may be subject to additional foreign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46</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Reportable Segments</w:t>
      </w:r>
    </w:p>
    <w:p>
      <w:pPr>
        <w:pStyle w:val="TextBody"/>
        <w:bidi w:val="0"/>
        <w:spacing w:lineRule="auto" w:line="300" w:before="0" w:after="0"/>
        <w:jc w:val="both"/>
        <w:rPr/>
      </w:pPr>
      <w:r>
        <w:rPr>
          <w:rFonts w:ascii="Arial;sans-serif" w:hAnsi="Arial;sans-serif"/>
          <w:b w:val="false"/>
          <w:color w:val="000000"/>
          <w:sz w:val="22"/>
        </w:rPr>
        <w:t xml:space="preserve">We report our results of operations in two segments: the Array Legacy Operations segment and the acquired STI Operations segment. The segment amounts included in this </w:t>
      </w:r>
      <w:hyperlink w:anchor="i8bb1536239dc4e6fa44434d4894d5151_88">
        <w:r>
          <w:rPr>
            <w:rStyle w:val="InternetLink"/>
            <w:rFonts w:ascii="Arial;sans-serif" w:hAnsi="Arial;sans-serif"/>
            <w:b w:val="false"/>
            <w:color w:val="0000FF"/>
            <w:sz w:val="22"/>
            <w:u w:val="single"/>
          </w:rPr>
          <w:t>Item 2. Management’s Discussion and Analysis</w:t>
        </w:r>
      </w:hyperlink>
      <w:r>
        <w:rPr>
          <w:color w:val="000000"/>
        </w:rPr>
        <w:t xml:space="preserve"> </w:t>
      </w:r>
      <w:r>
        <w:rPr>
          <w:rFonts w:ascii="Arial;sans-serif" w:hAnsi="Arial;sans-serif"/>
          <w:b w:val="false"/>
          <w:color w:val="000000"/>
          <w:sz w:val="22"/>
        </w:rPr>
        <w:t xml:space="preserve">are presented on a basis consistent with our internal management reporting. Additional information on our reportable segments is contained in </w:t>
      </w:r>
      <w:hyperlink w:anchor="i8bb1536239dc4e6fa44434d4894d5151_79">
        <w:r>
          <w:rPr>
            <w:rStyle w:val="InternetLink"/>
            <w:rFonts w:ascii="Arial;sans-serif" w:hAnsi="Arial;sans-serif"/>
            <w:b w:val="false"/>
            <w:color w:val="0000FF"/>
            <w:sz w:val="22"/>
            <w:u w:val="single"/>
          </w:rPr>
          <w:t>Note 16 – Segment Reporting</w:t>
        </w:r>
      </w:hyperlink>
      <w:r>
        <w:rPr>
          <w:color w:val="000000"/>
        </w:rPr>
        <w:t xml:space="preserve"> </w:t>
      </w:r>
      <w:r>
        <w:rPr>
          <w:rFonts w:ascii="Arial;sans-serif" w:hAnsi="Arial;sans-serif"/>
          <w:b w:val="false"/>
          <w:color w:val="000000"/>
          <w:sz w:val="22"/>
        </w:rPr>
        <w:t>in the accompanying notes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Results of Operations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sets forth our consolidated statement of operations (in thousands, except percentages):</w:t>
      </w:r>
    </w:p>
    <w:tbl>
      <w:tblPr>
        <w:tblW w:w="10205" w:type="dxa"/>
        <w:jc w:val="left"/>
        <w:tblInd w:w="0" w:type="dxa"/>
        <w:tblLayout w:type="fixed"/>
        <w:tblCellMar>
          <w:top w:w="28" w:type="dxa"/>
          <w:left w:w="28" w:type="dxa"/>
          <w:bottom w:w="28" w:type="dxa"/>
          <w:right w:w="28" w:type="dxa"/>
        </w:tblCellMar>
      </w:tblPr>
      <w:tblGrid>
        <w:gridCol w:w="1086"/>
        <w:gridCol w:w="653"/>
        <w:gridCol w:w="658"/>
        <w:gridCol w:w="109"/>
        <w:gridCol w:w="109"/>
        <w:gridCol w:w="109"/>
        <w:gridCol w:w="109"/>
        <w:gridCol w:w="509"/>
        <w:gridCol w:w="509"/>
        <w:gridCol w:w="510"/>
        <w:gridCol w:w="109"/>
        <w:gridCol w:w="226"/>
        <w:gridCol w:w="946"/>
        <w:gridCol w:w="109"/>
        <w:gridCol w:w="109"/>
        <w:gridCol w:w="109"/>
        <w:gridCol w:w="109"/>
        <w:gridCol w:w="226"/>
        <w:gridCol w:w="946"/>
        <w:gridCol w:w="109"/>
        <w:gridCol w:w="109"/>
        <w:gridCol w:w="109"/>
        <w:gridCol w:w="109"/>
        <w:gridCol w:w="226"/>
        <w:gridCol w:w="860"/>
        <w:gridCol w:w="109"/>
        <w:gridCol w:w="109"/>
        <w:gridCol w:w="109"/>
        <w:gridCol w:w="109"/>
        <w:gridCol w:w="322"/>
        <w:gridCol w:w="324"/>
        <w:gridCol w:w="351"/>
      </w:tblGrid>
      <w:tr>
        <w:trPr/>
        <w:tc>
          <w:tcPr>
            <w:tcW w:w="108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2846" w:type="dxa"/>
            <w:gridSpan w:val="12"/>
            <w:tcBorders/>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225,935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47</w:t>
                      </w:r>
                    </w:p>
                  </w:txbxContent>
                </v:textbox>
                <w10:wrap type="none"/>
              </v:rect>
            </w:pict>
          </mc:Fallback>
        </mc:AlternateContent>
      </w:r>
    </w:p>
    <w:p>
      <w:pPr>
        <w:pStyle w:val="TextBody"/>
        <w:bidi w:val="0"/>
        <w:spacing w:before="120" w:after="120"/>
        <w:jc w:val="both"/>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provides details on our operating results by reportable segment for the respective periods (in thousands, except percentages):</w:t>
      </w:r>
    </w:p>
    <w:tbl>
      <w:tblPr>
        <w:tblW w:w="10205" w:type="dxa"/>
        <w:jc w:val="left"/>
        <w:tblInd w:w="0" w:type="dxa"/>
        <w:tblLayout w:type="fixed"/>
        <w:tblCellMar>
          <w:top w:w="28" w:type="dxa"/>
          <w:left w:w="28" w:type="dxa"/>
          <w:bottom w:w="28" w:type="dxa"/>
          <w:right w:w="28" w:type="dxa"/>
        </w:tblCellMar>
      </w:tblPr>
      <w:tblGrid>
        <w:gridCol w:w="679"/>
        <w:gridCol w:w="598"/>
        <w:gridCol w:w="603"/>
        <w:gridCol w:w="109"/>
        <w:gridCol w:w="109"/>
        <w:gridCol w:w="109"/>
        <w:gridCol w:w="109"/>
        <w:gridCol w:w="699"/>
        <w:gridCol w:w="699"/>
        <w:gridCol w:w="700"/>
        <w:gridCol w:w="109"/>
        <w:gridCol w:w="226"/>
        <w:gridCol w:w="946"/>
        <w:gridCol w:w="109"/>
        <w:gridCol w:w="109"/>
        <w:gridCol w:w="109"/>
        <w:gridCol w:w="109"/>
        <w:gridCol w:w="226"/>
        <w:gridCol w:w="946"/>
        <w:gridCol w:w="109"/>
        <w:gridCol w:w="109"/>
        <w:gridCol w:w="109"/>
        <w:gridCol w:w="109"/>
        <w:gridCol w:w="226"/>
        <w:gridCol w:w="878"/>
        <w:gridCol w:w="109"/>
        <w:gridCol w:w="109"/>
        <w:gridCol w:w="109"/>
        <w:gridCol w:w="109"/>
        <w:gridCol w:w="287"/>
        <w:gridCol w:w="290"/>
        <w:gridCol w:w="349"/>
      </w:tblGrid>
      <w:tr>
        <w:trPr/>
        <w:tc>
          <w:tcPr>
            <w:tcW w:w="67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2793" w:type="dxa"/>
            <w:gridSpan w:val="12"/>
            <w:tcBorders/>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Gross profit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Comparison of the three months ended March 31, 2026 and 2025</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decreased $79.0 million, or 26%, for the three months ended March 31, 2026, compared to the three months ended March 31, 2025, primarily driven by increased revenue from Array Legacy Operations of 2% and decreased revenue from STI Operations of 93%.</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from Array Legacy Operations, inclusive of incremental contributions from APA, increased by $4.2 million, or 2%, for the three months ended March 31, 2026 compared to the three months ended March 31, 2025, primarily driven by an increase of approximately 3% in ASPs, reflecting price increases at the time when revenue contracts were executed.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from STI Operations decreased by $83.1 million, or 93% for the three months ended March 31, 2026 compared to the three months ended March 31, 2025. The decrease was primarily driven by a decrease of approximately 96% in volume due to macroeconomic issues.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by $65.5 million, or 29%, for the three months ended March 31, 2026 compared to the three months ended March 31, 2025, in line with lower volume.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gross profit decreased by $13.4 million, or 18%, for the three months ended March 31, 2026 compared to the three months ended March 31, 2025. Gross margin increased to 28.2% for the three months ended March 31, 2026, as compared to 25.3% during the same period in the prior year.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Legacy Operations gross profit, inclusive of incremental contributions from APA, decreased by $0.4 million, or 1%, for the three months ended March 31, 2026 compared to the three months ended March 31, 2025, while gross margin decreased to 30.0% from 30.8% for the three months ended March 31, 2026 and 2025, respectively. The decrease in gross margin was driven by a 4% increase in cost per watt, partially offset by a 3% increase in average selling prices. The increase in cost per watt was attributable to 9% higher costs, partially offset by a 3% one-time incremental 45x benefit and 2% tariff relief.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decreased by $13.0 million, or 121%, for the three months ended March 31, 2026 compared to the three months ended March 31, 2025. Gross margin for STI Operations decreased to (37.4)% from 12.1% for the three months ended March 31, 2026 and 2025, respectively, driven primarily by an increased cost per watt on lower volumes.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general and administrative expenses, inclusive of APA, increased by $6.5 million, or 15%, for the three months ended March 31, 2026 compared to the three months ended March 31, 2025. The increase was primarily due to increases of $2.7 million from personnel-related expenses and $5.0 million in acquisition-related deferred compensation, partially offset by a decrease of $1.3 million in professional services.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 in the fair value of contingent consideration, inclusive of APA, resulted in a gain of $2.4 million for the three months ended March 31, 2026 compared to the three months ended March 31, 2025, primarily driven by a $0.3 million increase in the fair value of the TRA liability, which was more than offset by a $2.7 million decrease in the fair value of the Earnout Consideration.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depreciation and amortization expense, inclusive of APA, increased by $2.7 million, or 51%, for the three months ended March 31, 2026 compared to the three months ended March 31, 2025. The increase was primarily due to $2.4 million of incremental depreciation and amortization contributed by APA for the three months ended March 31,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Other Income,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income, net was immaterial for the three months ended March 31, 2026 and 2025. Other income, net primarily consists of miscellaneous income and expense items.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Interest Income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income decreased by $0.9 million, or 28%, for the three months ended March 31, 2026 compared to the three months ended March 31, 2025, primarily as a result of lower cash balance and lower yields on our cash management program.</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Interest Expense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expense decreased by $2.5 million, or 31%, for the three months ended March 31, 2026 compared to the three months ended March 31, 2025, primarily due to refinancing with lower interest debt and changes in interest rates on our variable rate obligations.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Income Tax Expense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income tax expense decreased by $4.4 million, or 67%, for the three months ended March 31, 2026 compared to the three months ended March 31, 2025. The Company recorded Income tax expense of $2.1 million and $6.5 million for the three months ended March 31, 2026 and 2025, respectively. Our effective tax rate was 51.6% and 28.1% for the three months ended March 31, 2026 and 2025, respectively.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income tax expense for the three months ended March 31, 2026 was impacted favorably by a higher mix of U.S. profits and tax credits recorded during the period.</w:t>
      </w:r>
      <w:r>
        <w:rPr>
          <w:color w:val="000000"/>
        </w:rPr>
        <w:t xml:space="preserve"> </w:t>
      </w:r>
      <w:r>
        <w:rPr>
          <w:rFonts w:ascii="Arial;sans-serif" w:hAnsi="Arial;sans-serif"/>
          <w:b w:val="false"/>
          <w:color w:val="000000"/>
          <w:sz w:val="22"/>
        </w:rPr>
        <w:t>Additionally, discrete tax items for the quarter resulted in a $1.3 million net tax expense related to equity-based compensation, tax reserve releases and a change in state deferred tax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Liquidity and Capital Resources</w:t>
      </w:r>
    </w:p>
    <w:p>
      <w:pPr>
        <w:pStyle w:val="TextBody"/>
        <w:bidi w:val="0"/>
        <w:spacing w:lineRule="auto" w:line="300" w:before="0" w:after="0"/>
        <w:jc w:val="both"/>
        <w:rPr/>
      </w:pPr>
      <w:r>
        <w:rPr>
          <w:rFonts w:ascii="Arial;sans-serif" w:hAnsi="Arial;sans-serif"/>
          <w:b/>
          <w:color w:val="000000"/>
          <w:sz w:val="22"/>
        </w:rPr>
        <w:t xml:space="preserve">Cash Flows </w:t>
      </w:r>
      <w:r>
        <w:rPr>
          <w:rFonts w:ascii="Arial;sans-serif" w:hAnsi="Arial;sans-serif"/>
          <w:b w:val="false"/>
          <w:i/>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488"/>
        <w:gridCol w:w="2176"/>
        <w:gridCol w:w="2183"/>
        <w:gridCol w:w="264"/>
        <w:gridCol w:w="1069"/>
        <w:gridCol w:w="127"/>
        <w:gridCol w:w="127"/>
        <w:gridCol w:w="127"/>
        <w:gridCol w:w="127"/>
        <w:gridCol w:w="264"/>
        <w:gridCol w:w="1069"/>
        <w:gridCol w:w="184"/>
      </w:tblGrid>
      <w:tr>
        <w:trPr/>
        <w:tc>
          <w:tcPr>
            <w:tcW w:w="248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r>
      <w:tr>
        <w:trPr/>
        <w:tc>
          <w:tcPr>
            <w:tcW w:w="6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operating activities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(29,421)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(13,059)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2,488 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Net change in cash and cash equivalents and restricted cash</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(43,991)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(14,648)</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March 31, 2026, our cash balance was $200.7 million, of which $33.2 million was held outside the U.S., and our net working capital, including cash and cash equivalents, was $489.0 million. We had $342.1 million available to us under our $370.0 million Revolving Credit Facility.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February 18, 2026, Array Tech, Inc. (the “Borrower”) entered into an amendment to the Credit Agreement (the “Fifth Amendment”), by and among the Borrower, the Company’s wholly-owned subsidiary ATI Investment Sub, Inc., as holdings (“Holdings”), Goldman Sachs Bank USA, as administrative agent and collateral agent, and the Lenders (as defined in the Fifth Amendment). The Fifth Amendment: (i) increases the revolving credit facility commitments under the original Credit Agreement from $166 million to $370.0 million; (ii) extends the maturity of the revolving credit facility from October 14, 2028 to February 18, 2031; (iii) removes the credit spread adjustment with respect to Term SOFR (as defined in the Credit Agreement); and (iv) expands the number of currencies under which the Borrower can request revolving credit loans and letters of credit.</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Convertible Notes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3, 2021 and December 9, 2021, the Company completed a $425.0 million private offering ($375.0 million and $50.0 million, respectively), of its 1.00% Convertible Senior Notes due 2028 (the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27, 2025, the Company issued aggregate principal amount of $345.0 million of its 2.875% Convertible Senior Notes due 2031 (the “2031 Convertible Notes” and, together with the 2028 Convertible Notes, the “Convertible Notes”) in a private placement. The Company used approximately $78.4 million of the proceeds from the 2031 Convertible Notes to repurchase $100.0 million aggregate principal amount of the 2028 Convertible Notes. The Company incurred $10.4 million of initial purchasers’ discounts and offering expenses, resulting in net proceeds of $334.6 million. As of March 31, 2026, there was $321.1 million and $335.9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outstanding on the 2028 Convertible Notes and 2031 Convertible Notes, respectively, net of unamortized issuance costs.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2028 Convertible Notes and 2031 Convertible Notes are senior unsecured obligations of the Company and will mature on December 1, 2028, and July 1, 2031, respectively, unless earlier converted redeemed or repurchased. Interest on the 2028 Convertible Notes is payable semiannually in arrears at a rate of 1.00% per year on June 1 and December 1 of each year, beginning on June 1, 2022. Interest on the 2031 Convertible Notes is payable semiannually in arrears at a rate of 2.875% per year on January 1 and July 1 of each year, beginning on January 1, 2026.</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continually monitor and review our liquidity position and funding needs. Our management believes that our ability to generate operating cash flows in the future and available borrowing capacity under our Senior Secured Credit Facility will be sufficient to meet our future liquidity needs.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Activities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three months ended March 31, 2026, cash used in operating activities was $29.4 million, attributable to net loss of $2.0 million and net cash outflow of $50.6 million from Changes in our operating assets and liabilities, partially offset by $19.2 million of non-cash adjustments, mainly consisting of depreciation and amortization expense, and equity-based compensation.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2025, cash used in operating activities was $13.1 million, attributable to net income of $16.7 million and $19.0 million of non-cash adjustments, mainly consisting of depreciation and amortization expense, amortization of developed technology and backlog, and equity-based compensation, partially offset by a net cash outflow of $48.8 million from Changes in our operating assets and liabilities.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Investing Activities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2026 and 2025, net cash used in investing activities was $7.5 million and $2.4 million, respectively, primarily due to the purchase of property, plant and equipment.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Financing Activities</w:t>
      </w:r>
    </w:p>
    <w:p>
      <w:pPr>
        <w:pStyle w:val="TextBody"/>
        <w:bidi w:val="0"/>
        <w:spacing w:lineRule="auto" w:line="300" w:before="0" w:after="0"/>
        <w:jc w:val="both"/>
        <w:rPr/>
      </w:pPr>
      <w:r>
        <w:rPr>
          <w:rFonts w:ascii="Arial;sans-serif" w:hAnsi="Arial;sans-serif"/>
          <w:b w:val="false"/>
          <w:color w:val="000000"/>
          <w:sz w:val="22"/>
        </w:rPr>
        <w:t>For the three months ended March 31, 2026, cash used in financing activities was $7.6 million. This was primarily driven by a $27.4 million repayment of Other Debt and $2.6 million in TRA payments issued, partially offset by $24.2 million</w:t>
      </w:r>
      <w:r>
        <w:rPr>
          <w:color w:val="000000"/>
        </w:rPr>
        <w:t xml:space="preserve"> </w:t>
      </w:r>
      <w:r>
        <w:rPr>
          <w:rFonts w:ascii="Arial;sans-serif" w:hAnsi="Arial;sans-serif"/>
          <w:b w:val="false"/>
          <w:color w:val="000000"/>
          <w:sz w:val="22"/>
        </w:rPr>
        <w:t>in proceeds from the issuance of Other Debt.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2025, cash used in financing activities was $1.7 million. This was primarily driven by a $7.3 million repayment of Other Debt, $1.1 million in payments on our Term Loan Facility, and $1.2 million in TRA payments issued, partially offset by $7.9 million in proceeds from the issuance of Other Debt.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Contractual Obligations and Commitments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Information regarding our debt obligations, lease commitments and other commitments is provided in Item 7, “Management’s Discussion and Analysis of Financial Condition and Results of Operations” in our 2025 Annual Report. Other than as set forth below, there were no material changes in our contractual obligations and commitments as of March 31,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APA Acquisition Earnout Consideration and Deferred Consideration</w:t>
      </w:r>
    </w:p>
    <w:p>
      <w:pPr>
        <w:pStyle w:val="TextBody"/>
        <w:bidi w:val="0"/>
        <w:spacing w:lineRule="auto" w:line="300" w:before="0" w:after="0"/>
        <w:jc w:val="both"/>
        <w:rPr/>
      </w:pPr>
      <w:r>
        <w:rPr>
          <w:rFonts w:ascii="Arial;sans-serif" w:hAnsi="Arial;sans-serif"/>
          <w:b w:val="false"/>
          <w:color w:val="000000"/>
          <w:sz w:val="22"/>
        </w:rPr>
        <w:t xml:space="preserve">As discussed in </w:t>
      </w:r>
      <w:r>
        <w:rPr>
          <w:rFonts w:ascii="Arial;sans-serif" w:hAnsi="Arial;sans-serif"/>
          <w:b w:val="false"/>
          <w:color w:val="0000FF"/>
          <w:sz w:val="22"/>
          <w:u w:val="single"/>
        </w:rPr>
        <w:t>Note 3 – Acquisition</w:t>
      </w:r>
      <w:r>
        <w:rPr>
          <w:color w:val="000000"/>
        </w:rPr>
        <w:t xml:space="preserve"> </w:t>
      </w:r>
      <w:r>
        <w:rPr>
          <w:rFonts w:ascii="Arial;sans-serif" w:hAnsi="Arial;sans-serif"/>
          <w:b w:val="false"/>
          <w:color w:val="000000"/>
          <w:sz w:val="22"/>
        </w:rPr>
        <w:t>in the accompanying notes to the consolidated financial statements, the Purchase Agreement includes provisions providing for the Earnout Consideration and the payment of the Deferred Consideration of approximately $40.0 million. Each of the Deferred Consideration and the Earnout Consideration are described in more detail below.</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The Purchase</w:t>
      </w:r>
      <w:r>
        <w:rPr>
          <w:color w:val="000000"/>
          <w:shd w:fill="FFFFFF" w:val="clear"/>
        </w:rPr>
        <w:t xml:space="preserve"> </w:t>
      </w:r>
      <w:r>
        <w:rPr>
          <w:rFonts w:ascii="Arial;sans-serif" w:hAnsi="Arial;sans-serif"/>
          <w:b w:val="false"/>
          <w:color w:val="000000"/>
          <w:sz w:val="22"/>
          <w:shd w:fill="FFFFFF" w:val="clear"/>
        </w:rPr>
        <w:t xml:space="preserve">Agreement includes an earnout provision pursuant to which Seller may be granted shares of the Company’s common stock, </w:t>
      </w:r>
      <w:r>
        <w:rPr>
          <w:rFonts w:ascii="Arial;sans-serif" w:hAnsi="Arial;sans-serif"/>
          <w:b w:val="false"/>
          <w:color w:val="000000"/>
          <w:sz w:val="22"/>
        </w:rPr>
        <w:t>or equivalent cash value at the Buyer’s discretion,</w:t>
      </w:r>
      <w:r>
        <w:rPr>
          <w:color w:val="000000"/>
          <w:shd w:fill="FFFFFF" w:val="clear"/>
        </w:rPr>
        <w:t xml:space="preserve"> </w:t>
      </w:r>
      <w:r>
        <w:rPr>
          <w:rFonts w:ascii="Arial;sans-serif" w:hAnsi="Arial;sans-serif"/>
          <w:b w:val="false"/>
          <w:color w:val="000000"/>
          <w:sz w:val="22"/>
          <w:shd w:fill="FFFFFF" w:val="clear"/>
        </w:rPr>
        <w:t>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Seller continues to assume the managerial responsibilities of APA. For a discussion of the accounting of the Earnout Consideration, see “</w:t>
      </w:r>
      <w:r>
        <w:rPr>
          <w:color w:val="000000"/>
        </w:rPr>
        <w:t>–</w:t>
      </w:r>
      <w:r>
        <w:rPr>
          <w:rFonts w:ascii="Arial;sans-serif" w:hAnsi="Arial;sans-serif"/>
          <w:b w:val="false"/>
          <w:color w:val="000000"/>
          <w:sz w:val="22"/>
          <w:shd w:fill="FFFFFF" w:val="clear"/>
        </w:rPr>
        <w:t>Business Combinations” below.</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Deferred Consideration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Deferred Consideration which will be payable to Seller in three installments (each, a “Deferred Consideration Installment”): (i) 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Purchase Agreement, the Deferred Consideration Installments are subject to reduction if certain equity holders of Seller cease to be employees of the Company under certain circumstances. Each Deferred Consideration Installment will, at the Company’s election, be paid; (x) in cash; (y) through the issuance of shares of Company common stock, par value $0.001 per share, valued at the closing price on the trading day immediately preceding the applicable Deferred Consideration anniversary (if any such shares are issued, the “Deferred Consideration Shares”); or (z) by any combination of the foregoing. As the Deferred Consideration Installments are tied to future service to the Company, they are considered compensatory and not included in purchase consideration.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10, 2021, we entered into a Securities Purchase Agreement, pursuant to which we issued 400,000 shares of its Series A Redeemable Perpetual Preferred Stock (the “Series A Shares”) and 9,000,000 shares of our common stock for an aggregate purchase price of approximately $395.4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For more information related to the Series A Shares, see </w:t>
      </w:r>
      <w:hyperlink w:anchor="i8bb1536239dc4e6fa44434d4894d5151_58">
        <w:r>
          <w:rPr>
            <w:rStyle w:val="InternetLink"/>
            <w:rFonts w:ascii="Arial;sans-serif" w:hAnsi="Arial;sans-serif"/>
            <w:b w:val="false"/>
            <w:color w:val="0000FF"/>
            <w:sz w:val="22"/>
            <w:u w:val="single"/>
          </w:rPr>
          <w:t>Note 9 – Redeemable Perpetual Preferred Stock</w:t>
        </w:r>
      </w:hyperlink>
      <w:r>
        <w:rPr>
          <w:rFonts w:ascii="Arial;sans-serif" w:hAnsi="Arial;sans-serif"/>
          <w:b w:val="false"/>
          <w:color w:val="000000"/>
          <w:sz w:val="22"/>
        </w:rPr>
        <w:t>, to the accompanying condensed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Debt Obligations </w:t>
      </w:r>
    </w:p>
    <w:p>
      <w:pPr>
        <w:pStyle w:val="TextBody"/>
        <w:bidi w:val="0"/>
        <w:spacing w:lineRule="auto" w:line="300" w:before="0" w:after="0"/>
        <w:jc w:val="both"/>
        <w:rPr/>
      </w:pPr>
      <w:r>
        <w:rPr>
          <w:rFonts w:ascii="Arial;sans-serif" w:hAnsi="Arial;sans-serif"/>
          <w:b w:val="false"/>
          <w:color w:val="000000"/>
          <w:sz w:val="22"/>
        </w:rPr>
        <w:t xml:space="preserve">For a discussion of our debt obligations see </w:t>
      </w:r>
      <w:hyperlink w:anchor="i8bb1536239dc4e6fa44434d4894d5151_55">
        <w:r>
          <w:rPr>
            <w:rStyle w:val="InternetLink"/>
            <w:rFonts w:ascii="Arial;sans-serif" w:hAnsi="Arial;sans-serif"/>
            <w:b w:val="false"/>
            <w:color w:val="0000FF"/>
            <w:sz w:val="22"/>
            <w:u w:val="single"/>
          </w:rPr>
          <w:t>Note 8 – Debt</w:t>
        </w:r>
      </w:hyperlink>
      <w:r>
        <w:rPr>
          <w:color w:val="000000"/>
        </w:rPr>
        <w:t xml:space="preserve"> </w:t>
      </w:r>
      <w:r>
        <w:rPr>
          <w:rFonts w:ascii="Arial;sans-serif" w:hAnsi="Arial;sans-serif"/>
          <w:b w:val="false"/>
          <w:color w:val="000000"/>
          <w:sz w:val="22"/>
        </w:rPr>
        <w:t>to our condensed consolidated financial statements included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52</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required to provide surety bonds to various parties as required for certain transactions initiated during the ordinary course of business to guarantee our performance in accordance with contractual or legal obligations. As of March 31, 2026, we posted surety bonds in the total amount of approximately $230.8 million. These off-balance sheet arrangements do not adversely impact our liquidity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Critical Accounting Policies and Significant Management Estimates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preparing our condensed consolidated financial statements in conformity with U.S. GAAP, we make estimates and assumptions that affect the amounts of reported assets, liabilities, revenues, and expenses, as well as the disclosure of contingent liabilities. Some of our accounting policies require the application of significant judgment in the selection of the appropriate assumptions for making these estimates. By their nature, these judgments are subject to an inherent degree of uncertainty. We base our judgments and estimates on our historical experience, our forecasts, and other available information as appropriate. We believe the judgments and estimates involved in accrued solar module collection and recycling, product warranties, and government grants have the greatest potential impact on our condensed consolidated financial statements. The actual results experienced by us may differ materially and adversely from our estimates. To the extent there are material differences between our estimates and the actual results, our future results of operations will be affected. For a description of the accounting policies that require the most significant judgment and estimates in the preparation of our condensed consolidated financial statements, refer to our 2025 Annual Report.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Business Combinations</w:t>
      </w:r>
    </w:p>
    <w:p>
      <w:pPr>
        <w:pStyle w:val="TextBody"/>
        <w:bidi w:val="0"/>
        <w:spacing w:lineRule="auto" w:line="300" w:before="0" w:after="0"/>
        <w:jc w:val="both"/>
        <w:rPr/>
      </w:pPr>
      <w:r>
        <w:rPr>
          <w:rFonts w:ascii="Arial;sans-serif" w:hAnsi="Arial;sans-serif"/>
          <w:b w:val="false"/>
          <w:color w:val="000000"/>
          <w:sz w:val="22"/>
        </w:rPr>
        <w:t xml:space="preserve">We completed one business combination for purchase consideration of $185.4 million in 2025. In accordance with Accounting Standards Codification (“ASC”) Topic 805 </w:t>
      </w:r>
      <w:r>
        <w:rPr>
          <w:rFonts w:ascii="Arial;sans-serif" w:hAnsi="Arial;sans-serif"/>
          <w:b w:val="false"/>
          <w:i/>
          <w:color w:val="000000"/>
          <w:sz w:val="22"/>
        </w:rPr>
        <w:t>Business Combinations</w:t>
      </w:r>
      <w:r>
        <w:rPr>
          <w:rFonts w:ascii="Arial;sans-serif" w:hAnsi="Arial;sans-serif"/>
          <w:b w:val="false"/>
          <w:color w:val="000000"/>
          <w:sz w:val="22"/>
        </w:rPr>
        <w:t>, total consideration was first allocated to the fair value of assets acquired and liabilities assumed, with the excess being recorded as Goodwill. We use our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was sensitive to changes in underlying assumptions, estimates and market factors. The preliminary fair value of the identifiable intangible assets has been estimated using the Multi-Period Excess Earnings Method (Customer relationships and Backlog), Relief from Royalty Method (Trade name), and Replacement Cost Method (Developed technology and Computer software and other). The significant fair value inputs used to estimate the fair value of the identifiable intangible assets include a discount rate and revenue and expense projections.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 xml:space="preserve">As discussed, the Purchase Agreement includes a provision for the Earnout Consideration. </w:t>
      </w:r>
      <w:r>
        <w:rPr>
          <w:rFonts w:ascii="Arial;sans-serif" w:hAnsi="Arial;sans-serif"/>
          <w:b w:val="false"/>
          <w:color w:val="000000"/>
          <w:sz w:val="22"/>
          <w:shd w:fill="FFFFFF" w:val="clear"/>
        </w:rPr>
        <w:t xml:space="preserve">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Listing Rule 5635(a), the Company will pay cash in lieu of issuing such shares, unless such stockholder approval has been obtained.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Earnout Consideration is accounted for as contingent consideration, and the fair value is estimated each reporting period. As of March 31, 2026, the Earnout Consideration was estimated to have a fair value of $16.4 million using a Monte-Carlo simulation method. Changes in fair value of the contingent liability are recognized in Changes in fair value of contingent consideration in the accompanying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Adoption of New and Recently Issued Accounting Pronouncements</w:t>
      </w:r>
    </w:p>
    <w:p>
      <w:pPr>
        <w:pStyle w:val="TextBody"/>
        <w:bidi w:val="0"/>
        <w:spacing w:lineRule="auto" w:line="300" w:before="0" w:after="0"/>
        <w:jc w:val="both"/>
        <w:rPr/>
      </w:pPr>
      <w:r>
        <w:rPr>
          <w:rFonts w:ascii="Arial;sans-serif" w:hAnsi="Arial;sans-serif"/>
          <w:b w:val="false"/>
          <w:color w:val="000000"/>
          <w:sz w:val="22"/>
        </w:rPr>
        <w:t xml:space="preserve">Refer to </w:t>
      </w:r>
      <w:hyperlink w:anchor="i8bb1536239dc4e6fa44434d4894d5151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to our condensed consolidated financial statements for a discussion of adoption of new and recently issued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have been no material changes to the information previously provided under Item 7A of our 2025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Evaluation of Disclosure Controls and Procedures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management, with the participation of our Chief Executive Officer and Chief Financial Officer, evaluated the effectiveness of our disclosure controls and procedures as of March 31, 2026. Based upon that evaluation, our Chief Executive Officer and Chief Financial Officer concluded that, as of such date, our disclosure controls and procedures were effective at a reasonable assurance level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54</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Changes in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also carried out an evaluation, under the supervision and with participation of management, including our principal executive officer and principal financial officer, of our “internal control over financial reporting” to determine whether any changes in our internal control over financial reporting occurred during the three months ended March 31, 2026 that materially affected or were reasonably likely to materially affect our internal control over financial reporting. Based on that evaluation, there were no such changes in our internal control over financial reporting that occurred during the three months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 Legal Proceedings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From time to time we may be involved in claims arising in the ordinary course of business. To our knowledge, other than the cases described below, no material legal proceedings, governmental actions, investigations or claims are currently pending against us or involve us that, in the opinion of our management, could reasonably be expected to have a material adverse effect on our business and financial condition. The Company believes the claims alleged in the actions discussed below are without merit and intends to continue to vigorously defend its position in these matters.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Plymouth Class Action</w:t>
      </w:r>
    </w:p>
    <w:p>
      <w:pPr>
        <w:pStyle w:val="TextBody"/>
        <w:bidi w:val="0"/>
        <w:spacing w:lineRule="auto" w:line="300" w:before="0" w:after="0"/>
        <w:jc w:val="both"/>
        <w:rPr/>
      </w:pPr>
      <w:r>
        <w:rPr>
          <w:rFonts w:ascii="Arial;sans-serif" w:hAnsi="Arial;sans-serif"/>
          <w:b w:val="false"/>
          <w:color w:val="000000"/>
          <w:sz w:val="22"/>
        </w:rPr>
        <w:t xml:space="preserve">On May 14, 2021, a putative class action (the “Plymouth Action”) was filed in the U.S. District Court for the Southern District of New </w:t>
      </w:r>
      <w:r>
        <w:rPr>
          <w:rFonts w:ascii="Arial;sans-serif" w:hAnsi="Arial;sans-serif"/>
          <w:b w:val="false"/>
          <w:color w:val="000000"/>
          <w:sz w:val="24"/>
        </w:rPr>
        <w:t>York</w:t>
      </w:r>
      <w:r>
        <w:rPr>
          <w:color w:val="000000"/>
        </w:rPr>
        <w:t xml:space="preserve"> </w:t>
      </w:r>
      <w:r>
        <w:rPr>
          <w:rFonts w:ascii="Arial;sans-serif" w:hAnsi="Arial;sans-serif"/>
          <w:b w:val="false"/>
          <w:color w:val="000000"/>
          <w:sz w:val="22"/>
        </w:rPr>
        <w:t>(the “District Court”) against the Company and certain officers and directors alleging violations of Sections 10(b) and 20(a) of the Securities Exchange Act of 1934, as amended (the “</w:t>
      </w:r>
      <w:r>
        <w:rPr>
          <w:rFonts w:ascii="Arial;sans-serif" w:hAnsi="Arial;sans-serif"/>
          <w:b w:val="false"/>
          <w:color w:val="000000"/>
          <w:sz w:val="24"/>
        </w:rPr>
        <w:t>Exchange Act”)</w:t>
      </w:r>
      <w:r>
        <w:rPr>
          <w:rFonts w:ascii="Arial;sans-serif" w:hAnsi="Arial;sans-serif"/>
          <w:b w:val="false"/>
          <w:color w:val="000000"/>
          <w:sz w:val="22"/>
        </w:rPr>
        <w:t>, and Rule 10b-5, promulgated thereunder, and Sections 11, 12(a)(2) and 15 of the Securities Act of 1933, as amended (the “</w:t>
      </w:r>
      <w:r>
        <w:rPr>
          <w:rFonts w:ascii="Arial;sans-serif" w:hAnsi="Arial;sans-serif"/>
          <w:b w:val="false"/>
          <w:color w:val="000000"/>
          <w:sz w:val="24"/>
        </w:rPr>
        <w:t>Securities Act”).</w:t>
      </w:r>
      <w:r>
        <w:rPr>
          <w:color w:val="000000"/>
        </w:rPr>
        <w:t xml:space="preserve"> </w:t>
      </w:r>
      <w:r>
        <w:rPr>
          <w:rFonts w:ascii="Arial;sans-serif" w:hAnsi="Arial;sans-serif"/>
          <w:b w:val="false"/>
          <w:color w:val="000000"/>
          <w:sz w:val="22"/>
        </w:rPr>
        <w:t>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 A consolidated amended class action complaint was filed on December 7, 2021.</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 On August 4, 2023, the lead plaintiffs filed a notice of appeal of the court’s dismissal of the consolidated amended complaint to the U.S. Court of Appeals for the Second Circuit. After full briefing, the court of appeals heard oral argument on June 26, 2024</w:t>
      </w:r>
      <w:r>
        <w:rPr>
          <w:rFonts w:ascii="Arial;sans-serif" w:hAnsi="Arial;sans-serif"/>
          <w:b w:val="false"/>
          <w:color w:val="000000"/>
          <w:sz w:val="24"/>
        </w:rPr>
        <w:t>.</w:t>
      </w:r>
      <w:r>
        <w:rPr>
          <w:color w:val="000000"/>
        </w:rPr>
        <w:t xml:space="preserve"> </w:t>
      </w:r>
      <w:r>
        <w:rPr>
          <w:rFonts w:ascii="Arial;sans-serif" w:hAnsi="Arial;sans-serif"/>
          <w:b w:val="false"/>
          <w:color w:val="000000"/>
          <w:sz w:val="22"/>
        </w:rPr>
        <w:t>On March 24, 2026, the Second Circuit issued a summary order affirming the District Court's dismissal of the Plymouth Action with prejudice.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Derivative Complaints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Southern District of New York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16, 2021, a verified derivative complaint was filed in the Southern District of New York against certain officers and directors of the Company. The complaint alleged: (i) violations of Section 14(a) of the Exchange Act for misleading proxy statements; (ii) breach of fiduciary duty; (iii) unjust enrichment; (iv) abuse of control; (v) gross mismanagement; (vi) corporate waste; (vii) aiding and abetting breach of fiduciary duty; and (viii) contribution under Sections 10(b) and 21D of the Exchange 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30, 2021, a second verified derivative complaint was filed in the Southern District of New York against certain officers and directors of the Company. The complaint alleged: (i) violations of Section 14(a) of the Exchange Act for causing the issuance of a false/misleading proxy statement; (ii) breach of fiduciary duty; and (iii) aiding and abetting breaches of fiduciary duty.</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24, 2021, the Southern District of New York derivative actions were consolidated, and the court appointed co-lead counsel. On April 28, 2026, the District Court entered a stipulation and order submitted by the parties voluntarily dismissing the New York derivative action in light of the Second Circuit Court of Appeals’ affirmance of the dismissal of the Plymouth Action with prejudice.</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Delaware Court of Chancery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3, 2022, a verified derivative complaint was filed in the Court of Chancery of the State of Delaware against certain officers and directors of the Company, asserting claims for: (i) breach of fiduciary duty; and (ii) unjust enrichment. The derivative plaintiff in this action seeks: an award of compensatory damages in favor of the Company; restitution from the defendants and disgorgement of profits, benefits, and other compensation obtained by the defendants; an order directing the Company to reform its corporate governance and internal procedures; equitable or injunctive relief as permitted by law and equity; and the costs and disbursements of the action, including attorneys’ fees.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11, 2022, a second verified derivative complaint was filed with the Court of Chancery against certain officers and directors of the Company, asserting claims for: (i) breach of fiduciary duty; (ii) aiding and abetting breaches of fiduciary duty; (iii) waste of corporate assets; (iv) unjust enrichment; (v) insider selling; and (vi) aiding and abetting insider selling. The derivative plaintiff in this action seeks: declaratory relief; an award of compensatory damages in favor of the Company; disgorgement of profits obtained from certain sales of Company stock by certain of the defendants; establishment of a constructive trust over certain amounts obtained by certain of the defendants; and the costs and disbursements of the action, including attorneys’ fees.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derivative cases with the Court of Chancery were consolidated and the court appointed co-lead counsel. The consolidated cases remain stayed pending the outcome of the appeal of the Plymouth Action.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Sterling and Wilson Solar Solutions, Inc. (“SWSS”) vs. Array Technologies, Inc.</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September 16, 2025, Sterling &amp; Wilson Solar Solutions Inc. (“SWSS”) served an arbitration demand (the “Demand”) on the Company asserting contractual and negligence claims purportedly arising out of the Company’s provision of goods for use in a solar project in Bickleton, Washington. The Company filed its Answer on October 30, 2025, and asserted defenses, including that (i) SWSS’s claims are barred by applicable contractual limitations provisions and statutes of limitations, and (ii) are otherwise unsupported. In February 2026, SWSS filed a statement of claims and damages, specifying that it is seeking contractual damages from the Company, and further adding a claim seeking indemnification by the Company for any damages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by SWSS relating to counterclaims brought against SWSS in another litigation concerning the same solar project. The Company is not a party to that litigation. The amount of potential damages to SWSS, if any, is unknown because the Company understands the underlying litigation to be in its early and preliminary stages. On March 5, 2026, the Company sought leave to file a dispositive motion concerning all of SWSS’ claims. On March 24, 2026, that request was denied, but the arbitration panel noted that it would consider additional requests at a later date. On April 29, 2026, the parties requested that the panel stay the arbitration pending the resolution of the underlying litigation. The Company is vigorously defending the arbitration.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1A. Risk Factors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Except to the extent additional factual information disclosed elsewhere in this Quarterly Report relates to such risk factors (including, without limitation, the matters discussed in </w:t>
      </w:r>
      <w:hyperlink w:anchor="i8bb1536239dc4e6fa44434d4894d5151_88">
        <w:r>
          <w:rPr>
            <w:rStyle w:val="InternetLink"/>
            <w:rFonts w:ascii="Arial;sans-serif" w:hAnsi="Arial;sans-serif"/>
            <w:b w:val="false"/>
            <w:color w:val="0000FF"/>
            <w:sz w:val="22"/>
            <w:u w:val="single"/>
          </w:rPr>
          <w:t>Part I, Item 2, “Management’s Discussion and Analysis of Financial Condition and Results of Operations”</w:t>
        </w:r>
      </w:hyperlink>
      <w:r>
        <w:rPr>
          <w:rFonts w:ascii="Arial;sans-serif" w:hAnsi="Arial;sans-serif"/>
          <w:b w:val="false"/>
          <w:color w:val="000000"/>
          <w:sz w:val="22"/>
        </w:rPr>
        <w:t xml:space="preserve">), there were no material changes to the risk factors disclosed in Part I, Item 1A, in our </w:t>
      </w:r>
      <w:hyperlink r:id="rId3">
        <w:r>
          <w:rPr>
            <w:rStyle w:val="InternetLink"/>
          </w:rPr>
          <w:t>202</w:t>
        </w:r>
      </w:hyperlink>
      <w:hyperlink r:id="rId4">
        <w:r>
          <w:rPr>
            <w:rStyle w:val="InternetLink"/>
          </w:rPr>
          <w:t>5</w:t>
        </w:r>
      </w:hyperlink>
      <w:hyperlink r:id="rId5">
        <w:r>
          <w:rPr>
            <w:rStyle w:val="InternetLink"/>
          </w:rPr>
          <w:t xml:space="preserve"> Annual Report</w:t>
        </w:r>
      </w:hyperlink>
      <w:r>
        <w:rPr>
          <w:rFonts w:ascii="Arial;sans-serif" w:hAnsi="Arial;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2. Unregistered Sales of Equity Securities, Use of Proceeds and Issuer Purchases of Equity Securities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Defaults Upon Senior Securities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5. Other Information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10b5-1 Trading Plans</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 xml:space="preserve">From time to time, our directors and executive officers may adopt plans for the purchase or sale of our securities. Such plans may be designed to satisfy the affirmative defense conditions of Rule 10b5-1 under the Exchange Act or may constitute non-Rule 10b5-1 trading arrangements (as defined in Item 408(c) of Regulation S-K). </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Neil Manning, our President and Chief Operating Officer, adopted a written plan that is intended to satisfy the affirmative defense conditions of Rule 10b5-1(c). The plan provides for the sale of up to 10,000 shares of common stock of the Company. The plan was adopted on March 17, 2026 and will expire on March 16, 2027, subject to early termination for certain specified events set forth in the plan.</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During the three months ended March 31, 2026, no other director or executive officer adopted, amended or terminated any such plan or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57</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6. Exhibits</w:t>
      </w:r>
    </w:p>
    <w:tbl>
      <w:tblPr>
        <w:tblW w:w="10205" w:type="dxa"/>
        <w:jc w:val="center"/>
        <w:tblInd w:w="0" w:type="dxa"/>
        <w:tblLayout w:type="fixed"/>
        <w:tblCellMar>
          <w:top w:w="28" w:type="dxa"/>
          <w:left w:w="28" w:type="dxa"/>
          <w:bottom w:w="28" w:type="dxa"/>
          <w:right w:w="28" w:type="dxa"/>
        </w:tblCellMar>
      </w:tblPr>
      <w:tblGrid>
        <w:gridCol w:w="351"/>
        <w:gridCol w:w="308"/>
        <w:gridCol w:w="309"/>
        <w:gridCol w:w="109"/>
        <w:gridCol w:w="109"/>
        <w:gridCol w:w="109"/>
        <w:gridCol w:w="2066"/>
        <w:gridCol w:w="1732"/>
        <w:gridCol w:w="1737"/>
        <w:gridCol w:w="109"/>
        <w:gridCol w:w="109"/>
        <w:gridCol w:w="109"/>
        <w:gridCol w:w="220"/>
        <w:gridCol w:w="220"/>
        <w:gridCol w:w="221"/>
        <w:gridCol w:w="121"/>
        <w:gridCol w:w="121"/>
        <w:gridCol w:w="121"/>
        <w:gridCol w:w="255"/>
        <w:gridCol w:w="255"/>
        <w:gridCol w:w="257"/>
        <w:gridCol w:w="121"/>
        <w:gridCol w:w="121"/>
        <w:gridCol w:w="121"/>
        <w:gridCol w:w="259"/>
        <w:gridCol w:w="259"/>
        <w:gridCol w:w="37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Incorporation by Reference</w:t>
            </w:r>
          </w:p>
        </w:tc>
      </w:tr>
      <w:tr>
        <w:trPr/>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Filing Date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Exhibit</w:t>
            </w:r>
          </w:p>
        </w:tc>
      </w:tr>
      <w:tr>
        <w:trPr/>
        <w:tc>
          <w:tcPr>
            <w:tcW w:w="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2"/>
                  <w:u w:val="single"/>
                </w:rPr>
                <w:t>Amended and Restated Certificate of Incorporation of Array Technologies, Inc., dated October 19,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2"/>
                  <w:u w:val="single"/>
                </w:rPr>
                <w:t>Amended and Restated Bylaws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Arial;sans-serif" w:hAnsi="Arial;sans-serif"/>
                  <w:b w:val="false"/>
                  <w:color w:val="0000FF"/>
                  <w:sz w:val="22"/>
                  <w:u w:val="single"/>
                </w:rPr>
                <w:t>Certificate of Designations of Series A Perpetual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8/11/2021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2"/>
                  <w:u w:val="single"/>
                </w:rPr>
                <w:t>Amendment No. 5 to the Credit Agreement, dated as of February 18, 2026, by and among Array Tech, Inc., as borrower, ATI Investment Sub, Inc. as holdings, Goldman Sachs Bank USA, as administrative agent, and the additional lenders party thereto (in such capacities indicated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2/18/2026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2"/>
                  <w:u w:val="single"/>
                </w:rPr>
                <w:t>Equity Purchase Agreement, dated June 17, 2025, by and among STINorland USA, Inc., Array Technologies, Inc., APA Solar, LLC, SunHoldings, LLC and the Guarantors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6/18/2025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2"/>
                  <w:u w:val="single"/>
                </w:rPr>
                <w:t>First Amendment to Equity Purchase Agreement, dated August 14, 2025, by and among STINorland USA, Inc., Array Technologies, Inc., APA Solar, LLC, SunHoldings, LLC and the Guarantors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8/14/2025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2.2</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202610-qq1.htm">
              <w:r>
                <w:rPr>
                  <w:rStyle w:val="InternetLink"/>
                  <w:rFonts w:ascii="Arial;sans-serif" w:hAnsi="Arial;sans-serif"/>
                  <w:b w:val="false"/>
                  <w:color w:val="0000FF"/>
                  <w:sz w:val="22"/>
                  <w:u w:val="single"/>
                </w:rPr>
                <w:t>Certification of the Chief Executive Officer, as required by Section 302 of the Sarbanes- 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202610-qq1.htm">
              <w:r>
                <w:rPr>
                  <w:rStyle w:val="InternetLink"/>
                  <w:rFonts w:ascii="Arial;sans-serif" w:hAnsi="Arial;sans-serif"/>
                  <w:b w:val="false"/>
                  <w:color w:val="0000FF"/>
                  <w:sz w:val="22"/>
                  <w:u w:val="single"/>
                </w:rPr>
                <w:t>Certification of the Chief Financial Officer, as required by Section 302 of the Sarbanes- 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202610-qq1.htm">
              <w:r>
                <w:rPr>
                  <w:rStyle w:val="InternetLink"/>
                  <w:rFonts w:ascii="Arial;sans-serif" w:hAnsi="Arial;sans-serif"/>
                  <w:b w:val="false"/>
                  <w:color w:val="0000FF"/>
                  <w:sz w:val="22"/>
                  <w:u w:val="single"/>
                </w:rPr>
                <w:t>Certification of the Chief Executive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202610-qq1.htm">
              <w:r>
                <w:rPr>
                  <w:rStyle w:val="InternetLink"/>
                  <w:rFonts w:ascii="Arial;sans-serif" w:hAnsi="Arial;sans-serif"/>
                  <w:b w:val="false"/>
                  <w:color w:val="0000FF"/>
                  <w:sz w:val="22"/>
                  <w:u w:val="single"/>
                </w:rPr>
                <w:t>Certification of the Chief Financial Officer, as required by Section 906 of the Sarbanes-Oxley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Cover Page Interactive Data Files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Filed herewith</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 This certification is being furnished solely to accompany this Quarterly Report on Form 10-Q pursuant to 18 U.S.C. Section 1350, and is not being filed for purposes of Section 18 of the Securities Exchange Act of 1934,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58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amended, and is not to be incorporated by reference into any filing of the Company, whether made before or after the date hereof, regardless of any general incorporation language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59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Array Technologies, Inc.</w:t>
      </w:r>
    </w:p>
    <w:p>
      <w:pPr>
        <w:pStyle w:val="TextBody"/>
        <w:bidi w:val="0"/>
        <w:spacing w:before="0" w:after="0"/>
        <w:jc w:val="left"/>
        <w:rPr/>
      </w:pPr>
      <w:r>
        <w:rPr/>
      </w:r>
    </w:p>
    <w:p>
      <w:pPr>
        <w:pStyle w:val="TextBody"/>
        <w:bidi w:val="0"/>
        <w:spacing w:before="0" w:after="0"/>
        <w:jc w:val="left"/>
        <w:rPr/>
      </w:pPr>
      <w:r>
        <w:rPr/>
      </w:r>
    </w:p>
    <w:tbl>
      <w:tblPr>
        <w:tblW w:w="4798" w:type="dxa"/>
        <w:jc w:val="left"/>
        <w:tblInd w:w="0" w:type="dxa"/>
        <w:tblLayout w:type="fixed"/>
        <w:tblCellMar>
          <w:top w:w="28" w:type="dxa"/>
          <w:left w:w="28" w:type="dxa"/>
          <w:bottom w:w="28" w:type="dxa"/>
          <w:right w:w="28" w:type="dxa"/>
        </w:tblCellMar>
      </w:tblPr>
      <w:tblGrid>
        <w:gridCol w:w="162"/>
        <w:gridCol w:w="143"/>
        <w:gridCol w:w="145"/>
        <w:gridCol w:w="789"/>
        <w:gridCol w:w="789"/>
        <w:gridCol w:w="791"/>
        <w:gridCol w:w="209"/>
        <w:gridCol w:w="209"/>
        <w:gridCol w:w="211"/>
        <w:gridCol w:w="395"/>
        <w:gridCol w:w="395"/>
        <w:gridCol w:w="56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G. Hostetler</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May 6, 2026</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G. Hostetler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Chief Executive Officer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4693" w:type="dxa"/>
        <w:jc w:val="left"/>
        <w:tblInd w:w="0" w:type="dxa"/>
        <w:tblLayout w:type="fixed"/>
        <w:tblCellMar>
          <w:top w:w="28" w:type="dxa"/>
          <w:left w:w="28" w:type="dxa"/>
          <w:bottom w:w="28" w:type="dxa"/>
          <w:right w:w="28" w:type="dxa"/>
        </w:tblCellMar>
      </w:tblPr>
      <w:tblGrid>
        <w:gridCol w:w="162"/>
        <w:gridCol w:w="143"/>
        <w:gridCol w:w="145"/>
        <w:gridCol w:w="754"/>
        <w:gridCol w:w="754"/>
        <w:gridCol w:w="756"/>
        <w:gridCol w:w="209"/>
        <w:gridCol w:w="209"/>
        <w:gridCol w:w="211"/>
        <w:gridCol w:w="395"/>
        <w:gridCol w:w="395"/>
        <w:gridCol w:w="56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 Keith Jennings</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May 6, 2026</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H. Keith Jennings</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Chief Financial Officer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60</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Kevin G. Hostetler,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1.</w:t>
      </w:r>
      <w:r>
        <w:rPr>
          <w:rFonts w:ascii="Arial;sans-serif" w:hAnsi="Arial;sans-serif"/>
          <w:b w:val="false"/>
          <w:color w:val="000000"/>
          <w:sz w:val="20"/>
        </w:rPr>
        <w:t>I have reviewed this Quarterly Report on Form 10-Q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 Keith Jennings,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099" w:type="dxa"/>
        <w:jc w:val="left"/>
        <w:tblInd w:w="0" w:type="dxa"/>
        <w:tblLayout w:type="fixed"/>
        <w:tblCellMar>
          <w:top w:w="28" w:type="dxa"/>
          <w:left w:w="28" w:type="dxa"/>
          <w:bottom w:w="28" w:type="dxa"/>
          <w:right w:w="28" w:type="dxa"/>
        </w:tblCellMar>
      </w:tblPr>
      <w:tblGrid>
        <w:gridCol w:w="672"/>
        <w:gridCol w:w="590"/>
        <w:gridCol w:w="837"/>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Keith Jennings</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 Keith Jennings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In connection with this Quarterly Report of Array Technologies, Inc. (the </w:t>
      </w:r>
      <w:r>
        <w:rPr>
          <w:color w:val="000000"/>
        </w:rPr>
        <w:t>“</w:t>
      </w:r>
      <w:r>
        <w:rPr>
          <w:rFonts w:ascii="Arial;sans-serif" w:hAnsi="Arial;sans-serif"/>
          <w:b w:val="false"/>
          <w:color w:val="000000"/>
          <w:sz w:val="20"/>
        </w:rPr>
        <w:t>Company</w:t>
      </w:r>
      <w:r>
        <w:rPr>
          <w:color w:val="000000"/>
        </w:rPr>
        <w:t>”</w:t>
      </w:r>
      <w:r>
        <w:rPr>
          <w:rFonts w:ascii="Arial;sans-serif" w:hAnsi="Arial;sans-serif"/>
          <w:b w:val="false"/>
          <w:color w:val="000000"/>
          <w:sz w:val="20"/>
        </w:rPr>
        <w:t xml:space="preserve">) filed on Form 10-Q for the quarter ended March 31, 2026, as filed with the Securities and Exchange Commission on the date hereof (the </w:t>
      </w:r>
      <w:r>
        <w:rPr>
          <w:color w:val="000000"/>
        </w:rPr>
        <w:t>“</w:t>
      </w:r>
      <w:r>
        <w:rPr>
          <w:rFonts w:ascii="Arial;sans-serif" w:hAnsi="Arial;sans-serif"/>
          <w:b w:val="false"/>
          <w:color w:val="000000"/>
          <w:sz w:val="20"/>
        </w:rPr>
        <w:t>Report</w:t>
      </w:r>
      <w:r>
        <w:rPr>
          <w:color w:val="000000"/>
        </w:rPr>
        <w:t>”</w:t>
      </w:r>
      <w:r>
        <w:rPr>
          <w:rFonts w:ascii="Arial;sans-serif" w:hAnsi="Arial;sans-serif"/>
          <w:b w:val="false"/>
          <w:color w:val="000000"/>
          <w:sz w:val="20"/>
        </w:rPr>
        <w:t>), I, Kevin G. Hostetler,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May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In connection with this Quarterly Report of Array Technologies, Inc. (the </w:t>
      </w:r>
      <w:r>
        <w:rPr>
          <w:color w:val="000000"/>
        </w:rPr>
        <w:t>“</w:t>
      </w:r>
      <w:r>
        <w:rPr>
          <w:rFonts w:ascii="Arial;sans-serif" w:hAnsi="Arial;sans-serif"/>
          <w:b w:val="false"/>
          <w:color w:val="000000"/>
          <w:sz w:val="20"/>
        </w:rPr>
        <w:t>Company</w:t>
      </w:r>
      <w:r>
        <w:rPr>
          <w:color w:val="000000"/>
        </w:rPr>
        <w:t>”</w:t>
      </w:r>
      <w:r>
        <w:rPr>
          <w:rFonts w:ascii="Arial;sans-serif" w:hAnsi="Arial;sans-serif"/>
          <w:b w:val="false"/>
          <w:color w:val="000000"/>
          <w:sz w:val="20"/>
        </w:rPr>
        <w:t xml:space="preserve">) filed on Form 10-Q for the quarter ended March 31, 2026, as filed with the Securities and Exchange Commission on the date hereof (the </w:t>
      </w:r>
      <w:r>
        <w:rPr>
          <w:color w:val="000000"/>
        </w:rPr>
        <w:t>“</w:t>
      </w:r>
      <w:r>
        <w:rPr>
          <w:rFonts w:ascii="Arial;sans-serif" w:hAnsi="Arial;sans-serif"/>
          <w:b w:val="false"/>
          <w:color w:val="000000"/>
          <w:sz w:val="20"/>
        </w:rPr>
        <w:t>Report</w:t>
      </w:r>
      <w:r>
        <w:rPr>
          <w:color w:val="000000"/>
        </w:rPr>
        <w:t>”</w:t>
      </w:r>
      <w:r>
        <w:rPr>
          <w:rFonts w:ascii="Arial;sans-serif" w:hAnsi="Arial;sans-serif"/>
          <w:b w:val="false"/>
          <w:color w:val="000000"/>
          <w:sz w:val="20"/>
        </w:rPr>
        <w:t>), I, H. Keith Jennings, Chief Financial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099" w:type="dxa"/>
        <w:jc w:val="left"/>
        <w:tblInd w:w="0" w:type="dxa"/>
        <w:tblLayout w:type="fixed"/>
        <w:tblCellMar>
          <w:top w:w="28" w:type="dxa"/>
          <w:left w:w="28" w:type="dxa"/>
          <w:bottom w:w="28" w:type="dxa"/>
          <w:right w:w="28" w:type="dxa"/>
        </w:tblCellMar>
      </w:tblPr>
      <w:tblGrid>
        <w:gridCol w:w="672"/>
        <w:gridCol w:w="590"/>
        <w:gridCol w:w="837"/>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Keith Jennings</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 Keith Jennings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6,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20721/000182072126000008/arry-20251231.htm" TargetMode="External"/><Relationship Id="rId4" Type="http://schemas.openxmlformats.org/officeDocument/2006/relationships/hyperlink" Target="https://www.sec.gov/ix?doc=/Archives/edgar/data/0001820721/000182072126000008/arry-20251231.htm" TargetMode="External"/><Relationship Id="rId5" Type="http://schemas.openxmlformats.org/officeDocument/2006/relationships/hyperlink" Target="https://www.sec.gov/ix?doc=/Archives/edgar/data/0001820721/000182072126000008/arry-20251231.htm" TargetMode="External"/><Relationship Id="rId6" Type="http://schemas.openxmlformats.org/officeDocument/2006/relationships/hyperlink" Target="https://www.sec.gov/Archives/edgar/data/1820721/000119312520272092/d50569dex31.htm" TargetMode="External"/><Relationship Id="rId7" Type="http://schemas.openxmlformats.org/officeDocument/2006/relationships/hyperlink" Target="https://www.sec.gov/Archives/edgar/data/1820721/000119312520272092/d50569dex32.htm" TargetMode="External"/><Relationship Id="rId8" Type="http://schemas.openxmlformats.org/officeDocument/2006/relationships/hyperlink" Target="https://www.sec.gov/Archives/edgar/data/0001820721/000182072121000057/helios-certificateofdesign.htm" TargetMode="External"/><Relationship Id="rId9" Type="http://schemas.openxmlformats.org/officeDocument/2006/relationships/hyperlink" Target="https://www.sec.gov/Archives/edgar/data/1820721/000119312526057110/d752776dex101.htm" TargetMode="External"/><Relationship Id="rId10" Type="http://schemas.openxmlformats.org/officeDocument/2006/relationships/hyperlink" Target="https://www.sec.gov/Archives/edgar/data/1820721/000119312525142342/d931026dex21.htm" TargetMode="External"/><Relationship Id="rId11" Type="http://schemas.openxmlformats.org/officeDocument/2006/relationships/hyperlink" Target="https://www.sec.gov/Archives/edgar/data/1820721/000119312525180827/d41409dex2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26787</Words>
  <Characters>151172</Characters>
  <CharactersWithSpaces>176753</CharactersWithSpaces>
  <Paragraphs>2243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