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6840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85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ARRAY TECHNOLOGIES,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center"/>
              <w:ind w:left="422"/>
              <w:spacing w:after="0"/>
              <w:rPr>
                <w:sz w:val="20"/>
                <w:szCs w:val="20"/>
                <w:color w:val="auto"/>
              </w:rPr>
            </w:pPr>
            <w:r>
              <w:rPr>
                <w:rFonts w:ascii="Arial" w:cs="Arial" w:eastAsia="Arial" w:hAnsi="Arial"/>
                <w:sz w:val="18"/>
                <w:szCs w:val="18"/>
                <w:b w:val="1"/>
                <w:bCs w:val="1"/>
                <w:color w:val="auto"/>
                <w:w w:val="91"/>
              </w:rPr>
              <w:t>Delaware</w:t>
            </w:r>
          </w:p>
        </w:tc>
        <w:tc>
          <w:tcPr>
            <w:tcW w:w="5660" w:type="dxa"/>
            <w:vAlign w:val="bottom"/>
          </w:tcPr>
          <w:p>
            <w:pPr>
              <w:ind w:left="2060"/>
              <w:spacing w:after="0"/>
              <w:rPr>
                <w:sz w:val="20"/>
                <w:szCs w:val="20"/>
                <w:color w:val="auto"/>
              </w:rPr>
            </w:pPr>
            <w:r>
              <w:rPr>
                <w:rFonts w:ascii="Arial" w:cs="Arial" w:eastAsia="Arial" w:hAnsi="Arial"/>
                <w:sz w:val="18"/>
                <w:szCs w:val="18"/>
                <w:b w:val="1"/>
                <w:bCs w:val="1"/>
                <w:color w:val="auto"/>
              </w:rPr>
              <w:t>001-39613</w:t>
            </w:r>
          </w:p>
        </w:tc>
        <w:tc>
          <w:tcPr>
            <w:tcW w:w="2780" w:type="dxa"/>
            <w:vAlign w:val="bottom"/>
          </w:tcPr>
          <w:p>
            <w:pPr>
              <w:jc w:val="center"/>
              <w:ind w:right="1122"/>
              <w:spacing w:after="0"/>
              <w:rPr>
                <w:sz w:val="20"/>
                <w:szCs w:val="20"/>
                <w:color w:val="auto"/>
              </w:rPr>
            </w:pPr>
            <w:r>
              <w:rPr>
                <w:rFonts w:ascii="Arial" w:cs="Arial" w:eastAsia="Arial" w:hAnsi="Arial"/>
                <w:sz w:val="18"/>
                <w:szCs w:val="18"/>
                <w:b w:val="1"/>
                <w:bCs w:val="1"/>
                <w:color w:val="auto"/>
                <w:w w:val="89"/>
              </w:rPr>
              <w:t>83-2747826</w:t>
            </w:r>
          </w:p>
        </w:tc>
      </w:tr>
      <w:tr>
        <w:trPr>
          <w:trHeight w:val="193"/>
        </w:trPr>
        <w:tc>
          <w:tcPr>
            <w:tcW w:w="2740" w:type="dxa"/>
            <w:vAlign w:val="bottom"/>
          </w:tcPr>
          <w:p>
            <w:pPr>
              <w:jc w:val="center"/>
              <w:ind w:left="402"/>
              <w:spacing w:after="0"/>
              <w:rPr>
                <w:sz w:val="20"/>
                <w:szCs w:val="20"/>
                <w:color w:val="auto"/>
              </w:rPr>
            </w:pPr>
            <w:r>
              <w:rPr>
                <w:rFonts w:ascii="Arial" w:cs="Arial" w:eastAsia="Arial" w:hAnsi="Arial"/>
                <w:sz w:val="14"/>
                <w:szCs w:val="14"/>
                <w:b w:val="1"/>
                <w:bCs w:val="1"/>
                <w:color w:val="auto"/>
                <w:w w:val="93"/>
              </w:rPr>
              <w:t>(State or Other Jurisdiction</w:t>
            </w:r>
          </w:p>
        </w:tc>
        <w:tc>
          <w:tcPr>
            <w:tcW w:w="5660" w:type="dxa"/>
            <w:vAlign w:val="bottom"/>
          </w:tcPr>
          <w:p>
            <w:pPr>
              <w:ind w:left="2040"/>
              <w:spacing w:after="0"/>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740" w:type="dxa"/>
            <w:vAlign w:val="bottom"/>
          </w:tcPr>
          <w:p>
            <w:pPr>
              <w:jc w:val="center"/>
              <w:ind w:left="402"/>
              <w:spacing w:after="0"/>
              <w:rPr>
                <w:sz w:val="20"/>
                <w:szCs w:val="20"/>
                <w:color w:val="auto"/>
              </w:rPr>
            </w:pPr>
            <w:r>
              <w:rPr>
                <w:rFonts w:ascii="Arial" w:cs="Arial" w:eastAsia="Arial" w:hAnsi="Arial"/>
                <w:sz w:val="14"/>
                <w:szCs w:val="14"/>
                <w:b w:val="1"/>
                <w:bCs w:val="1"/>
                <w:color w:val="auto"/>
                <w:w w:val="94"/>
              </w:rPr>
              <w:t>of Incorporation)</w:t>
            </w:r>
          </w:p>
        </w:tc>
        <w:tc>
          <w:tcPr>
            <w:tcW w:w="5660" w:type="dxa"/>
            <w:vAlign w:val="bottom"/>
          </w:tcPr>
          <w:p>
            <w:pPr>
              <w:ind w:left="20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right="1122"/>
              <w:spacing w:after="0"/>
              <w:rPr>
                <w:sz w:val="20"/>
                <w:szCs w:val="20"/>
                <w:color w:val="auto"/>
              </w:rPr>
            </w:pPr>
            <w:r>
              <w:rPr>
                <w:rFonts w:ascii="Arial" w:cs="Arial" w:eastAsia="Arial" w:hAnsi="Arial"/>
                <w:sz w:val="14"/>
                <w:szCs w:val="14"/>
                <w:b w:val="1"/>
                <w:bCs w:val="1"/>
                <w:color w:val="auto"/>
                <w:w w:val="96"/>
              </w:rPr>
              <w:t>Identification No.)</w:t>
            </w:r>
          </w:p>
        </w:tc>
      </w:tr>
      <w:tr>
        <w:trPr>
          <w:trHeight w:val="466"/>
        </w:trPr>
        <w:tc>
          <w:tcPr>
            <w:tcW w:w="2740" w:type="dxa"/>
            <w:vAlign w:val="bottom"/>
          </w:tcPr>
          <w:p>
            <w:pPr>
              <w:spacing w:after="0"/>
              <w:rPr>
                <w:sz w:val="24"/>
                <w:szCs w:val="24"/>
                <w:color w:val="auto"/>
              </w:rPr>
            </w:pPr>
          </w:p>
        </w:tc>
        <w:tc>
          <w:tcPr>
            <w:tcW w:w="5660" w:type="dxa"/>
            <w:vAlign w:val="bottom"/>
          </w:tcPr>
          <w:p>
            <w:pPr>
              <w:jc w:val="center"/>
              <w:ind w:left="38"/>
              <w:spacing w:after="0"/>
              <w:rPr>
                <w:sz w:val="20"/>
                <w:szCs w:val="20"/>
                <w:color w:val="auto"/>
              </w:rPr>
            </w:pPr>
            <w:r>
              <w:rPr>
                <w:rFonts w:ascii="Arial" w:cs="Arial" w:eastAsia="Arial" w:hAnsi="Arial"/>
                <w:sz w:val="18"/>
                <w:szCs w:val="18"/>
                <w:b w:val="1"/>
                <w:bCs w:val="1"/>
                <w:color w:val="auto"/>
                <w:w w:val="92"/>
              </w:rPr>
              <w:t>3901 Midway Place NE</w:t>
            </w:r>
          </w:p>
        </w:tc>
        <w:tc>
          <w:tcPr>
            <w:tcW w:w="2780" w:type="dxa"/>
            <w:vAlign w:val="bottom"/>
          </w:tcPr>
          <w:p>
            <w:pPr>
              <w:spacing w:after="0"/>
              <w:rPr>
                <w:sz w:val="24"/>
                <w:szCs w:val="24"/>
                <w:color w:val="auto"/>
              </w:rPr>
            </w:pPr>
          </w:p>
        </w:tc>
      </w:tr>
      <w:tr>
        <w:trPr>
          <w:trHeight w:val="212"/>
        </w:trPr>
        <w:tc>
          <w:tcPr>
            <w:tcW w:w="2740" w:type="dxa"/>
            <w:vAlign w:val="bottom"/>
          </w:tcPr>
          <w:p>
            <w:pPr>
              <w:spacing w:after="0"/>
              <w:rPr>
                <w:sz w:val="18"/>
                <w:szCs w:val="18"/>
                <w:color w:val="auto"/>
              </w:rPr>
            </w:pPr>
          </w:p>
        </w:tc>
        <w:tc>
          <w:tcPr>
            <w:tcW w:w="5660" w:type="dxa"/>
            <w:vAlign w:val="bottom"/>
          </w:tcPr>
          <w:p>
            <w:pPr>
              <w:jc w:val="center"/>
              <w:ind w:left="38"/>
              <w:spacing w:after="0"/>
              <w:rPr>
                <w:sz w:val="20"/>
                <w:szCs w:val="20"/>
                <w:color w:val="auto"/>
              </w:rPr>
            </w:pPr>
            <w:r>
              <w:rPr>
                <w:rFonts w:ascii="Arial" w:cs="Arial" w:eastAsia="Arial" w:hAnsi="Arial"/>
                <w:sz w:val="18"/>
                <w:szCs w:val="18"/>
                <w:b w:val="1"/>
                <w:bCs w:val="1"/>
                <w:color w:val="auto"/>
                <w:w w:val="90"/>
              </w:rPr>
              <w:t>Albuquerque, New Mexico 87109</w:t>
            </w:r>
          </w:p>
        </w:tc>
        <w:tc>
          <w:tcPr>
            <w:tcW w:w="2780" w:type="dxa"/>
            <w:vAlign w:val="bottom"/>
          </w:tcPr>
          <w:p>
            <w:pPr>
              <w:spacing w:after="0"/>
              <w:rPr>
                <w:sz w:val="18"/>
                <w:szCs w:val="18"/>
                <w:color w:val="auto"/>
              </w:rPr>
            </w:pPr>
          </w:p>
        </w:tc>
      </w:tr>
      <w:tr>
        <w:trPr>
          <w:trHeight w:val="186"/>
        </w:trPr>
        <w:tc>
          <w:tcPr>
            <w:tcW w:w="2740" w:type="dxa"/>
            <w:vAlign w:val="bottom"/>
          </w:tcPr>
          <w:p>
            <w:pPr>
              <w:spacing w:after="0"/>
              <w:rPr>
                <w:sz w:val="16"/>
                <w:szCs w:val="16"/>
                <w:color w:val="auto"/>
              </w:rPr>
            </w:pPr>
          </w:p>
        </w:tc>
        <w:tc>
          <w:tcPr>
            <w:tcW w:w="5660" w:type="dxa"/>
            <w:vAlign w:val="bottom"/>
          </w:tcPr>
          <w:p>
            <w:pPr>
              <w:jc w:val="center"/>
              <w:ind w:left="1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2780" w:type="dxa"/>
            <w:vAlign w:val="bottom"/>
          </w:tcPr>
          <w:p>
            <w:pPr>
              <w:spacing w:after="0"/>
              <w:rPr>
                <w:sz w:val="16"/>
                <w:szCs w:val="16"/>
                <w:color w:val="auto"/>
              </w:rPr>
            </w:pPr>
          </w:p>
        </w:tc>
      </w:tr>
      <w:tr>
        <w:trPr>
          <w:trHeight w:val="363"/>
        </w:trPr>
        <w:tc>
          <w:tcPr>
            <w:tcW w:w="27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(505) 881-7567</w:t>
            </w:r>
          </w:p>
        </w:tc>
        <w:tc>
          <w:tcPr>
            <w:tcW w:w="2780" w:type="dxa"/>
            <w:vAlign w:val="bottom"/>
          </w:tcPr>
          <w:p>
            <w:pPr>
              <w:spacing w:after="0"/>
              <w:rPr>
                <w:sz w:val="24"/>
                <w:szCs w:val="24"/>
                <w:color w:val="auto"/>
              </w:rPr>
            </w:pPr>
          </w:p>
        </w:tc>
      </w:tr>
      <w:tr>
        <w:trPr>
          <w:trHeight w:val="135"/>
        </w:trPr>
        <w:tc>
          <w:tcPr>
            <w:tcW w:w="2740" w:type="dxa"/>
            <w:vAlign w:val="bottom"/>
            <w:tcBorders>
              <w:bottom w:val="single" w:sz="8" w:color="auto"/>
            </w:tcBorders>
          </w:tcPr>
          <w:p>
            <w:pPr>
              <w:spacing w:after="0"/>
              <w:rPr>
                <w:sz w:val="11"/>
                <w:szCs w:val="11"/>
                <w:color w:val="auto"/>
              </w:rPr>
            </w:pPr>
          </w:p>
        </w:tc>
        <w:tc>
          <w:tcPr>
            <w:tcW w:w="56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r>
    </w:tbl>
    <w:p>
      <w:pPr>
        <w:spacing w:after="0" w:line="21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4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6"/>
        </w:trPr>
        <w:tc>
          <w:tcPr>
            <w:tcW w:w="4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$0.001 Par Value</w:t>
            </w:r>
          </w:p>
        </w:tc>
        <w:tc>
          <w:tcPr>
            <w:tcW w:w="3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ARRY</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28, 2021, the Compensation Committee of the Board of Directors of Array Technologies, Inc. (“Array” or the “Company”) approved, upon the input and advice of management and the Company’s external compensation consultants, an amendment (the “Amendment”) to Array’s severance program with respect to its executive officers. The Amendment is intended to bring the Company’s severance program in line with its peer group and provides for (i) with respect to the Company’s chief executive officer (the “CEO”), an increase in severance pay from an amount equal to 1.5x the</w:t>
      </w:r>
    </w:p>
    <w:p>
      <w:pPr>
        <w:spacing w:after="0" w:line="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CEO’s base salary to an amount equal to 1.5x the sum of the CEO’s base salary </w:t>
      </w:r>
      <w:r>
        <w:rPr>
          <w:rFonts w:ascii="Arial" w:cs="Arial" w:eastAsia="Arial" w:hAnsi="Arial"/>
          <w:sz w:val="19"/>
          <w:szCs w:val="19"/>
          <w:i w:val="1"/>
          <w:iCs w:val="1"/>
          <w:color w:val="auto"/>
        </w:rPr>
        <w:t>plus</w:t>
      </w:r>
      <w:r>
        <w:rPr>
          <w:rFonts w:ascii="Arial" w:cs="Arial" w:eastAsia="Arial" w:hAnsi="Arial"/>
          <w:sz w:val="16"/>
          <w:szCs w:val="16"/>
          <w:color w:val="auto"/>
        </w:rPr>
        <w:t xml:space="preserve"> target cash bonus (such sum, the “Target Cash Compensation”) upon an involuntary termination without Cause (as defined in the form of employment offer letter used with the Company’s executive officers), (ii) with respect to all executive officers, full continued vesting of restricted stock units in the event of an involuntary termination without Cause, and (iii) in the case of a Change in Control (as defined in the form of employment offer letter used with the Company’s executive officers) (A) severance pay for all executive officers equal to 2.0x such executive officer’s Target Cash Compensation and (B) health and welfare coverage for 24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Array Technologies, Inc.</w:t>
      </w:r>
    </w:p>
    <w:p>
      <w:pPr>
        <w:spacing w:after="0" w:line="337" w:lineRule="exact"/>
        <w:rPr>
          <w:sz w:val="20"/>
          <w:szCs w:val="20"/>
          <w:color w:val="auto"/>
        </w:rPr>
      </w:pPr>
    </w:p>
    <w:p>
      <w:pPr>
        <w:ind w:left="60"/>
        <w:spacing w:after="0"/>
        <w:tabs>
          <w:tab w:leader="none" w:pos="4860" w:val="left"/>
          <w:tab w:leader="none" w:pos="5380" w:val="left"/>
        </w:tabs>
        <w:rPr>
          <w:sz w:val="20"/>
          <w:szCs w:val="20"/>
          <w:color w:val="auto"/>
        </w:rPr>
      </w:pPr>
      <w:r>
        <w:rPr>
          <w:rFonts w:ascii="Arial" w:cs="Arial" w:eastAsia="Arial" w:hAnsi="Arial"/>
          <w:sz w:val="18"/>
          <w:szCs w:val="18"/>
          <w:color w:val="auto"/>
        </w:rPr>
        <w:t>Date: January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Tyson Hottinger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31750</wp:posOffset>
            </wp:positionV>
            <wp:extent cx="2751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Tyson Hottinger</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Chief Legal Officer</w:t>
      </w:r>
    </w:p>
    <w:sectPr>
      <w:pgSz w:w="11900" w:h="16838" w:orient="portrait"/>
      <w:cols w:equalWidth="0" w:num="1">
        <w:col w:w="11180"/>
      </w:cols>
      <w:pgMar w:left="320" w:top="76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2022-01-03T15:35:42Z</dcterms:created>
  <dcterms:modified xsi:type="dcterms:W3CDTF">2022-01-03T15:35:42Z</dcterms:modified>
</cp:coreProperties>
</file>