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70" w:lineRule="exact"/>
        <w:rPr>
          <w:sz w:val="24"/>
          <w:szCs w:val="24"/>
          <w:color w:val="auto"/>
        </w:rPr>
      </w:pPr>
    </w:p>
    <w:p>
      <w:pPr>
        <w:jc w:val="center"/>
        <w:ind w:left="3820" w:right="940" w:hanging="2870"/>
        <w:spacing w:after="0" w:line="275" w:lineRule="auto"/>
        <w:tabs>
          <w:tab w:leader="none" w:pos="11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June 30, 2023</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62" w:lineRule="exact"/>
        <w:rPr>
          <w:sz w:val="24"/>
          <w:szCs w:val="24"/>
          <w:color w:val="auto"/>
        </w:rPr>
      </w:pPr>
    </w:p>
    <w:p>
      <w:pPr>
        <w:jc w:val="center"/>
        <w:ind w:left="3640" w:right="1400" w:hanging="2228"/>
        <w:spacing w:after="0" w:line="276" w:lineRule="auto"/>
        <w:tabs>
          <w:tab w:leader="none" w:pos="160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_________ to _________</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001-39613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168275</wp:posOffset>
            </wp:positionV>
            <wp:extent cx="1722755" cy="1036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2755" cy="1036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ARRAY TECHNOLOGIES,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73" w:lineRule="exact"/>
        <w:rPr>
          <w:sz w:val="24"/>
          <w:szCs w:val="24"/>
          <w:color w:val="auto"/>
        </w:rPr>
      </w:pPr>
    </w:p>
    <w:tbl>
      <w:tblPr>
        <w:tblLayout w:type="fixed"/>
        <w:tblInd w:w="380" w:type="dxa"/>
        <w:tblCellMar>
          <w:top w:w="0" w:type="dxa"/>
          <w:left w:w="0" w:type="dxa"/>
          <w:bottom w:w="0" w:type="dxa"/>
          <w:right w:w="0" w:type="dxa"/>
        </w:tblCellMar>
      </w:tblPr>
      <w:tr>
        <w:trPr>
          <w:trHeight w:val="257"/>
        </w:trPr>
        <w:tc>
          <w:tcPr>
            <w:tcW w:w="5060" w:type="dxa"/>
            <w:vAlign w:val="bottom"/>
            <w:tcBorders>
              <w:bottom w:val="single" w:sz="8" w:color="auto"/>
            </w:tcBorders>
            <w:gridSpan w:val="2"/>
          </w:tcPr>
          <w:p>
            <w:pPr>
              <w:jc w:val="center"/>
              <w:spacing w:after="0"/>
              <w:rPr>
                <w:sz w:val="20"/>
                <w:szCs w:val="20"/>
                <w:color w:val="auto"/>
              </w:rPr>
            </w:pPr>
            <w:r>
              <w:rPr>
                <w:rFonts w:ascii="Arial" w:cs="Arial" w:eastAsia="Arial" w:hAnsi="Arial"/>
                <w:sz w:val="20"/>
                <w:szCs w:val="20"/>
                <w:b w:val="1"/>
                <w:bCs w:val="1"/>
                <w:color w:val="auto"/>
                <w:w w:val="97"/>
              </w:rPr>
              <w:t>Delaware</w:t>
            </w:r>
          </w:p>
        </w:tc>
        <w:tc>
          <w:tcPr>
            <w:tcW w:w="100" w:type="dxa"/>
            <w:vAlign w:val="bottom"/>
          </w:tcPr>
          <w:p>
            <w:pPr>
              <w:spacing w:after="0"/>
              <w:rPr>
                <w:sz w:val="22"/>
                <w:szCs w:val="22"/>
                <w:color w:val="auto"/>
              </w:rPr>
            </w:pPr>
          </w:p>
        </w:tc>
        <w:tc>
          <w:tcPr>
            <w:tcW w:w="1780" w:type="dxa"/>
            <w:vAlign w:val="bottom"/>
            <w:tcBorders>
              <w:bottom w:val="single" w:sz="8" w:color="auto"/>
            </w:tcBorders>
          </w:tcPr>
          <w:p>
            <w:pPr>
              <w:spacing w:after="0"/>
              <w:rPr>
                <w:sz w:val="22"/>
                <w:szCs w:val="22"/>
                <w:color w:val="auto"/>
              </w:rPr>
            </w:pPr>
          </w:p>
        </w:tc>
        <w:tc>
          <w:tcPr>
            <w:tcW w:w="3560" w:type="dxa"/>
            <w:vAlign w:val="bottom"/>
            <w:tcBorders>
              <w:bottom w:val="single" w:sz="8" w:color="auto"/>
            </w:tcBorders>
            <w:gridSpan w:val="3"/>
          </w:tcPr>
          <w:p>
            <w:pPr>
              <w:jc w:val="right"/>
              <w:ind w:right="1819"/>
              <w:spacing w:after="0"/>
              <w:rPr>
                <w:sz w:val="20"/>
                <w:szCs w:val="20"/>
                <w:color w:val="auto"/>
              </w:rPr>
            </w:pPr>
            <w:r>
              <w:rPr>
                <w:rFonts w:ascii="Arial" w:cs="Arial" w:eastAsia="Arial" w:hAnsi="Arial"/>
                <w:sz w:val="20"/>
                <w:szCs w:val="20"/>
                <w:b w:val="1"/>
                <w:bCs w:val="1"/>
                <w:color w:val="auto"/>
              </w:rPr>
              <w:t>83-2747826</w:t>
            </w:r>
          </w:p>
        </w:tc>
      </w:tr>
      <w:tr>
        <w:trPr>
          <w:trHeight w:val="203"/>
        </w:trPr>
        <w:tc>
          <w:tcPr>
            <w:tcW w:w="5160" w:type="dxa"/>
            <w:vAlign w:val="bottom"/>
            <w:gridSpan w:val="3"/>
          </w:tcPr>
          <w:p>
            <w:pPr>
              <w:jc w:val="center"/>
              <w:ind w:right="100"/>
              <w:spacing w:after="0"/>
              <w:rPr>
                <w:sz w:val="20"/>
                <w:szCs w:val="20"/>
                <w:color w:val="auto"/>
              </w:rPr>
            </w:pPr>
            <w:r>
              <w:rPr>
                <w:rFonts w:ascii="Arial" w:cs="Arial" w:eastAsia="Arial" w:hAnsi="Arial"/>
                <w:sz w:val="16"/>
                <w:szCs w:val="16"/>
                <w:color w:val="auto"/>
              </w:rPr>
              <w:t>(State or Other Jurisdiction)</w:t>
            </w:r>
          </w:p>
        </w:tc>
        <w:tc>
          <w:tcPr>
            <w:tcW w:w="5340" w:type="dxa"/>
            <w:vAlign w:val="bottom"/>
            <w:gridSpan w:val="4"/>
          </w:tcPr>
          <w:p>
            <w:pPr>
              <w:jc w:val="right"/>
              <w:ind w:right="1339"/>
              <w:spacing w:after="0"/>
              <w:rPr>
                <w:sz w:val="20"/>
                <w:szCs w:val="20"/>
                <w:color w:val="auto"/>
              </w:rPr>
            </w:pPr>
            <w:r>
              <w:rPr>
                <w:rFonts w:ascii="Arial" w:cs="Arial" w:eastAsia="Arial" w:hAnsi="Arial"/>
                <w:sz w:val="16"/>
                <w:szCs w:val="16"/>
                <w:color w:val="auto"/>
              </w:rPr>
              <w:t>(I.R.S. Employer Identification No.)</w:t>
            </w:r>
          </w:p>
        </w:tc>
      </w:tr>
      <w:tr>
        <w:trPr>
          <w:trHeight w:val="533"/>
        </w:trPr>
        <w:tc>
          <w:tcPr>
            <w:tcW w:w="2540" w:type="dxa"/>
            <w:vAlign w:val="bottom"/>
          </w:tcPr>
          <w:p>
            <w:pPr>
              <w:ind w:left="320"/>
              <w:spacing w:after="0"/>
              <w:rPr>
                <w:sz w:val="20"/>
                <w:szCs w:val="20"/>
                <w:color w:val="auto"/>
              </w:rPr>
            </w:pPr>
            <w:r>
              <w:rPr>
                <w:rFonts w:ascii="Arial" w:cs="Arial" w:eastAsia="Arial" w:hAnsi="Arial"/>
                <w:sz w:val="20"/>
                <w:szCs w:val="20"/>
                <w:b w:val="1"/>
                <w:bCs w:val="1"/>
                <w:color w:val="auto"/>
              </w:rPr>
              <w:t>3901 Midway Place NE</w:t>
            </w:r>
          </w:p>
        </w:tc>
        <w:tc>
          <w:tcPr>
            <w:tcW w:w="2620" w:type="dxa"/>
            <w:vAlign w:val="bottom"/>
            <w:gridSpan w:val="2"/>
          </w:tcPr>
          <w:p>
            <w:pPr>
              <w:ind w:left="760"/>
              <w:spacing w:after="0"/>
              <w:rPr>
                <w:sz w:val="20"/>
                <w:szCs w:val="20"/>
                <w:color w:val="auto"/>
              </w:rPr>
            </w:pPr>
            <w:r>
              <w:rPr>
                <w:rFonts w:ascii="Arial" w:cs="Arial" w:eastAsia="Arial" w:hAnsi="Arial"/>
                <w:sz w:val="20"/>
                <w:szCs w:val="20"/>
                <w:b w:val="1"/>
                <w:bCs w:val="1"/>
                <w:color w:val="auto"/>
              </w:rPr>
              <w:t>Albuquerque</w:t>
            </w:r>
          </w:p>
        </w:tc>
        <w:tc>
          <w:tcPr>
            <w:tcW w:w="1780" w:type="dxa"/>
            <w:vAlign w:val="bottom"/>
          </w:tcPr>
          <w:p>
            <w:pPr>
              <w:ind w:left="580"/>
              <w:spacing w:after="0"/>
              <w:rPr>
                <w:sz w:val="20"/>
                <w:szCs w:val="20"/>
                <w:color w:val="auto"/>
              </w:rPr>
            </w:pPr>
            <w:r>
              <w:rPr>
                <w:rFonts w:ascii="Arial" w:cs="Arial" w:eastAsia="Arial" w:hAnsi="Arial"/>
                <w:sz w:val="20"/>
                <w:szCs w:val="20"/>
                <w:b w:val="1"/>
                <w:bCs w:val="1"/>
                <w:color w:val="auto"/>
              </w:rPr>
              <w:t>New Mexico</w:t>
            </w:r>
          </w:p>
        </w:tc>
        <w:tc>
          <w:tcPr>
            <w:tcW w:w="3560" w:type="dxa"/>
            <w:vAlign w:val="bottom"/>
            <w:gridSpan w:val="3"/>
          </w:tcPr>
          <w:p>
            <w:pPr>
              <w:jc w:val="right"/>
              <w:ind w:right="1119"/>
              <w:spacing w:after="0"/>
              <w:rPr>
                <w:sz w:val="20"/>
                <w:szCs w:val="20"/>
                <w:color w:val="auto"/>
              </w:rPr>
            </w:pPr>
            <w:r>
              <w:rPr>
                <w:rFonts w:ascii="Arial" w:cs="Arial" w:eastAsia="Arial" w:hAnsi="Arial"/>
                <w:sz w:val="20"/>
                <w:szCs w:val="20"/>
                <w:b w:val="1"/>
                <w:bCs w:val="1"/>
                <w:color w:val="auto"/>
              </w:rPr>
              <w:t>87109</w:t>
            </w:r>
          </w:p>
        </w:tc>
      </w:tr>
      <w:tr>
        <w:trPr>
          <w:trHeight w:val="203"/>
        </w:trPr>
        <w:tc>
          <w:tcPr>
            <w:tcW w:w="5160" w:type="dxa"/>
            <w:vAlign w:val="bottom"/>
            <w:tcBorders>
              <w:top w:val="single" w:sz="8" w:color="auto"/>
            </w:tcBorders>
            <w:gridSpan w:val="3"/>
          </w:tcPr>
          <w:p>
            <w:pPr>
              <w:ind w:left="2320"/>
              <w:spacing w:after="0"/>
              <w:rPr>
                <w:sz w:val="20"/>
                <w:szCs w:val="20"/>
                <w:color w:val="auto"/>
              </w:rPr>
            </w:pPr>
            <w:r>
              <w:rPr>
                <w:rFonts w:ascii="Arial" w:cs="Arial" w:eastAsia="Arial" w:hAnsi="Arial"/>
                <w:sz w:val="16"/>
                <w:szCs w:val="16"/>
                <w:color w:val="auto"/>
              </w:rPr>
              <w:t>(Address of principal executive offices)</w:t>
            </w:r>
          </w:p>
        </w:tc>
        <w:tc>
          <w:tcPr>
            <w:tcW w:w="1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(Zip Code)</w:t>
            </w:r>
          </w:p>
        </w:tc>
      </w:tr>
      <w:tr>
        <w:trPr>
          <w:trHeight w:val="634"/>
        </w:trPr>
        <w:tc>
          <w:tcPr>
            <w:tcW w:w="2540" w:type="dxa"/>
            <w:vAlign w:val="bottom"/>
          </w:tcPr>
          <w:p>
            <w:pPr>
              <w:spacing w:after="0"/>
              <w:rPr>
                <w:sz w:val="24"/>
                <w:szCs w:val="24"/>
                <w:color w:val="auto"/>
              </w:rPr>
            </w:pPr>
          </w:p>
        </w:tc>
        <w:tc>
          <w:tcPr>
            <w:tcW w:w="4400" w:type="dxa"/>
            <w:vAlign w:val="bottom"/>
            <w:gridSpan w:val="3"/>
          </w:tcPr>
          <w:p>
            <w:pPr>
              <w:ind w:left="100"/>
              <w:spacing w:after="0"/>
              <w:rPr>
                <w:sz w:val="20"/>
                <w:szCs w:val="20"/>
                <w:color w:val="auto"/>
              </w:rPr>
            </w:pPr>
            <w:r>
              <w:rPr>
                <w:rFonts w:ascii="Arial" w:cs="Arial" w:eastAsia="Arial" w:hAnsi="Arial"/>
                <w:sz w:val="16"/>
                <w:szCs w:val="16"/>
                <w:color w:val="auto"/>
              </w:rPr>
              <w:t>(Registrant’s telephone number, including area code)</w:t>
            </w:r>
          </w:p>
        </w:tc>
        <w:tc>
          <w:tcPr>
            <w:tcW w:w="3560" w:type="dxa"/>
            <w:vAlign w:val="bottom"/>
            <w:gridSpan w:val="3"/>
          </w:tcPr>
          <w:p>
            <w:pPr>
              <w:jc w:val="right"/>
              <w:ind w:right="2079"/>
              <w:spacing w:after="0"/>
              <w:rPr>
                <w:sz w:val="20"/>
                <w:szCs w:val="20"/>
                <w:color w:val="auto"/>
              </w:rPr>
            </w:pPr>
            <w:r>
              <w:rPr>
                <w:rFonts w:ascii="Arial" w:cs="Arial" w:eastAsia="Arial" w:hAnsi="Arial"/>
                <w:sz w:val="20"/>
                <w:szCs w:val="20"/>
                <w:b w:val="1"/>
                <w:bCs w:val="1"/>
                <w:color w:val="auto"/>
              </w:rPr>
              <w:t>(505) 881-7567</w:t>
            </w:r>
          </w:p>
        </w:tc>
      </w:tr>
    </w:tbl>
    <w:p>
      <w:pPr>
        <w:spacing w:after="0" w:line="29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(Former name, former address and former fiscal year, if changed since last report) </w:t>
      </w:r>
      <w:r>
        <w:rPr>
          <w:rFonts w:ascii="Arial" w:cs="Arial" w:eastAsia="Arial" w:hAnsi="Arial"/>
          <w:sz w:val="19"/>
          <w:szCs w:val="19"/>
          <w:b w:val="1"/>
          <w:bCs w:val="1"/>
          <w:color w:val="auto"/>
        </w:rPr>
        <w:t>N/A</w:t>
      </w:r>
    </w:p>
    <w:p>
      <w:pPr>
        <w:spacing w:after="0" w:line="28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7760" w:type="dxa"/>
            <w:vAlign w:val="bottom"/>
            <w:gridSpan w:val="5"/>
          </w:tcPr>
          <w:p>
            <w:pPr>
              <w:ind w:left="10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230"/>
        </w:trPr>
        <w:tc>
          <w:tcPr>
            <w:tcW w:w="3480" w:type="dxa"/>
            <w:vAlign w:val="bottom"/>
            <w:tcBorders>
              <w:bottom w:val="single" w:sz="8" w:color="auto"/>
            </w:tcBorders>
          </w:tcPr>
          <w:p>
            <w:pPr>
              <w:jc w:val="center"/>
              <w:ind w:left="130"/>
              <w:spacing w:after="0"/>
              <w:rPr>
                <w:sz w:val="20"/>
                <w:szCs w:val="20"/>
                <w:color w:val="auto"/>
              </w:rPr>
            </w:pPr>
            <w:r>
              <w:rPr>
                <w:rFonts w:ascii="Arial" w:cs="Arial" w:eastAsia="Arial" w:hAnsi="Arial"/>
                <w:sz w:val="16"/>
                <w:szCs w:val="16"/>
                <w:color w:val="auto"/>
              </w:rPr>
              <w:t>Title of each class</w:t>
            </w:r>
          </w:p>
        </w:tc>
        <w:tc>
          <w:tcPr>
            <w:tcW w:w="2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100" w:type="dxa"/>
            <w:vAlign w:val="bottom"/>
          </w:tcPr>
          <w:p>
            <w:pPr>
              <w:spacing w:after="0"/>
              <w:rPr>
                <w:sz w:val="19"/>
                <w:szCs w:val="19"/>
                <w:color w:val="auto"/>
              </w:rPr>
            </w:pPr>
          </w:p>
        </w:tc>
        <w:tc>
          <w:tcPr>
            <w:tcW w:w="50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77"/>
        </w:trPr>
        <w:tc>
          <w:tcPr>
            <w:tcW w:w="3480" w:type="dxa"/>
            <w:vAlign w:val="bottom"/>
          </w:tcPr>
          <w:p>
            <w:pPr>
              <w:jc w:val="center"/>
              <w:ind w:left="130"/>
              <w:spacing w:after="0"/>
              <w:rPr>
                <w:sz w:val="20"/>
                <w:szCs w:val="20"/>
                <w:color w:val="auto"/>
              </w:rPr>
            </w:pPr>
            <w:r>
              <w:rPr>
                <w:rFonts w:ascii="Arial" w:cs="Arial" w:eastAsia="Arial" w:hAnsi="Arial"/>
                <w:sz w:val="20"/>
                <w:szCs w:val="20"/>
                <w:b w:val="1"/>
                <w:bCs w:val="1"/>
                <w:color w:val="auto"/>
                <w:w w:val="98"/>
              </w:rPr>
              <w:t>Common stock, $0.001 par value</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Arial" w:cs="Arial" w:eastAsia="Arial" w:hAnsi="Arial"/>
                <w:sz w:val="20"/>
                <w:szCs w:val="20"/>
                <w:b w:val="1"/>
                <w:bCs w:val="1"/>
                <w:color w:val="auto"/>
                <w:w w:val="98"/>
              </w:rPr>
              <w:t>ARRY</w:t>
            </w:r>
          </w:p>
        </w:tc>
        <w:tc>
          <w:tcPr>
            <w:tcW w:w="100" w:type="dxa"/>
            <w:vAlign w:val="bottom"/>
          </w:tcPr>
          <w:p>
            <w:pPr>
              <w:spacing w:after="0"/>
              <w:rPr>
                <w:sz w:val="24"/>
                <w:szCs w:val="24"/>
                <w:color w:val="auto"/>
              </w:rPr>
            </w:pPr>
          </w:p>
        </w:tc>
        <w:tc>
          <w:tcPr>
            <w:tcW w:w="5000" w:type="dxa"/>
            <w:vAlign w:val="bottom"/>
          </w:tcPr>
          <w:p>
            <w:pPr>
              <w:jc w:val="center"/>
              <w:spacing w:after="0"/>
              <w:rPr>
                <w:sz w:val="20"/>
                <w:szCs w:val="20"/>
                <w:color w:val="auto"/>
              </w:rPr>
            </w:pPr>
            <w:r>
              <w:rPr>
                <w:rFonts w:ascii="Arial" w:cs="Arial" w:eastAsia="Arial" w:hAnsi="Arial"/>
                <w:sz w:val="20"/>
                <w:szCs w:val="20"/>
                <w:b w:val="1"/>
                <w:bCs w:val="1"/>
                <w:color w:val="auto"/>
                <w:w w:val="98"/>
              </w:rPr>
              <w:t>Nasdaq Global Market</w:t>
            </w:r>
          </w:p>
        </w:tc>
      </w:tr>
    </w:tbl>
    <w:p>
      <w:pPr>
        <w:spacing w:after="0" w:line="293" w:lineRule="exact"/>
        <w:rPr>
          <w:sz w:val="24"/>
          <w:szCs w:val="24"/>
          <w:color w:val="auto"/>
        </w:rPr>
      </w:pPr>
    </w:p>
    <w:p>
      <w:pPr>
        <w:ind w:right="460"/>
        <w:spacing w:after="0" w:line="260"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184" w:lineRule="exact"/>
        <w:tabs>
          <w:tab w:leader="none" w:pos="3400" w:val="left"/>
        </w:tabs>
        <w:rPr>
          <w:sz w:val="20"/>
          <w:szCs w:val="20"/>
          <w:color w:val="auto"/>
        </w:rPr>
      </w:pPr>
      <w:r>
        <w:rPr>
          <w:rFonts w:ascii="Arial" w:cs="Arial" w:eastAsia="Arial" w:hAnsi="Arial"/>
          <w:sz w:val="16"/>
          <w:szCs w:val="16"/>
          <w:color w:val="auto"/>
        </w:rPr>
        <w:t>requirements for the past 90 days.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53" w:lineRule="exact"/>
        <w:rPr>
          <w:sz w:val="24"/>
          <w:szCs w:val="24"/>
          <w:color w:val="auto"/>
        </w:rPr>
      </w:pPr>
    </w:p>
    <w:p>
      <w:pPr>
        <w:ind w:right="240"/>
        <w:spacing w:after="0" w:line="251"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2000" w:hanging="192"/>
        <w:spacing w:after="0" w:line="184" w:lineRule="exact"/>
        <w:tabs>
          <w:tab w:leader="none" w:pos="20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2" w:lineRule="exact"/>
        <w:rPr>
          <w:sz w:val="24"/>
          <w:szCs w:val="24"/>
          <w:color w:val="auto"/>
        </w:rPr>
      </w:pPr>
    </w:p>
    <w:p>
      <w:pPr>
        <w:ind w:right="20"/>
        <w:spacing w:after="0" w:line="24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780" w:type="dxa"/>
            <w:vAlign w:val="bottom"/>
          </w:tcPr>
          <w:p>
            <w:pPr>
              <w:ind w:left="900"/>
              <w:spacing w:after="0"/>
              <w:rPr>
                <w:sz w:val="20"/>
                <w:szCs w:val="20"/>
                <w:color w:val="auto"/>
              </w:rPr>
            </w:pPr>
            <w:r>
              <w:rPr>
                <w:rFonts w:ascii="Arial" w:cs="Arial" w:eastAsia="Arial" w:hAnsi="Arial"/>
                <w:sz w:val="16"/>
                <w:szCs w:val="16"/>
                <w:color w:val="auto"/>
              </w:rPr>
              <w:t>Large accelerated filer</w:t>
            </w:r>
          </w:p>
        </w:tc>
        <w:tc>
          <w:tcPr>
            <w:tcW w:w="11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Accelerated filer</w:t>
            </w:r>
          </w:p>
        </w:tc>
        <w:tc>
          <w:tcPr>
            <w:tcW w:w="43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780" w:type="dxa"/>
            <w:vAlign w:val="bottom"/>
          </w:tcPr>
          <w:p>
            <w:pPr>
              <w:ind w:left="900"/>
              <w:spacing w:after="0"/>
              <w:rPr>
                <w:sz w:val="20"/>
                <w:szCs w:val="20"/>
                <w:color w:val="auto"/>
              </w:rPr>
            </w:pPr>
            <w:r>
              <w:rPr>
                <w:rFonts w:ascii="Arial" w:cs="Arial" w:eastAsia="Arial" w:hAnsi="Arial"/>
                <w:sz w:val="16"/>
                <w:szCs w:val="16"/>
                <w:color w:val="auto"/>
              </w:rPr>
              <w:t>Non-accelerated filer</w:t>
            </w:r>
          </w:p>
        </w:tc>
        <w:tc>
          <w:tcPr>
            <w:tcW w:w="11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2940" w:type="dxa"/>
            <w:vAlign w:val="bottom"/>
          </w:tcPr>
          <w:p>
            <w:pPr>
              <w:ind w:left="700"/>
              <w:spacing w:after="0"/>
              <w:rPr>
                <w:sz w:val="20"/>
                <w:szCs w:val="20"/>
                <w:color w:val="auto"/>
              </w:rPr>
            </w:pPr>
            <w:r>
              <w:rPr>
                <w:rFonts w:ascii="Arial" w:cs="Arial" w:eastAsia="Arial" w:hAnsi="Arial"/>
                <w:sz w:val="16"/>
                <w:szCs w:val="16"/>
                <w:color w:val="auto"/>
              </w:rPr>
              <w:t>Smaller reporting company</w:t>
            </w:r>
          </w:p>
        </w:tc>
        <w:tc>
          <w:tcPr>
            <w:tcW w:w="43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272"/>
        </w:trPr>
        <w:tc>
          <w:tcPr>
            <w:tcW w:w="2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940" w:type="dxa"/>
            <w:vAlign w:val="bottom"/>
          </w:tcPr>
          <w:p>
            <w:pPr>
              <w:ind w:left="700"/>
              <w:spacing w:after="0"/>
              <w:rPr>
                <w:sz w:val="20"/>
                <w:szCs w:val="20"/>
                <w:color w:val="auto"/>
              </w:rPr>
            </w:pPr>
            <w:r>
              <w:rPr>
                <w:rFonts w:ascii="Arial" w:cs="Arial" w:eastAsia="Arial" w:hAnsi="Arial"/>
                <w:sz w:val="16"/>
                <w:szCs w:val="16"/>
                <w:color w:val="auto"/>
              </w:rPr>
              <w:t>Emerging growth company</w:t>
            </w:r>
          </w:p>
        </w:tc>
        <w:tc>
          <w:tcPr>
            <w:tcW w:w="438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r>
      <w:tr>
        <w:trPr>
          <w:trHeight w:val="838"/>
        </w:trPr>
        <w:tc>
          <w:tcPr>
            <w:tcW w:w="27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1" w:name="page2"/>
    <w:bookmarkEnd w:id="1"/>
    <w:p>
      <w:pPr>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5" w:lineRule="exact"/>
        <w:rPr>
          <w:sz w:val="20"/>
          <w:szCs w:val="20"/>
          <w:color w:val="auto"/>
        </w:rPr>
      </w:pPr>
    </w:p>
    <w:p>
      <w:pPr>
        <w:spacing w:after="0" w:line="184" w:lineRule="exact"/>
        <w:tabs>
          <w:tab w:leader="none" w:pos="83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color w:val="auto"/>
        </w:rPr>
        <w:t>Yes</w:t>
      </w:r>
      <w:r>
        <w:rPr>
          <w:rFonts w:ascii="MS PGothic" w:cs="MS PGothic" w:eastAsia="MS PGothic" w:hAnsi="MS PGothic"/>
          <w:sz w:val="15"/>
          <w:szCs w:val="15"/>
          <w:color w:val="auto"/>
        </w:rPr>
        <w:t xml:space="preserve"> ☒ </w:t>
      </w:r>
      <w:r>
        <w:rPr>
          <w:rFonts w:ascii="Arial" w:cs="Arial" w:eastAsia="Arial" w:hAnsi="Arial"/>
          <w:sz w:val="15"/>
          <w:szCs w:val="15"/>
          <w:color w:val="auto"/>
        </w:rPr>
        <w:t>No</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As of August 4, 2023, there were 151,069,600 shares of common stock, par value $0.001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2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Index to Form 10-Q</w:t>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0" w:type="dxa"/>
            <w:vAlign w:val="bottom"/>
            <w:gridSpan w:val="10"/>
          </w:tcPr>
          <w:p>
            <w:pPr>
              <w:spacing w:after="0"/>
              <w:rPr>
                <w:sz w:val="20"/>
                <w:szCs w:val="20"/>
                <w:color w:val="auto"/>
              </w:rPr>
            </w:pPr>
            <w:r>
              <w:rPr>
                <w:rFonts w:ascii="Arial" w:cs="Arial" w:eastAsia="Arial" w:hAnsi="Arial"/>
                <w:sz w:val="18"/>
                <w:szCs w:val="18"/>
                <w:b w:val="1"/>
                <w:bCs w:val="1"/>
                <w:color w:val="0000FF"/>
              </w:rPr>
              <w:t>PART I - FINANCIAL INFORMATION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920" w:type="dxa"/>
            <w:vAlign w:val="bottom"/>
            <w:shd w:val="clear" w:color="auto" w:fill="CCEEFF"/>
          </w:tcPr>
          <w:p>
            <w:pPr>
              <w:spacing w:after="0"/>
              <w:rPr>
                <w:sz w:val="18"/>
                <w:szCs w:val="18"/>
                <w:color w:val="auto"/>
              </w:rPr>
            </w:pPr>
          </w:p>
        </w:tc>
        <w:tc>
          <w:tcPr>
            <w:tcW w:w="790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Unaudited Condensed Consolidated Financial Statements</w:t>
            </w: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60" w:type="dxa"/>
            <w:vAlign w:val="bottom"/>
            <w:tcBorders>
              <w:top w:val="single" w:sz="8" w:color="0000FF"/>
            </w:tcBorders>
          </w:tcPr>
          <w:p>
            <w:pPr>
              <w:spacing w:after="0"/>
              <w:rPr>
                <w:sz w:val="16"/>
                <w:szCs w:val="16"/>
                <w:color w:val="auto"/>
              </w:rPr>
            </w:pPr>
          </w:p>
        </w:tc>
        <w:tc>
          <w:tcPr>
            <w:tcW w:w="920" w:type="dxa"/>
            <w:vAlign w:val="bottom"/>
            <w:tcBorders>
              <w:top w:val="single" w:sz="8" w:color="CCEEFF"/>
            </w:tcBorders>
          </w:tcPr>
          <w:p>
            <w:pPr>
              <w:spacing w:after="0"/>
              <w:rPr>
                <w:sz w:val="16"/>
                <w:szCs w:val="16"/>
                <w:color w:val="auto"/>
              </w:rPr>
            </w:pPr>
          </w:p>
        </w:tc>
        <w:tc>
          <w:tcPr>
            <w:tcW w:w="220" w:type="dxa"/>
            <w:vAlign w:val="bottom"/>
            <w:tcBorders>
              <w:top w:val="single" w:sz="8" w:color="0000FF"/>
            </w:tcBorders>
          </w:tcPr>
          <w:p>
            <w:pPr>
              <w:spacing w:after="0"/>
              <w:rPr>
                <w:sz w:val="16"/>
                <w:szCs w:val="16"/>
                <w:color w:val="auto"/>
              </w:rPr>
            </w:pPr>
          </w:p>
        </w:tc>
        <w:tc>
          <w:tcPr>
            <w:tcW w:w="4400" w:type="dxa"/>
            <w:vAlign w:val="bottom"/>
            <w:tcBorders>
              <w:top w:val="single" w:sz="8" w:color="0000FF"/>
            </w:tcBorders>
            <w:gridSpan w:val="7"/>
          </w:tcPr>
          <w:p>
            <w:pPr>
              <w:spacing w:after="0" w:line="189" w:lineRule="exact"/>
              <w:rPr>
                <w:sz w:val="20"/>
                <w:szCs w:val="20"/>
                <w:color w:val="auto"/>
              </w:rPr>
            </w:pPr>
            <w:r>
              <w:rPr>
                <w:rFonts w:ascii="Arial" w:cs="Arial" w:eastAsia="Arial" w:hAnsi="Arial"/>
                <w:sz w:val="18"/>
                <w:szCs w:val="18"/>
                <w:color w:val="0000FF"/>
              </w:rPr>
              <w:t>Condensed Consolidated Balance Sheets</w:t>
            </w:r>
          </w:p>
        </w:tc>
        <w:tc>
          <w:tcPr>
            <w:tcW w:w="3280" w:type="dxa"/>
            <w:vAlign w:val="bottom"/>
            <w:tcBorders>
              <w:top w:val="single" w:sz="8" w:color="CCEEFF"/>
            </w:tcBorders>
            <w:gridSpan w:val="6"/>
          </w:tcPr>
          <w:p>
            <w:pPr>
              <w:spacing w:after="0"/>
              <w:rPr>
                <w:sz w:val="16"/>
                <w:szCs w:val="16"/>
                <w:color w:val="auto"/>
              </w:rPr>
            </w:pPr>
          </w:p>
        </w:tc>
        <w:tc>
          <w:tcPr>
            <w:tcW w:w="1020" w:type="dxa"/>
            <w:vAlign w:val="bottom"/>
            <w:tcBorders>
              <w:top w:val="single" w:sz="8" w:color="CCEEFF"/>
            </w:tcBorders>
            <w:gridSpan w:val="2"/>
          </w:tcPr>
          <w:p>
            <w:pPr>
              <w:jc w:val="center"/>
              <w:ind w:left="830"/>
              <w:spacing w:after="0" w:line="189" w:lineRule="exact"/>
              <w:rPr>
                <w:sz w:val="20"/>
                <w:szCs w:val="20"/>
                <w:color w:val="auto"/>
              </w:rPr>
            </w:pPr>
            <w:r>
              <w:rPr>
                <w:rFonts w:ascii="Arial" w:cs="Arial" w:eastAsia="Arial" w:hAnsi="Arial"/>
                <w:sz w:val="18"/>
                <w:szCs w:val="18"/>
                <w:color w:val="0000FF"/>
                <w:w w:val="99"/>
              </w:rPr>
              <w:t>1</w:t>
            </w:r>
          </w:p>
        </w:tc>
        <w:tc>
          <w:tcPr>
            <w:tcW w:w="6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40" w:type="dxa"/>
            <w:vAlign w:val="bottom"/>
            <w:tcBorders>
              <w:top w:val="single" w:sz="8" w:color="0000FF"/>
            </w:tcBorders>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Condensed Consolidated Statements of Operations</w:t>
            </w:r>
          </w:p>
        </w:tc>
        <w:tc>
          <w:tcPr>
            <w:tcW w:w="1020" w:type="dxa"/>
            <w:vAlign w:val="bottom"/>
            <w:gridSpan w:val="2"/>
            <w:shd w:val="clear" w:color="auto" w:fill="CCEEFF"/>
          </w:tcPr>
          <w:p>
            <w:pPr>
              <w:jc w:val="center"/>
              <w:ind w:left="830"/>
              <w:spacing w:after="0" w:line="189" w:lineRule="exact"/>
              <w:rPr>
                <w:sz w:val="20"/>
                <w:szCs w:val="20"/>
                <w:color w:val="auto"/>
              </w:rPr>
            </w:pPr>
            <w:r>
              <w:rPr>
                <w:rFonts w:ascii="Arial" w:cs="Arial" w:eastAsia="Arial" w:hAnsi="Arial"/>
                <w:sz w:val="18"/>
                <w:szCs w:val="18"/>
                <w:color w:val="0000FF"/>
                <w:w w:val="99"/>
              </w:rPr>
              <w:t>3</w:t>
            </w:r>
          </w:p>
        </w:tc>
        <w:tc>
          <w:tcPr>
            <w:tcW w:w="60" w:type="dxa"/>
            <w:vAlign w:val="bottom"/>
            <w:tcBorders>
              <w:right w:val="single" w:sz="8" w:color="CCEEFF"/>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80" w:type="dxa"/>
            <w:vAlign w:val="bottom"/>
            <w:gridSpan w:val="13"/>
          </w:tcPr>
          <w:p>
            <w:pPr>
              <w:spacing w:after="0" w:line="189" w:lineRule="exact"/>
              <w:rPr>
                <w:sz w:val="20"/>
                <w:szCs w:val="20"/>
                <w:color w:val="auto"/>
              </w:rPr>
            </w:pPr>
            <w:r>
              <w:rPr>
                <w:rFonts w:ascii="Arial" w:cs="Arial" w:eastAsia="Arial" w:hAnsi="Arial"/>
                <w:sz w:val="18"/>
                <w:szCs w:val="18"/>
                <w:color w:val="0000FF"/>
              </w:rPr>
              <w:t>Condensed Consolidated Statements of Comprehensive Income (Loss)</w:t>
            </w:r>
          </w:p>
        </w:tc>
        <w:tc>
          <w:tcPr>
            <w:tcW w:w="1020" w:type="dxa"/>
            <w:vAlign w:val="bottom"/>
            <w:gridSpan w:val="2"/>
          </w:tcPr>
          <w:p>
            <w:pPr>
              <w:jc w:val="center"/>
              <w:ind w:left="830"/>
              <w:spacing w:after="0" w:line="189" w:lineRule="exact"/>
              <w:rPr>
                <w:sz w:val="20"/>
                <w:szCs w:val="20"/>
                <w:color w:val="auto"/>
              </w:rPr>
            </w:pPr>
            <w:r>
              <w:rPr>
                <w:rFonts w:ascii="Arial" w:cs="Arial" w:eastAsia="Arial" w:hAnsi="Arial"/>
                <w:sz w:val="18"/>
                <w:szCs w:val="18"/>
                <w:color w:val="0000FF"/>
                <w:w w:val="99"/>
              </w:rPr>
              <w:t>4</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680" w:type="dxa"/>
            <w:vAlign w:val="bottom"/>
            <w:tcBorders>
              <w:bottom w:val="single" w:sz="8" w:color="0000FF"/>
            </w:tcBorders>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Condensed Consolidated Statements of Changes in Redeemable Perpetual Preferred Stock and</w:t>
            </w:r>
          </w:p>
        </w:tc>
        <w:tc>
          <w:tcPr>
            <w:tcW w:w="1020" w:type="dxa"/>
            <w:vAlign w:val="bottom"/>
            <w:tcBorders>
              <w:bottom w:val="single" w:sz="8" w:color="CCEEFF"/>
            </w:tcBorders>
            <w:gridSpan w:val="2"/>
            <w:vMerge w:val="restart"/>
            <w:shd w:val="clear" w:color="auto" w:fill="CCEEFF"/>
          </w:tcPr>
          <w:p>
            <w:pPr>
              <w:jc w:val="center"/>
              <w:ind w:left="830"/>
              <w:spacing w:after="0"/>
              <w:rPr>
                <w:sz w:val="20"/>
                <w:szCs w:val="20"/>
                <w:color w:val="auto"/>
              </w:rPr>
            </w:pPr>
            <w:r>
              <w:rPr>
                <w:rFonts w:ascii="Arial" w:cs="Arial" w:eastAsia="Arial" w:hAnsi="Arial"/>
                <w:sz w:val="18"/>
                <w:szCs w:val="18"/>
                <w:color w:val="0000FF"/>
                <w:w w:val="99"/>
              </w:rPr>
              <w:t>5</w:t>
            </w:r>
          </w:p>
        </w:tc>
        <w:tc>
          <w:tcPr>
            <w:tcW w:w="60" w:type="dxa"/>
            <w:vAlign w:val="bottom"/>
            <w:tcBorders>
              <w:bottom w:val="single" w:sz="8" w:color="CCEEFF"/>
              <w:right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80" w:type="dxa"/>
            <w:vAlign w:val="bottom"/>
            <w:gridSpan w:val="13"/>
            <w:shd w:val="clear" w:color="auto" w:fill="CCEEFF"/>
          </w:tcPr>
          <w:p>
            <w:pPr>
              <w:spacing w:after="0" w:line="169" w:lineRule="exact"/>
              <w:rPr>
                <w:sz w:val="20"/>
                <w:szCs w:val="20"/>
                <w:color w:val="auto"/>
              </w:rPr>
            </w:pPr>
            <w:r>
              <w:rPr>
                <w:rFonts w:ascii="Arial" w:cs="Arial" w:eastAsia="Arial" w:hAnsi="Arial"/>
                <w:sz w:val="18"/>
                <w:szCs w:val="18"/>
                <w:color w:val="0000FF"/>
              </w:rPr>
              <w:t>Stockholders’ Equity</w:t>
            </w:r>
          </w:p>
        </w:tc>
        <w:tc>
          <w:tcPr>
            <w:tcW w:w="1020" w:type="dxa"/>
            <w:vAlign w:val="bottom"/>
            <w:gridSpan w:val="2"/>
            <w:vMerge w:val="continue"/>
            <w:shd w:val="clear" w:color="auto" w:fill="CCEEFF"/>
          </w:tcPr>
          <w:p>
            <w:pPr>
              <w:spacing w:after="0"/>
              <w:rPr>
                <w:sz w:val="14"/>
                <w:szCs w:val="14"/>
                <w:color w:val="auto"/>
              </w:rPr>
            </w:pPr>
          </w:p>
        </w:tc>
        <w:tc>
          <w:tcPr>
            <w:tcW w:w="60" w:type="dxa"/>
            <w:vAlign w:val="bottom"/>
            <w:tcBorders>
              <w:right w:val="single" w:sz="8" w:color="CCEEFF"/>
            </w:tcBorders>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80" w:type="dxa"/>
            <w:vAlign w:val="bottom"/>
            <w:gridSpan w:val="13"/>
          </w:tcPr>
          <w:p>
            <w:pPr>
              <w:spacing w:after="0" w:line="189" w:lineRule="exact"/>
              <w:rPr>
                <w:sz w:val="20"/>
                <w:szCs w:val="20"/>
                <w:color w:val="auto"/>
              </w:rPr>
            </w:pPr>
            <w:r>
              <w:rPr>
                <w:rFonts w:ascii="Arial" w:cs="Arial" w:eastAsia="Arial" w:hAnsi="Arial"/>
                <w:sz w:val="18"/>
                <w:szCs w:val="18"/>
                <w:color w:val="0000FF"/>
              </w:rPr>
              <w:t>Condensed Consolidated Statements of Cash Flows</w:t>
            </w:r>
          </w:p>
        </w:tc>
        <w:tc>
          <w:tcPr>
            <w:tcW w:w="1020" w:type="dxa"/>
            <w:vAlign w:val="bottom"/>
            <w:gridSpan w:val="2"/>
          </w:tcPr>
          <w:p>
            <w:pPr>
              <w:jc w:val="center"/>
              <w:ind w:left="830"/>
              <w:spacing w:after="0" w:line="189" w:lineRule="exact"/>
              <w:rPr>
                <w:sz w:val="20"/>
                <w:szCs w:val="20"/>
                <w:color w:val="auto"/>
              </w:rPr>
            </w:pPr>
            <w:r>
              <w:rPr>
                <w:rFonts w:ascii="Arial" w:cs="Arial" w:eastAsia="Arial" w:hAnsi="Arial"/>
                <w:sz w:val="18"/>
                <w:szCs w:val="18"/>
                <w:color w:val="0000FF"/>
                <w:w w:val="99"/>
              </w:rPr>
              <w:t>9</w:t>
            </w: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8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rPr>
              <w:t>Notes to Condensed Consolidated Financial Statements</w:t>
            </w:r>
          </w:p>
        </w:tc>
        <w:tc>
          <w:tcPr>
            <w:tcW w:w="1080" w:type="dxa"/>
            <w:vAlign w:val="bottom"/>
            <w:tcBorders>
              <w:right w:val="single" w:sz="8" w:color="CCEEFF"/>
            </w:tcBorders>
            <w:gridSpan w:val="3"/>
            <w:shd w:val="clear" w:color="auto" w:fill="CCEEFF"/>
          </w:tcPr>
          <w:p>
            <w:pPr>
              <w:jc w:val="center"/>
              <w:ind w:left="770"/>
              <w:spacing w:after="0" w:line="189" w:lineRule="exact"/>
              <w:rPr>
                <w:sz w:val="20"/>
                <w:szCs w:val="20"/>
                <w:color w:val="auto"/>
              </w:rPr>
            </w:pPr>
            <w:r>
              <w:rPr>
                <w:rFonts w:ascii="Arial" w:cs="Arial" w:eastAsia="Arial" w:hAnsi="Arial"/>
                <w:sz w:val="18"/>
                <w:szCs w:val="18"/>
                <w:color w:val="0000FF"/>
                <w:w w:val="89"/>
              </w:rPr>
              <w:t>11</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620" w:type="dxa"/>
            <w:vAlign w:val="bottom"/>
            <w:tcBorders>
              <w:top w:val="single" w:sz="8" w:color="0000FF"/>
            </w:tcBorders>
            <w:shd w:val="clear" w:color="auto" w:fill="CCEEFF"/>
          </w:tcPr>
          <w:p>
            <w:pPr>
              <w:spacing w:after="0"/>
              <w:rPr>
                <w:sz w:val="2"/>
                <w:szCs w:val="2"/>
                <w:color w:val="auto"/>
              </w:rPr>
            </w:pPr>
          </w:p>
        </w:tc>
        <w:tc>
          <w:tcPr>
            <w:tcW w:w="16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040" w:type="dxa"/>
            <w:vAlign w:val="bottom"/>
            <w:tcBorders>
              <w:top w:val="single" w:sz="8" w:color="0000FF"/>
            </w:tcBorders>
            <w:shd w:val="clear" w:color="auto" w:fill="CCEEFF"/>
          </w:tcPr>
          <w:p>
            <w:pPr>
              <w:spacing w:after="0"/>
              <w:rPr>
                <w:sz w:val="2"/>
                <w:szCs w:val="2"/>
                <w:color w:val="auto"/>
              </w:rPr>
            </w:pPr>
          </w:p>
        </w:tc>
        <w:tc>
          <w:tcPr>
            <w:tcW w:w="7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4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right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right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2.</w:t>
            </w:r>
          </w:p>
        </w:tc>
        <w:tc>
          <w:tcPr>
            <w:tcW w:w="8820" w:type="dxa"/>
            <w:vAlign w:val="bottom"/>
            <w:gridSpan w:val="15"/>
          </w:tcPr>
          <w:p>
            <w:pPr>
              <w:ind w:left="920"/>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80" w:type="dxa"/>
            <w:vAlign w:val="bottom"/>
            <w:gridSpan w:val="3"/>
          </w:tcPr>
          <w:p>
            <w:pPr>
              <w:jc w:val="center"/>
              <w:ind w:left="790"/>
              <w:spacing w:after="0" w:line="189" w:lineRule="exact"/>
              <w:rPr>
                <w:sz w:val="20"/>
                <w:szCs w:val="20"/>
                <w:color w:val="auto"/>
              </w:rPr>
            </w:pPr>
            <w:r>
              <w:rPr>
                <w:rFonts w:ascii="Arial" w:cs="Arial" w:eastAsia="Arial" w:hAnsi="Arial"/>
                <w:sz w:val="18"/>
                <w:szCs w:val="18"/>
                <w:color w:val="0000FF"/>
                <w:w w:val="99"/>
              </w:rPr>
              <w:t>29</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4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3.</w:t>
            </w:r>
          </w:p>
        </w:tc>
        <w:tc>
          <w:tcPr>
            <w:tcW w:w="920" w:type="dxa"/>
            <w:vAlign w:val="bottom"/>
            <w:shd w:val="clear" w:color="auto" w:fill="CCEEFF"/>
          </w:tcPr>
          <w:p>
            <w:pPr>
              <w:spacing w:after="0"/>
              <w:rPr>
                <w:sz w:val="16"/>
                <w:szCs w:val="16"/>
                <w:color w:val="auto"/>
              </w:rPr>
            </w:pPr>
          </w:p>
        </w:tc>
        <w:tc>
          <w:tcPr>
            <w:tcW w:w="7900" w:type="dxa"/>
            <w:vAlign w:val="bottom"/>
            <w:gridSpan w:val="14"/>
            <w:shd w:val="clear" w:color="auto" w:fill="CCEEFF"/>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1080" w:type="dxa"/>
            <w:vAlign w:val="bottom"/>
            <w:tcBorders>
              <w:right w:val="single" w:sz="8" w:color="CCEEFF"/>
            </w:tcBorders>
            <w:gridSpan w:val="3"/>
            <w:shd w:val="clear" w:color="auto" w:fill="CCEEFF"/>
          </w:tcPr>
          <w:p>
            <w:pPr>
              <w:jc w:val="center"/>
              <w:ind w:left="790"/>
              <w:spacing w:after="0" w:line="189" w:lineRule="exact"/>
              <w:rPr>
                <w:sz w:val="20"/>
                <w:szCs w:val="20"/>
                <w:color w:val="auto"/>
              </w:rPr>
            </w:pPr>
            <w:r>
              <w:rPr>
                <w:rFonts w:ascii="Arial" w:cs="Arial" w:eastAsia="Arial" w:hAnsi="Arial"/>
                <w:sz w:val="18"/>
                <w:szCs w:val="18"/>
                <w:color w:val="0000FF"/>
                <w:w w:val="99"/>
              </w:rPr>
              <w:t>44</w:t>
            </w:r>
          </w:p>
        </w:tc>
        <w:tc>
          <w:tcPr>
            <w:tcW w:w="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6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4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4.</w:t>
            </w:r>
          </w:p>
        </w:tc>
        <w:tc>
          <w:tcPr>
            <w:tcW w:w="920" w:type="dxa"/>
            <w:vAlign w:val="bottom"/>
          </w:tcPr>
          <w:p>
            <w:pPr>
              <w:spacing w:after="0"/>
              <w:rPr>
                <w:sz w:val="16"/>
                <w:szCs w:val="16"/>
                <w:color w:val="auto"/>
              </w:rPr>
            </w:pPr>
          </w:p>
        </w:tc>
        <w:tc>
          <w:tcPr>
            <w:tcW w:w="2000" w:type="dxa"/>
            <w:vAlign w:val="bottom"/>
            <w:gridSpan w:val="3"/>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2700" w:type="dxa"/>
            <w:vAlign w:val="bottom"/>
            <w:gridSpan w:val="7"/>
          </w:tcPr>
          <w:p>
            <w:pPr>
              <w:spacing w:after="0"/>
              <w:rPr>
                <w:sz w:val="16"/>
                <w:szCs w:val="16"/>
                <w:color w:val="auto"/>
              </w:rPr>
            </w:pPr>
          </w:p>
        </w:tc>
        <w:tc>
          <w:tcPr>
            <w:tcW w:w="3200" w:type="dxa"/>
            <w:vAlign w:val="bottom"/>
            <w:gridSpan w:val="4"/>
          </w:tcPr>
          <w:p>
            <w:pPr>
              <w:spacing w:after="0"/>
              <w:rPr>
                <w:sz w:val="16"/>
                <w:szCs w:val="16"/>
                <w:color w:val="auto"/>
              </w:rPr>
            </w:pPr>
          </w:p>
        </w:tc>
        <w:tc>
          <w:tcPr>
            <w:tcW w:w="1080" w:type="dxa"/>
            <w:vAlign w:val="bottom"/>
            <w:gridSpan w:val="3"/>
          </w:tcPr>
          <w:p>
            <w:pPr>
              <w:jc w:val="center"/>
              <w:ind w:left="790"/>
              <w:spacing w:after="0" w:line="189" w:lineRule="exact"/>
              <w:rPr>
                <w:sz w:val="20"/>
                <w:szCs w:val="20"/>
                <w:color w:val="auto"/>
              </w:rPr>
            </w:pPr>
            <w:r>
              <w:rPr>
                <w:rFonts w:ascii="Arial" w:cs="Arial" w:eastAsia="Arial" w:hAnsi="Arial"/>
                <w:sz w:val="18"/>
                <w:szCs w:val="18"/>
                <w:color w:val="0000FF"/>
                <w:w w:val="99"/>
              </w:rPr>
              <w:t>44</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0" w:type="dxa"/>
            <w:vAlign w:val="bottom"/>
            <w:gridSpan w:val="3"/>
          </w:tcPr>
          <w:p>
            <w:pPr>
              <w:ind w:left="80"/>
              <w:spacing w:after="0"/>
              <w:rPr>
                <w:sz w:val="20"/>
                <w:szCs w:val="20"/>
                <w:color w:val="auto"/>
              </w:rPr>
            </w:pPr>
            <w:r>
              <w:rPr>
                <w:rFonts w:ascii="Arial" w:cs="Arial" w:eastAsia="Arial" w:hAnsi="Arial"/>
                <w:sz w:val="18"/>
                <w:szCs w:val="18"/>
                <w:b w:val="1"/>
                <w:bCs w:val="1"/>
                <w:color w:val="0000FF"/>
                <w:w w:val="98"/>
              </w:rPr>
              <w:t>PART II - OTHER INFORMATION</w:t>
            </w:r>
          </w:p>
        </w:tc>
        <w:tc>
          <w:tcPr>
            <w:tcW w:w="3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69"/>
        </w:trPr>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140" w:type="dxa"/>
            <w:vAlign w:val="bottom"/>
            <w:tcBorders>
              <w:right w:val="single" w:sz="8" w:color="CCEEFF"/>
            </w:tcBorders>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1.</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5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3860" w:type="dxa"/>
            <w:vAlign w:val="bottom"/>
            <w:gridSpan w:val="5"/>
            <w:shd w:val="clear" w:color="auto" w:fill="CCEEFF"/>
          </w:tcPr>
          <w:p>
            <w:pPr>
              <w:spacing w:after="0"/>
              <w:rPr>
                <w:sz w:val="16"/>
                <w:szCs w:val="16"/>
                <w:color w:val="auto"/>
              </w:rPr>
            </w:pPr>
          </w:p>
        </w:tc>
        <w:tc>
          <w:tcPr>
            <w:tcW w:w="36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47</w:t>
            </w:r>
          </w:p>
        </w:tc>
        <w:tc>
          <w:tcPr>
            <w:tcW w:w="5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680" w:type="dxa"/>
            <w:vAlign w:val="bottom"/>
            <w:gridSpan w:val="2"/>
          </w:tcPr>
          <w:p>
            <w:pPr>
              <w:spacing w:after="0" w:line="189" w:lineRule="exact"/>
              <w:rPr>
                <w:sz w:val="20"/>
                <w:szCs w:val="20"/>
                <w:color w:val="auto"/>
              </w:rPr>
            </w:pPr>
            <w:r>
              <w:rPr>
                <w:rFonts w:ascii="Arial" w:cs="Arial" w:eastAsia="Arial" w:hAnsi="Arial"/>
                <w:sz w:val="18"/>
                <w:szCs w:val="18"/>
                <w:color w:val="0000FF"/>
                <w:w w:val="98"/>
              </w:rPr>
              <w:t>Item 1A.</w:t>
            </w:r>
          </w:p>
        </w:tc>
        <w:tc>
          <w:tcPr>
            <w:tcW w:w="6160" w:type="dxa"/>
            <w:vAlign w:val="bottom"/>
            <w:gridSpan w:val="10"/>
          </w:tcPr>
          <w:p>
            <w:pPr>
              <w:ind w:left="800"/>
              <w:spacing w:after="0" w:line="189" w:lineRule="exact"/>
              <w:rPr>
                <w:sz w:val="20"/>
                <w:szCs w:val="20"/>
                <w:color w:val="auto"/>
              </w:rPr>
            </w:pPr>
            <w:r>
              <w:rPr>
                <w:rFonts w:ascii="Arial" w:cs="Arial" w:eastAsia="Arial" w:hAnsi="Arial"/>
                <w:sz w:val="18"/>
                <w:szCs w:val="18"/>
                <w:color w:val="0000FF"/>
              </w:rPr>
              <w:t>Risk Factors</w:t>
            </w:r>
          </w:p>
        </w:tc>
        <w:tc>
          <w:tcPr>
            <w:tcW w:w="362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47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40" w:type="dxa"/>
            <w:vAlign w:val="bottom"/>
            <w:tcBorders>
              <w:right w:val="single" w:sz="8" w:color="CCEEFF"/>
            </w:tcBorders>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2.</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60" w:type="dxa"/>
            <w:vAlign w:val="bottom"/>
            <w:gridSpan w:val="8"/>
            <w:shd w:val="clear" w:color="auto" w:fill="CCEEFF"/>
          </w:tcPr>
          <w:p>
            <w:pPr>
              <w:spacing w:after="0" w:line="189"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500" w:type="dxa"/>
            <w:vAlign w:val="bottom"/>
            <w:shd w:val="clear" w:color="auto" w:fill="CCEEFF"/>
          </w:tcPr>
          <w:p>
            <w:pPr>
              <w:spacing w:after="0"/>
              <w:rPr>
                <w:sz w:val="16"/>
                <w:szCs w:val="16"/>
                <w:color w:val="auto"/>
              </w:rPr>
            </w:pPr>
          </w:p>
        </w:tc>
        <w:tc>
          <w:tcPr>
            <w:tcW w:w="36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47</w:t>
            </w:r>
          </w:p>
        </w:tc>
        <w:tc>
          <w:tcPr>
            <w:tcW w:w="5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2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3.</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60" w:type="dxa"/>
            <w:vAlign w:val="bottom"/>
            <w:gridSpan w:val="8"/>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500" w:type="dxa"/>
            <w:vAlign w:val="bottom"/>
          </w:tcPr>
          <w:p>
            <w:pPr>
              <w:spacing w:after="0"/>
              <w:rPr>
                <w:sz w:val="16"/>
                <w:szCs w:val="16"/>
                <w:color w:val="auto"/>
              </w:rPr>
            </w:pPr>
          </w:p>
        </w:tc>
        <w:tc>
          <w:tcPr>
            <w:tcW w:w="362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47</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4"/>
        </w:trPr>
        <w:tc>
          <w:tcPr>
            <w:tcW w:w="140" w:type="dxa"/>
            <w:vAlign w:val="bottom"/>
          </w:tcPr>
          <w:p>
            <w:pPr>
              <w:spacing w:after="0"/>
              <w:rPr>
                <w:sz w:val="2"/>
                <w:szCs w:val="2"/>
                <w:color w:val="auto"/>
              </w:rPr>
            </w:pPr>
          </w:p>
        </w:tc>
        <w:tc>
          <w:tcPr>
            <w:tcW w:w="56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140" w:type="dxa"/>
            <w:vAlign w:val="bottom"/>
            <w:tcBorders>
              <w:right w:val="single" w:sz="8" w:color="CCEEFF"/>
            </w:tcBorders>
          </w:tcPr>
          <w:p>
            <w:pPr>
              <w:spacing w:after="0"/>
              <w:rPr>
                <w:sz w:val="16"/>
                <w:szCs w:val="16"/>
                <w:color w:val="auto"/>
              </w:rPr>
            </w:pPr>
          </w:p>
        </w:tc>
        <w:tc>
          <w:tcPr>
            <w:tcW w:w="56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98"/>
              </w:rPr>
              <w:t>Item 4.</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94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color w:val="0000FF"/>
                <w:w w:val="99"/>
              </w:rPr>
              <w:t>Mine Safety Disclosures</w:t>
            </w:r>
          </w:p>
        </w:tc>
        <w:tc>
          <w:tcPr>
            <w:tcW w:w="3420" w:type="dxa"/>
            <w:vAlign w:val="bottom"/>
            <w:gridSpan w:val="4"/>
            <w:shd w:val="clear" w:color="auto" w:fill="CCEEFF"/>
          </w:tcPr>
          <w:p>
            <w:pPr>
              <w:spacing w:after="0"/>
              <w:rPr>
                <w:sz w:val="16"/>
                <w:szCs w:val="16"/>
                <w:color w:val="auto"/>
              </w:rPr>
            </w:pPr>
          </w:p>
        </w:tc>
        <w:tc>
          <w:tcPr>
            <w:tcW w:w="36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47</w:t>
            </w:r>
          </w:p>
        </w:tc>
        <w:tc>
          <w:tcPr>
            <w:tcW w:w="520" w:type="dxa"/>
            <w:vAlign w:val="bottom"/>
            <w:shd w:val="clear" w:color="auto" w:fill="CCEEFF"/>
          </w:tcPr>
          <w:p>
            <w:pPr>
              <w:spacing w:after="0"/>
              <w:rPr>
                <w:sz w:val="16"/>
                <w:szCs w:val="16"/>
                <w:color w:val="auto"/>
              </w:rPr>
            </w:pPr>
          </w:p>
        </w:tc>
        <w:tc>
          <w:tcPr>
            <w:tcW w:w="120" w:type="dxa"/>
            <w:vAlign w:val="bottom"/>
          </w:tcPr>
          <w:p>
            <w:pPr>
              <w:spacing w:after="0"/>
              <w:rPr>
                <w:sz w:val="16"/>
                <w:szCs w:val="16"/>
                <w:color w:val="auto"/>
              </w:rPr>
            </w:pPr>
          </w:p>
        </w:tc>
      </w:tr>
      <w:tr>
        <w:trPr>
          <w:trHeight w:val="21"/>
        </w:trPr>
        <w:tc>
          <w:tcPr>
            <w:tcW w:w="140" w:type="dxa"/>
            <w:vAlign w:val="bottom"/>
            <w:tcBorders>
              <w:right w:val="single" w:sz="8" w:color="CCEEFF"/>
            </w:tcBorders>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9"/>
        </w:trPr>
        <w:tc>
          <w:tcPr>
            <w:tcW w:w="140" w:type="dxa"/>
            <w:vAlign w:val="bottom"/>
          </w:tcPr>
          <w:p>
            <w:pPr>
              <w:spacing w:after="0"/>
              <w:rPr>
                <w:sz w:val="16"/>
                <w:szCs w:val="16"/>
                <w:color w:val="auto"/>
              </w:rPr>
            </w:pPr>
          </w:p>
        </w:tc>
        <w:tc>
          <w:tcPr>
            <w:tcW w:w="560" w:type="dxa"/>
            <w:vAlign w:val="bottom"/>
          </w:tcPr>
          <w:p>
            <w:pPr>
              <w:spacing w:after="0" w:line="189" w:lineRule="exact"/>
              <w:rPr>
                <w:sz w:val="20"/>
                <w:szCs w:val="20"/>
                <w:color w:val="auto"/>
              </w:rPr>
            </w:pPr>
            <w:r>
              <w:rPr>
                <w:rFonts w:ascii="Arial" w:cs="Arial" w:eastAsia="Arial" w:hAnsi="Arial"/>
                <w:sz w:val="18"/>
                <w:szCs w:val="18"/>
                <w:color w:val="0000FF"/>
                <w:w w:val="98"/>
              </w:rPr>
              <w:t>Item 5.</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940" w:type="dxa"/>
            <w:vAlign w:val="bottom"/>
            <w:gridSpan w:val="5"/>
          </w:tcPr>
          <w:p>
            <w:pPr>
              <w:spacing w:after="0" w:line="189" w:lineRule="exact"/>
              <w:rPr>
                <w:sz w:val="20"/>
                <w:szCs w:val="20"/>
                <w:color w:val="auto"/>
              </w:rPr>
            </w:pPr>
            <w:r>
              <w:rPr>
                <w:rFonts w:ascii="Arial" w:cs="Arial" w:eastAsia="Arial" w:hAnsi="Arial"/>
                <w:sz w:val="18"/>
                <w:szCs w:val="18"/>
                <w:color w:val="0000FF"/>
              </w:rPr>
              <w:t>Other Information</w:t>
            </w:r>
          </w:p>
        </w:tc>
        <w:tc>
          <w:tcPr>
            <w:tcW w:w="3420" w:type="dxa"/>
            <w:vAlign w:val="bottom"/>
            <w:gridSpan w:val="4"/>
          </w:tcPr>
          <w:p>
            <w:pPr>
              <w:spacing w:after="0"/>
              <w:rPr>
                <w:sz w:val="16"/>
                <w:szCs w:val="16"/>
                <w:color w:val="auto"/>
              </w:rPr>
            </w:pPr>
          </w:p>
        </w:tc>
        <w:tc>
          <w:tcPr>
            <w:tcW w:w="3620" w:type="dxa"/>
            <w:vAlign w:val="bottom"/>
            <w:gridSpan w:val="2"/>
          </w:tcPr>
          <w:p>
            <w:pPr>
              <w:jc w:val="right"/>
              <w:spacing w:after="0" w:line="189" w:lineRule="exact"/>
              <w:rPr>
                <w:sz w:val="20"/>
                <w:szCs w:val="20"/>
                <w:color w:val="auto"/>
              </w:rPr>
            </w:pPr>
            <w:r>
              <w:rPr>
                <w:rFonts w:ascii="Arial" w:cs="Arial" w:eastAsia="Arial" w:hAnsi="Arial"/>
                <w:sz w:val="18"/>
                <w:szCs w:val="18"/>
                <w:color w:val="0000FF"/>
              </w:rPr>
              <w:t>48</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140" w:type="dxa"/>
            <w:vAlign w:val="bottom"/>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140" w:type="dxa"/>
            <w:vAlign w:val="bottom"/>
            <w:tcBorders>
              <w:right w:val="single" w:sz="8" w:color="CCEEFF"/>
            </w:tcBorders>
          </w:tcPr>
          <w:p>
            <w:pPr>
              <w:spacing w:after="0"/>
              <w:rPr>
                <w:sz w:val="19"/>
                <w:szCs w:val="19"/>
                <w:color w:val="auto"/>
              </w:rPr>
            </w:pPr>
          </w:p>
        </w:tc>
        <w:tc>
          <w:tcPr>
            <w:tcW w:w="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Item 6.</w:t>
            </w:r>
          </w:p>
        </w:tc>
        <w:tc>
          <w:tcPr>
            <w:tcW w:w="6160" w:type="dxa"/>
            <w:vAlign w:val="bottom"/>
            <w:gridSpan w:val="10"/>
            <w:shd w:val="clear" w:color="auto" w:fill="CCEEFF"/>
          </w:tcPr>
          <w:p>
            <w:pPr>
              <w:ind w:left="800"/>
              <w:spacing w:after="0" w:line="189" w:lineRule="exact"/>
              <w:rPr>
                <w:sz w:val="20"/>
                <w:szCs w:val="20"/>
                <w:color w:val="auto"/>
              </w:rPr>
            </w:pPr>
            <w:r>
              <w:rPr>
                <w:rFonts w:ascii="Arial" w:cs="Arial" w:eastAsia="Arial" w:hAnsi="Arial"/>
                <w:sz w:val="18"/>
                <w:szCs w:val="18"/>
                <w:color w:val="0000FF"/>
              </w:rPr>
              <w:t>Exhibits</w:t>
            </w:r>
          </w:p>
        </w:tc>
        <w:tc>
          <w:tcPr>
            <w:tcW w:w="36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rPr>
              <w:t>48</w:t>
            </w:r>
          </w:p>
        </w:tc>
        <w:tc>
          <w:tcPr>
            <w:tcW w:w="520" w:type="dxa"/>
            <w:vAlign w:val="bottom"/>
            <w:shd w:val="clear" w:color="auto" w:fill="CCEEFF"/>
          </w:tcPr>
          <w:p>
            <w:pPr>
              <w:spacing w:after="0"/>
              <w:rPr>
                <w:sz w:val="19"/>
                <w:szCs w:val="19"/>
                <w:color w:val="auto"/>
              </w:rPr>
            </w:pPr>
          </w:p>
        </w:tc>
        <w:tc>
          <w:tcPr>
            <w:tcW w:w="120" w:type="dxa"/>
            <w:vAlign w:val="bottom"/>
          </w:tcPr>
          <w:p>
            <w:pPr>
              <w:spacing w:after="0"/>
              <w:rPr>
                <w:sz w:val="19"/>
                <w:szCs w:val="19"/>
                <w:color w:val="auto"/>
              </w:rPr>
            </w:pPr>
          </w:p>
        </w:tc>
      </w:tr>
      <w:tr>
        <w:trPr>
          <w:trHeight w:val="1168"/>
        </w:trPr>
        <w:tc>
          <w:tcPr>
            <w:tcW w:w="1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80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CCEEFF"/>
              <w:bottom w:val="single" w:sz="8" w:color="9A9A9A"/>
            </w:tcBorders>
          </w:tcPr>
          <w:p>
            <w:pPr>
              <w:spacing w:after="0"/>
              <w:rPr>
                <w:sz w:val="24"/>
                <w:szCs w:val="24"/>
                <w:color w:val="auto"/>
              </w:rPr>
            </w:pPr>
          </w:p>
        </w:tc>
        <w:tc>
          <w:tcPr>
            <w:tcW w:w="400" w:type="dxa"/>
            <w:vAlign w:val="bottom"/>
            <w:tcBorders>
              <w:top w:val="single" w:sz="8" w:color="CCEEFF"/>
              <w:bottom w:val="single" w:sz="8" w:color="9A9A9A"/>
            </w:tcBorders>
          </w:tcPr>
          <w:p>
            <w:pPr>
              <w:spacing w:after="0"/>
              <w:rPr>
                <w:sz w:val="24"/>
                <w:szCs w:val="24"/>
                <w:color w:val="auto"/>
              </w:rPr>
            </w:pPr>
          </w:p>
        </w:tc>
        <w:tc>
          <w:tcPr>
            <w:tcW w:w="10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62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2220" w:type="dxa"/>
            <w:vAlign w:val="bottom"/>
            <w:tcBorders>
              <w:top w:val="single" w:sz="8" w:color="CCEEFF"/>
              <w:bottom w:val="single" w:sz="8" w:color="9A9A9A"/>
            </w:tcBorders>
          </w:tcPr>
          <w:p>
            <w:pPr>
              <w:spacing w:after="0"/>
              <w:rPr>
                <w:sz w:val="24"/>
                <w:szCs w:val="24"/>
                <w:color w:val="auto"/>
              </w:rPr>
            </w:pPr>
          </w:p>
        </w:tc>
        <w:tc>
          <w:tcPr>
            <w:tcW w:w="500" w:type="dxa"/>
            <w:vAlign w:val="bottom"/>
            <w:tcBorders>
              <w:top w:val="single" w:sz="8" w:color="CCEEFF"/>
              <w:bottom w:val="single" w:sz="8" w:color="9A9A9A"/>
            </w:tcBorders>
          </w:tcPr>
          <w:p>
            <w:pPr>
              <w:spacing w:after="0"/>
              <w:rPr>
                <w:sz w:val="24"/>
                <w:szCs w:val="24"/>
                <w:color w:val="auto"/>
              </w:rPr>
            </w:pPr>
          </w:p>
        </w:tc>
        <w:tc>
          <w:tcPr>
            <w:tcW w:w="34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20" w:type="dxa"/>
            <w:vAlign w:val="bottom"/>
            <w:tcBorders>
              <w:top w:val="single" w:sz="8" w:color="CCEE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 w:name="page4"/>
    <w:bookmarkEnd w:id="3"/>
    <w:p>
      <w:pPr>
        <w:spacing w:after="0" w:line="3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310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June 30, 2023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2022</w:t>
            </w:r>
          </w:p>
        </w:tc>
        <w:tc>
          <w:tcPr>
            <w:tcW w:w="0" w:type="dxa"/>
            <w:vAlign w:val="bottom"/>
          </w:tcPr>
          <w:p>
            <w:pPr>
              <w:spacing w:after="0"/>
              <w:rPr>
                <w:sz w:val="1"/>
                <w:szCs w:val="1"/>
                <w:color w:val="auto"/>
              </w:rPr>
            </w:pPr>
          </w:p>
        </w:tc>
      </w:tr>
      <w:tr>
        <w:trPr>
          <w:trHeight w:val="240"/>
        </w:trPr>
        <w:tc>
          <w:tcPr>
            <w:tcW w:w="6520" w:type="dxa"/>
            <w:vAlign w:val="bottom"/>
            <w:shd w:val="clear" w:color="auto" w:fill="CCEEFF"/>
          </w:tcPr>
          <w:p>
            <w:pPr>
              <w:ind w:left="5220"/>
              <w:spacing w:after="0"/>
              <w:rPr>
                <w:sz w:val="20"/>
                <w:szCs w:val="20"/>
                <w:color w:val="auto"/>
              </w:rPr>
            </w:pPr>
            <w:r>
              <w:rPr>
                <w:rFonts w:ascii="Arial" w:cs="Arial" w:eastAsia="Arial" w:hAnsi="Arial"/>
                <w:sz w:val="20"/>
                <w:szCs w:val="20"/>
                <w:b w:val="1"/>
                <w:bCs w:val="1"/>
                <w:color w:val="auto"/>
              </w:rPr>
              <w:t>ASSETS</w:t>
            </w:r>
          </w:p>
        </w:tc>
        <w:tc>
          <w:tcPr>
            <w:tcW w:w="3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520" w:type="dxa"/>
            <w:vAlign w:val="bottom"/>
          </w:tcPr>
          <w:p>
            <w:pPr>
              <w:ind w:left="20"/>
              <w:spacing w:after="0"/>
              <w:rPr>
                <w:sz w:val="20"/>
                <w:szCs w:val="20"/>
                <w:color w:val="auto"/>
              </w:rPr>
            </w:pPr>
            <w:r>
              <w:rPr>
                <w:rFonts w:ascii="Arial" w:cs="Arial" w:eastAsia="Arial" w:hAnsi="Arial"/>
                <w:sz w:val="20"/>
                <w:szCs w:val="20"/>
                <w:color w:val="auto"/>
              </w:rPr>
              <w:t>Current assets:</w:t>
            </w:r>
          </w:p>
        </w:tc>
        <w:tc>
          <w:tcPr>
            <w:tcW w:w="3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Cash and cash equivalents</w:t>
            </w: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155,966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133,901</w:t>
            </w:r>
          </w:p>
        </w:tc>
        <w:tc>
          <w:tcPr>
            <w:tcW w:w="0" w:type="dxa"/>
            <w:vAlign w:val="bottom"/>
          </w:tcPr>
          <w:p>
            <w:pPr>
              <w:spacing w:after="0"/>
              <w:rPr>
                <w:sz w:val="1"/>
                <w:szCs w:val="1"/>
                <w:color w:val="auto"/>
              </w:rPr>
            </w:pPr>
          </w:p>
        </w:tc>
      </w:tr>
      <w:tr>
        <w:trPr>
          <w:trHeight w:val="189"/>
        </w:trPr>
        <w:tc>
          <w:tcPr>
            <w:tcW w:w="6520" w:type="dxa"/>
            <w:vAlign w:val="bottom"/>
          </w:tcPr>
          <w:p>
            <w:pPr>
              <w:ind w:left="240"/>
              <w:spacing w:after="0" w:line="189" w:lineRule="exact"/>
              <w:rPr>
                <w:sz w:val="20"/>
                <w:szCs w:val="20"/>
                <w:color w:val="auto"/>
              </w:rPr>
            </w:pPr>
            <w:r>
              <w:rPr>
                <w:rFonts w:ascii="Arial" w:cs="Arial" w:eastAsia="Arial" w:hAnsi="Arial"/>
                <w:sz w:val="20"/>
                <w:szCs w:val="20"/>
                <w:color w:val="auto"/>
              </w:rPr>
              <w:t>Accounts receivable, net of allowance of $1,651 and $1,888,</w:t>
            </w:r>
          </w:p>
        </w:tc>
        <w:tc>
          <w:tcPr>
            <w:tcW w:w="340" w:type="dxa"/>
            <w:vAlign w:val="bottom"/>
          </w:tcPr>
          <w:p>
            <w:pPr>
              <w:spacing w:after="0"/>
              <w:rPr>
                <w:sz w:val="16"/>
                <w:szCs w:val="16"/>
                <w:color w:val="auto"/>
              </w:rPr>
            </w:pPr>
          </w:p>
        </w:tc>
        <w:tc>
          <w:tcPr>
            <w:tcW w:w="1980" w:type="dxa"/>
            <w:vAlign w:val="bottom"/>
            <w:vMerge w:val="restart"/>
          </w:tcPr>
          <w:p>
            <w:pPr>
              <w:jc w:val="right"/>
              <w:spacing w:after="0"/>
              <w:rPr>
                <w:sz w:val="20"/>
                <w:szCs w:val="20"/>
                <w:color w:val="auto"/>
              </w:rPr>
            </w:pPr>
            <w:r>
              <w:rPr>
                <w:rFonts w:ascii="Arial" w:cs="Arial" w:eastAsia="Arial" w:hAnsi="Arial"/>
                <w:sz w:val="20"/>
                <w:szCs w:val="20"/>
                <w:color w:val="auto"/>
              </w:rPr>
              <w:t>502,363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20" w:type="dxa"/>
            <w:vAlign w:val="bottom"/>
            <w:vMerge w:val="restart"/>
          </w:tcPr>
          <w:p>
            <w:pPr>
              <w:jc w:val="right"/>
              <w:spacing w:after="0"/>
              <w:rPr>
                <w:sz w:val="20"/>
                <w:szCs w:val="20"/>
                <w:color w:val="auto"/>
              </w:rPr>
            </w:pPr>
            <w:r>
              <w:rPr>
                <w:rFonts w:ascii="Arial" w:cs="Arial" w:eastAsia="Arial" w:hAnsi="Arial"/>
                <w:sz w:val="20"/>
                <w:szCs w:val="20"/>
                <w:color w:val="auto"/>
              </w:rPr>
              <w:t>421,183</w:t>
            </w:r>
          </w:p>
        </w:tc>
        <w:tc>
          <w:tcPr>
            <w:tcW w:w="0" w:type="dxa"/>
            <w:vAlign w:val="bottom"/>
          </w:tcPr>
          <w:p>
            <w:pPr>
              <w:spacing w:after="0"/>
              <w:rPr>
                <w:sz w:val="1"/>
                <w:szCs w:val="1"/>
                <w:color w:val="auto"/>
              </w:rPr>
            </w:pPr>
          </w:p>
        </w:tc>
      </w:tr>
      <w:tr>
        <w:trPr>
          <w:trHeight w:val="254"/>
        </w:trPr>
        <w:tc>
          <w:tcPr>
            <w:tcW w:w="6520" w:type="dxa"/>
            <w:vAlign w:val="bottom"/>
          </w:tcPr>
          <w:p>
            <w:pPr>
              <w:ind w:left="240"/>
              <w:spacing w:after="0"/>
              <w:rPr>
                <w:sz w:val="20"/>
                <w:szCs w:val="20"/>
                <w:color w:val="auto"/>
              </w:rPr>
            </w:pPr>
            <w:r>
              <w:rPr>
                <w:rFonts w:ascii="Arial" w:cs="Arial" w:eastAsia="Arial" w:hAnsi="Arial"/>
                <w:sz w:val="20"/>
                <w:szCs w:val="20"/>
                <w:color w:val="auto"/>
              </w:rPr>
              <w:t>respectively</w:t>
            </w:r>
          </w:p>
        </w:tc>
        <w:tc>
          <w:tcPr>
            <w:tcW w:w="340" w:type="dxa"/>
            <w:vAlign w:val="bottom"/>
          </w:tcPr>
          <w:p>
            <w:pPr>
              <w:spacing w:after="0"/>
              <w:rPr>
                <w:sz w:val="22"/>
                <w:szCs w:val="22"/>
                <w:color w:val="auto"/>
              </w:rPr>
            </w:pPr>
          </w:p>
        </w:tc>
        <w:tc>
          <w:tcPr>
            <w:tcW w:w="19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Inventories</w:t>
            </w:r>
          </w:p>
        </w:tc>
        <w:tc>
          <w:tcPr>
            <w:tcW w:w="34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206,857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233,159</w:t>
            </w:r>
          </w:p>
        </w:tc>
        <w:tc>
          <w:tcPr>
            <w:tcW w:w="0" w:type="dxa"/>
            <w:vAlign w:val="bottom"/>
          </w:tcPr>
          <w:p>
            <w:pPr>
              <w:spacing w:after="0"/>
              <w:rPr>
                <w:sz w:val="1"/>
                <w:szCs w:val="1"/>
                <w:color w:val="auto"/>
              </w:rPr>
            </w:pP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Income tax receivables</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312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3,532</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Prepaid expenses and other</w:t>
            </w:r>
          </w:p>
        </w:tc>
        <w:tc>
          <w:tcPr>
            <w:tcW w:w="3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42,740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39,434</w:t>
            </w:r>
          </w:p>
        </w:tc>
        <w:tc>
          <w:tcPr>
            <w:tcW w:w="0" w:type="dxa"/>
            <w:vAlign w:val="bottom"/>
          </w:tcPr>
          <w:p>
            <w:pPr>
              <w:spacing w:after="0"/>
              <w:rPr>
                <w:sz w:val="1"/>
                <w:szCs w:val="1"/>
                <w:color w:val="auto"/>
              </w:rPr>
            </w:pPr>
          </w:p>
        </w:tc>
      </w:tr>
      <w:tr>
        <w:trPr>
          <w:trHeight w:val="247"/>
        </w:trPr>
        <w:tc>
          <w:tcPr>
            <w:tcW w:w="6520" w:type="dxa"/>
            <w:vAlign w:val="bottom"/>
          </w:tcPr>
          <w:p>
            <w:pPr>
              <w:ind w:left="520"/>
              <w:spacing w:after="0"/>
              <w:rPr>
                <w:sz w:val="20"/>
                <w:szCs w:val="20"/>
                <w:color w:val="auto"/>
              </w:rPr>
            </w:pPr>
            <w:r>
              <w:rPr>
                <w:rFonts w:ascii="Arial" w:cs="Arial" w:eastAsia="Arial" w:hAnsi="Arial"/>
                <w:sz w:val="20"/>
                <w:szCs w:val="20"/>
                <w:color w:val="auto"/>
              </w:rPr>
              <w:t>Total current assets</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908,238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831,209</w:t>
            </w:r>
          </w:p>
        </w:tc>
        <w:tc>
          <w:tcPr>
            <w:tcW w:w="0" w:type="dxa"/>
            <w:vAlign w:val="bottom"/>
          </w:tcPr>
          <w:p>
            <w:pPr>
              <w:spacing w:after="0"/>
              <w:rPr>
                <w:sz w:val="1"/>
                <w:szCs w:val="1"/>
                <w:color w:val="auto"/>
              </w:rPr>
            </w:pPr>
          </w:p>
        </w:tc>
      </w:tr>
      <w:tr>
        <w:trPr>
          <w:trHeight w:val="273"/>
        </w:trPr>
        <w:tc>
          <w:tcPr>
            <w:tcW w:w="65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2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34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30,674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23,174</w:t>
            </w:r>
          </w:p>
        </w:tc>
        <w:tc>
          <w:tcPr>
            <w:tcW w:w="0" w:type="dxa"/>
            <w:vAlign w:val="bottom"/>
          </w:tcPr>
          <w:p>
            <w:pPr>
              <w:spacing w:after="0"/>
              <w:rPr>
                <w:sz w:val="1"/>
                <w:szCs w:val="1"/>
                <w:color w:val="auto"/>
              </w:rPr>
            </w:pPr>
          </w:p>
        </w:tc>
      </w:tr>
      <w:tr>
        <w:trPr>
          <w:trHeight w:val="257"/>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Goodwill</w:t>
            </w:r>
          </w:p>
        </w:tc>
        <w:tc>
          <w:tcPr>
            <w:tcW w:w="340" w:type="dxa"/>
            <w:vAlign w:val="bottom"/>
            <w:shd w:val="clear" w:color="auto" w:fill="CCEEFF"/>
          </w:tcPr>
          <w:p>
            <w:pPr>
              <w:spacing w:after="0"/>
              <w:rPr>
                <w:sz w:val="22"/>
                <w:szCs w:val="22"/>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441,255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416,184</w:t>
            </w:r>
          </w:p>
        </w:tc>
        <w:tc>
          <w:tcPr>
            <w:tcW w:w="0" w:type="dxa"/>
            <w:vAlign w:val="bottom"/>
          </w:tcPr>
          <w:p>
            <w:pPr>
              <w:spacing w:after="0"/>
              <w:rPr>
                <w:sz w:val="1"/>
                <w:szCs w:val="1"/>
                <w:color w:val="auto"/>
              </w:rPr>
            </w:pPr>
          </w:p>
        </w:tc>
      </w:tr>
      <w:tr>
        <w:trPr>
          <w:trHeight w:val="254"/>
        </w:trPr>
        <w:tc>
          <w:tcPr>
            <w:tcW w:w="6520" w:type="dxa"/>
            <w:vAlign w:val="bottom"/>
          </w:tcPr>
          <w:p>
            <w:pPr>
              <w:ind w:left="20"/>
              <w:spacing w:after="0"/>
              <w:rPr>
                <w:sz w:val="20"/>
                <w:szCs w:val="20"/>
                <w:color w:val="auto"/>
              </w:rPr>
            </w:pPr>
            <w:r>
              <w:rPr>
                <w:rFonts w:ascii="Arial" w:cs="Arial" w:eastAsia="Arial" w:hAnsi="Arial"/>
                <w:sz w:val="20"/>
                <w:szCs w:val="20"/>
                <w:color w:val="auto"/>
              </w:rPr>
              <w:t>Other intangible assets, net</w:t>
            </w:r>
          </w:p>
        </w:tc>
        <w:tc>
          <w:tcPr>
            <w:tcW w:w="3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375,527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386,364</w:t>
            </w:r>
          </w:p>
        </w:tc>
        <w:tc>
          <w:tcPr>
            <w:tcW w:w="0" w:type="dxa"/>
            <w:vAlign w:val="bottom"/>
          </w:tcPr>
          <w:p>
            <w:pPr>
              <w:spacing w:after="0"/>
              <w:rPr>
                <w:sz w:val="1"/>
                <w:szCs w:val="1"/>
                <w:color w:val="auto"/>
              </w:rPr>
            </w:pPr>
          </w:p>
        </w:tc>
      </w:tr>
      <w:tr>
        <w:trPr>
          <w:trHeight w:val="246"/>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income tax assets</w:t>
            </w:r>
          </w:p>
        </w:tc>
        <w:tc>
          <w:tcPr>
            <w:tcW w:w="3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16,466</w:t>
            </w:r>
          </w:p>
        </w:tc>
        <w:tc>
          <w:tcPr>
            <w:tcW w:w="0" w:type="dxa"/>
            <w:vAlign w:val="bottom"/>
          </w:tcPr>
          <w:p>
            <w:pPr>
              <w:spacing w:after="0"/>
              <w:rPr>
                <w:sz w:val="1"/>
                <w:szCs w:val="1"/>
                <w:color w:val="auto"/>
              </w:rPr>
            </w:pPr>
          </w:p>
        </w:tc>
      </w:tr>
      <w:tr>
        <w:trPr>
          <w:trHeight w:val="254"/>
        </w:trPr>
        <w:tc>
          <w:tcPr>
            <w:tcW w:w="6520" w:type="dxa"/>
            <w:vAlign w:val="bottom"/>
          </w:tcPr>
          <w:p>
            <w:pPr>
              <w:ind w:left="20"/>
              <w:spacing w:after="0"/>
              <w:rPr>
                <w:sz w:val="20"/>
                <w:szCs w:val="20"/>
                <w:color w:val="auto"/>
              </w:rPr>
            </w:pPr>
            <w:r>
              <w:rPr>
                <w:rFonts w:ascii="Arial" w:cs="Arial" w:eastAsia="Arial" w:hAnsi="Arial"/>
                <w:sz w:val="20"/>
                <w:szCs w:val="20"/>
                <w:color w:val="auto"/>
              </w:rPr>
              <w:t>Derivative assets</w:t>
            </w:r>
          </w:p>
        </w:tc>
        <w:tc>
          <w:tcPr>
            <w:tcW w:w="3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64,014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assets</w:t>
            </w:r>
          </w:p>
        </w:tc>
        <w:tc>
          <w:tcPr>
            <w:tcW w:w="3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33,076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32,655</w:t>
            </w:r>
          </w:p>
        </w:tc>
        <w:tc>
          <w:tcPr>
            <w:tcW w:w="0" w:type="dxa"/>
            <w:vAlign w:val="bottom"/>
          </w:tcPr>
          <w:p>
            <w:pPr>
              <w:spacing w:after="0"/>
              <w:rPr>
                <w:sz w:val="1"/>
                <w:szCs w:val="1"/>
                <w:color w:val="auto"/>
              </w:rPr>
            </w:pPr>
          </w:p>
        </w:tc>
      </w:tr>
      <w:tr>
        <w:trPr>
          <w:trHeight w:val="237"/>
        </w:trPr>
        <w:tc>
          <w:tcPr>
            <w:tcW w:w="6520" w:type="dxa"/>
            <w:vAlign w:val="bottom"/>
          </w:tcPr>
          <w:p>
            <w:pPr>
              <w:ind w:left="520"/>
              <w:spacing w:after="0"/>
              <w:rPr>
                <w:sz w:val="20"/>
                <w:szCs w:val="20"/>
                <w:color w:val="auto"/>
              </w:rPr>
            </w:pPr>
            <w:r>
              <w:rPr>
                <w:rFonts w:ascii="Arial" w:cs="Arial" w:eastAsia="Arial" w:hAnsi="Arial"/>
                <w:sz w:val="20"/>
                <w:szCs w:val="20"/>
                <w:color w:val="auto"/>
              </w:rPr>
              <w:t>Total assets</w:t>
            </w:r>
          </w:p>
        </w:tc>
        <w:tc>
          <w:tcPr>
            <w:tcW w:w="34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1,852,784</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1,706,052</w:t>
            </w:r>
          </w:p>
        </w:tc>
        <w:tc>
          <w:tcPr>
            <w:tcW w:w="0" w:type="dxa"/>
            <w:vAlign w:val="bottom"/>
          </w:tcPr>
          <w:p>
            <w:pPr>
              <w:spacing w:after="0"/>
              <w:rPr>
                <w:sz w:val="1"/>
                <w:szCs w:val="1"/>
                <w:color w:val="auto"/>
              </w:rPr>
            </w:pPr>
          </w:p>
        </w:tc>
      </w:tr>
      <w:tr>
        <w:trPr>
          <w:trHeight w:val="20"/>
        </w:trPr>
        <w:tc>
          <w:tcPr>
            <w:tcW w:w="65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ind w:left="20" w:right="1160" w:firstLine="1137"/>
        <w:spacing w:after="0" w:line="262" w:lineRule="auto"/>
        <w:rPr>
          <w:sz w:val="20"/>
          <w:szCs w:val="20"/>
          <w:color w:val="auto"/>
        </w:rPr>
      </w:pPr>
      <w:r>
        <w:rPr>
          <w:rFonts w:ascii="Arial" w:cs="Arial" w:eastAsia="Arial" w:hAnsi="Arial"/>
          <w:sz w:val="20"/>
          <w:szCs w:val="20"/>
          <w:b w:val="1"/>
          <w:bCs w:val="1"/>
          <w:color w:val="auto"/>
        </w:rPr>
        <w:t xml:space="preserve">LIABILITIES, REDEEMABLE PERPETUAL PREFERRED STOCK AND STOCKHOLDERS' EQUITY </w:t>
      </w:r>
      <w:r>
        <w:rPr>
          <w:rFonts w:ascii="Arial" w:cs="Arial" w:eastAsia="Arial" w:hAnsi="Arial"/>
          <w:sz w:val="20"/>
          <w:szCs w:val="20"/>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2"/>
        </w:trPr>
        <w:tc>
          <w:tcPr>
            <w:tcW w:w="6520" w:type="dxa"/>
            <w:vAlign w:val="bottom"/>
          </w:tcPr>
          <w:p>
            <w:pPr>
              <w:ind w:left="240"/>
              <w:spacing w:after="0"/>
              <w:rPr>
                <w:sz w:val="20"/>
                <w:szCs w:val="20"/>
                <w:color w:val="auto"/>
              </w:rPr>
            </w:pPr>
            <w:r>
              <w:rPr>
                <w:rFonts w:ascii="Arial" w:cs="Arial" w:eastAsia="Arial" w:hAnsi="Arial"/>
                <w:sz w:val="20"/>
                <w:szCs w:val="20"/>
                <w:color w:val="auto"/>
              </w:rPr>
              <w:t>Accounts payable</w:t>
            </w:r>
          </w:p>
        </w:tc>
        <w:tc>
          <w:tcPr>
            <w:tcW w:w="740" w:type="dxa"/>
            <w:vAlign w:val="bottom"/>
          </w:tcPr>
          <w:p>
            <w:pPr>
              <w:jc w:val="right"/>
              <w:ind w:right="501"/>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188,633</w:t>
            </w:r>
          </w:p>
        </w:tc>
        <w:tc>
          <w:tcPr>
            <w:tcW w:w="820" w:type="dxa"/>
            <w:vAlign w:val="bottom"/>
            <w:gridSpan w:val="2"/>
          </w:tcPr>
          <w:p>
            <w:pPr>
              <w:jc w:val="right"/>
              <w:ind w:right="600"/>
              <w:spacing w:after="0"/>
              <w:rPr>
                <w:sz w:val="20"/>
                <w:szCs w:val="20"/>
                <w:color w:val="auto"/>
              </w:rPr>
            </w:pPr>
            <w:r>
              <w:rPr>
                <w:rFonts w:ascii="Arial" w:cs="Arial" w:eastAsia="Arial" w:hAnsi="Arial"/>
                <w:sz w:val="20"/>
                <w:szCs w:val="20"/>
                <w:color w:val="auto"/>
              </w:rPr>
              <w:t>$</w:t>
            </w:r>
          </w:p>
        </w:tc>
        <w:tc>
          <w:tcPr>
            <w:tcW w:w="1580" w:type="dxa"/>
            <w:vAlign w:val="bottom"/>
          </w:tcPr>
          <w:p>
            <w:pPr>
              <w:jc w:val="right"/>
              <w:spacing w:after="0"/>
              <w:rPr>
                <w:sz w:val="20"/>
                <w:szCs w:val="20"/>
                <w:color w:val="auto"/>
              </w:rPr>
            </w:pPr>
            <w:r>
              <w:rPr>
                <w:rFonts w:ascii="Arial" w:cs="Arial" w:eastAsia="Arial" w:hAnsi="Arial"/>
                <w:sz w:val="20"/>
                <w:szCs w:val="20"/>
                <w:color w:val="auto"/>
              </w:rPr>
              <w:t>170,430</w:t>
            </w:r>
          </w:p>
        </w:tc>
      </w:tr>
      <w:tr>
        <w:trPr>
          <w:trHeight w:val="25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Accrued expenses and other</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61,156</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54,895</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Accrued warranty reserve</w:t>
            </w:r>
          </w:p>
        </w:tc>
        <w:tc>
          <w:tcPr>
            <w:tcW w:w="7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1,540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3,690</w:t>
            </w: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Income tax payable</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16,711</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6,881</w:t>
            </w:r>
          </w:p>
        </w:tc>
      </w:tr>
      <w:tr>
        <w:trPr>
          <w:trHeight w:val="254"/>
        </w:trPr>
        <w:tc>
          <w:tcPr>
            <w:tcW w:w="6520" w:type="dxa"/>
            <w:vAlign w:val="bottom"/>
          </w:tcPr>
          <w:p>
            <w:pPr>
              <w:ind w:left="240"/>
              <w:spacing w:after="0"/>
              <w:rPr>
                <w:sz w:val="20"/>
                <w:szCs w:val="20"/>
                <w:color w:val="auto"/>
              </w:rPr>
            </w:pPr>
            <w:r>
              <w:rPr>
                <w:rFonts w:ascii="Arial" w:cs="Arial" w:eastAsia="Arial" w:hAnsi="Arial"/>
                <w:sz w:val="20"/>
                <w:szCs w:val="20"/>
                <w:color w:val="auto"/>
              </w:rPr>
              <w:t>Deferred revenue</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114,810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178,922</w:t>
            </w:r>
          </w:p>
        </w:tc>
      </w:tr>
      <w:tr>
        <w:trPr>
          <w:trHeight w:val="24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Current portion of contingent consideration</w:t>
            </w:r>
          </w:p>
        </w:tc>
        <w:tc>
          <w:tcPr>
            <w:tcW w:w="74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1,809</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1,200</w:t>
            </w:r>
          </w:p>
        </w:tc>
      </w:tr>
      <w:tr>
        <w:trPr>
          <w:trHeight w:val="254"/>
        </w:trPr>
        <w:tc>
          <w:tcPr>
            <w:tcW w:w="6520" w:type="dxa"/>
            <w:vAlign w:val="bottom"/>
          </w:tcPr>
          <w:p>
            <w:pPr>
              <w:ind w:left="240"/>
              <w:spacing w:after="0"/>
              <w:rPr>
                <w:sz w:val="20"/>
                <w:szCs w:val="20"/>
                <w:color w:val="auto"/>
              </w:rPr>
            </w:pPr>
            <w:r>
              <w:rPr>
                <w:rFonts w:ascii="Arial" w:cs="Arial" w:eastAsia="Arial" w:hAnsi="Arial"/>
                <w:sz w:val="20"/>
                <w:szCs w:val="20"/>
                <w:color w:val="auto"/>
              </w:rPr>
              <w:t>Current portion of debt</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37,450</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38,691</w:t>
            </w:r>
          </w:p>
        </w:tc>
      </w:tr>
      <w:tr>
        <w:trPr>
          <w:trHeight w:val="259"/>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Other current liabilities</w:t>
            </w:r>
          </w:p>
        </w:tc>
        <w:tc>
          <w:tcPr>
            <w:tcW w:w="74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12,844</w:t>
            </w:r>
          </w:p>
        </w:tc>
        <w:tc>
          <w:tcPr>
            <w:tcW w:w="100" w:type="dxa"/>
            <w:vAlign w:val="bottom"/>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10,553</w:t>
            </w:r>
          </w:p>
        </w:tc>
      </w:tr>
      <w:tr>
        <w:trPr>
          <w:trHeight w:val="237"/>
        </w:trPr>
        <w:tc>
          <w:tcPr>
            <w:tcW w:w="6520" w:type="dxa"/>
            <w:vAlign w:val="bottom"/>
          </w:tcPr>
          <w:p>
            <w:pPr>
              <w:ind w:left="520"/>
              <w:spacing w:after="0"/>
              <w:rPr>
                <w:sz w:val="20"/>
                <w:szCs w:val="20"/>
                <w:color w:val="auto"/>
              </w:rPr>
            </w:pPr>
            <w:r>
              <w:rPr>
                <w:rFonts w:ascii="Arial" w:cs="Arial" w:eastAsia="Arial" w:hAnsi="Arial"/>
                <w:sz w:val="20"/>
                <w:szCs w:val="20"/>
                <w:color w:val="auto"/>
              </w:rPr>
              <w:t>Total current liabilities</w:t>
            </w:r>
          </w:p>
        </w:tc>
        <w:tc>
          <w:tcPr>
            <w:tcW w:w="7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434,953</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465,262</w:t>
            </w:r>
          </w:p>
        </w:tc>
      </w:tr>
      <w:tr>
        <w:trPr>
          <w:trHeight w:val="270"/>
        </w:trPr>
        <w:tc>
          <w:tcPr>
            <w:tcW w:w="65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r>
      <w:tr>
        <w:trPr>
          <w:trHeight w:val="254"/>
        </w:trPr>
        <w:tc>
          <w:tcPr>
            <w:tcW w:w="6520" w:type="dxa"/>
            <w:vAlign w:val="bottom"/>
          </w:tcPr>
          <w:p>
            <w:pPr>
              <w:ind w:left="240"/>
              <w:spacing w:after="0"/>
              <w:rPr>
                <w:sz w:val="20"/>
                <w:szCs w:val="20"/>
                <w:color w:val="auto"/>
              </w:rPr>
            </w:pPr>
            <w:r>
              <w:rPr>
                <w:rFonts w:ascii="Arial" w:cs="Arial" w:eastAsia="Arial" w:hAnsi="Arial"/>
                <w:sz w:val="20"/>
                <w:szCs w:val="20"/>
                <w:color w:val="auto"/>
              </w:rPr>
              <w:t>Deferred income tax liabilities</w:t>
            </w:r>
          </w:p>
        </w:tc>
        <w:tc>
          <w:tcPr>
            <w:tcW w:w="7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74,902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72,606</w:t>
            </w:r>
          </w:p>
        </w:tc>
      </w:tr>
      <w:tr>
        <w:trPr>
          <w:trHeight w:val="259"/>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Contingent consideration, net of current portion</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7,620</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7,387</w:t>
            </w:r>
          </w:p>
        </w:tc>
      </w:tr>
      <w:tr>
        <w:trPr>
          <w:trHeight w:val="243"/>
        </w:trPr>
        <w:tc>
          <w:tcPr>
            <w:tcW w:w="6520" w:type="dxa"/>
            <w:vAlign w:val="bottom"/>
          </w:tcPr>
          <w:p>
            <w:pPr>
              <w:ind w:left="240"/>
              <w:spacing w:after="0"/>
              <w:rPr>
                <w:sz w:val="20"/>
                <w:szCs w:val="20"/>
                <w:color w:val="auto"/>
              </w:rPr>
            </w:pPr>
            <w:r>
              <w:rPr>
                <w:rFonts w:ascii="Arial" w:cs="Arial" w:eastAsia="Arial" w:hAnsi="Arial"/>
                <w:sz w:val="20"/>
                <w:szCs w:val="20"/>
                <w:color w:val="auto"/>
              </w:rPr>
              <w:t>Other long-term liabilities</w:t>
            </w:r>
          </w:p>
        </w:tc>
        <w:tc>
          <w:tcPr>
            <w:tcW w:w="7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16,117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14,808</w:t>
            </w:r>
          </w:p>
        </w:tc>
      </w:tr>
      <w:tr>
        <w:trPr>
          <w:trHeight w:val="256"/>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Long-term warranty</w:t>
            </w:r>
          </w:p>
        </w:tc>
        <w:tc>
          <w:tcPr>
            <w:tcW w:w="74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4,415</w:t>
            </w: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1,786</w:t>
            </w:r>
          </w:p>
        </w:tc>
      </w:tr>
      <w:tr>
        <w:trPr>
          <w:trHeight w:val="256"/>
        </w:trPr>
        <w:tc>
          <w:tcPr>
            <w:tcW w:w="65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Long-term debt, net of current portion</w:t>
            </w:r>
          </w:p>
        </w:tc>
        <w:tc>
          <w:tcPr>
            <w:tcW w:w="7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702,485</w:t>
            </w: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720,352</w:t>
            </w:r>
          </w:p>
        </w:tc>
      </w:tr>
      <w:tr>
        <w:trPr>
          <w:trHeight w:val="237"/>
        </w:trPr>
        <w:tc>
          <w:tcPr>
            <w:tcW w:w="65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20"/>
                <w:szCs w:val="20"/>
                <w:color w:val="auto"/>
              </w:rPr>
              <w:t>Total liabilities</w:t>
            </w:r>
          </w:p>
        </w:tc>
        <w:tc>
          <w:tcPr>
            <w:tcW w:w="74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1,240,492</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1,282,201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580"/>
        <w:spacing w:after="0"/>
        <w:rPr>
          <w:sz w:val="20"/>
          <w:szCs w:val="20"/>
          <w:color w:val="auto"/>
        </w:rPr>
      </w:pPr>
      <w:r>
        <w:rPr>
          <w:rFonts w:ascii="Arial" w:cs="Arial" w:eastAsia="Arial" w:hAnsi="Arial"/>
          <w:sz w:val="20"/>
          <w:szCs w:val="20"/>
          <w:b w:val="1"/>
          <w:bCs w:val="1"/>
          <w:color w:val="auto"/>
        </w:rPr>
        <w:t xml:space="preserve">Condensed Consolidated Balance Sheets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 except per share and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65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401"/>
              <w:spacing w:after="0"/>
              <w:rPr>
                <w:sz w:val="20"/>
                <w:szCs w:val="20"/>
                <w:color w:val="auto"/>
              </w:rPr>
            </w:pPr>
            <w:r>
              <w:rPr>
                <w:rFonts w:ascii="Arial" w:cs="Arial" w:eastAsia="Arial" w:hAnsi="Arial"/>
                <w:sz w:val="20"/>
                <w:szCs w:val="20"/>
                <w:b w:val="1"/>
                <w:bCs w:val="1"/>
                <w:color w:val="auto"/>
              </w:rPr>
              <w:t>June 30, 2023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2022</w:t>
            </w: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Arial" w:cs="Arial" w:eastAsia="Arial" w:hAnsi="Arial"/>
                <w:sz w:val="20"/>
                <w:szCs w:val="20"/>
                <w:color w:val="auto"/>
              </w:rPr>
              <w:t>Commitments and contingencies (Note 11)</w:t>
            </w: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520" w:type="dxa"/>
            <w:vAlign w:val="bottom"/>
            <w:shd w:val="clear" w:color="auto" w:fill="CCEEFF"/>
          </w:tcPr>
          <w:p>
            <w:pPr>
              <w:ind w:left="240"/>
              <w:spacing w:after="0" w:line="203" w:lineRule="exact"/>
              <w:rPr>
                <w:sz w:val="20"/>
                <w:szCs w:val="20"/>
                <w:color w:val="auto"/>
              </w:rPr>
            </w:pPr>
            <w:r>
              <w:rPr>
                <w:rFonts w:ascii="Arial" w:cs="Arial" w:eastAsia="Arial" w:hAnsi="Arial"/>
                <w:sz w:val="20"/>
                <w:szCs w:val="20"/>
                <w:color w:val="auto"/>
              </w:rPr>
              <w:t>Series A Redeemable Perpetual Preferred Stock of $0.001 par value -</w:t>
            </w:r>
          </w:p>
        </w:tc>
        <w:tc>
          <w:tcPr>
            <w:tcW w:w="3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520" w:type="dxa"/>
            <w:vAlign w:val="bottom"/>
            <w:shd w:val="clear" w:color="auto" w:fill="CCEEFF"/>
          </w:tcPr>
          <w:p>
            <w:pPr>
              <w:ind w:left="240"/>
              <w:spacing w:after="0" w:line="193" w:lineRule="exact"/>
              <w:rPr>
                <w:sz w:val="20"/>
                <w:szCs w:val="20"/>
                <w:color w:val="auto"/>
              </w:rPr>
            </w:pPr>
            <w:r>
              <w:rPr>
                <w:rFonts w:ascii="Arial" w:cs="Arial" w:eastAsia="Arial" w:hAnsi="Arial"/>
                <w:sz w:val="20"/>
                <w:szCs w:val="20"/>
                <w:color w:val="auto"/>
                <w:w w:val="99"/>
              </w:rPr>
              <w:t>500,000 authorized; 419,259 and 406,389 shares issued as of June 30,</w:t>
            </w:r>
          </w:p>
        </w:tc>
        <w:tc>
          <w:tcPr>
            <w:tcW w:w="34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520" w:type="dxa"/>
            <w:vAlign w:val="bottom"/>
            <w:shd w:val="clear" w:color="auto" w:fill="CCEEFF"/>
          </w:tcPr>
          <w:p>
            <w:pPr>
              <w:ind w:left="240"/>
              <w:spacing w:after="0" w:line="199" w:lineRule="exact"/>
              <w:rPr>
                <w:sz w:val="20"/>
                <w:szCs w:val="20"/>
                <w:color w:val="auto"/>
              </w:rPr>
            </w:pPr>
            <w:r>
              <w:rPr>
                <w:rFonts w:ascii="Arial" w:cs="Arial" w:eastAsia="Arial" w:hAnsi="Arial"/>
                <w:sz w:val="20"/>
                <w:szCs w:val="20"/>
                <w:color w:val="auto"/>
              </w:rPr>
              <w:t>2023 and December 31, 2022, respectively; liquidation preference of</w:t>
            </w:r>
          </w:p>
        </w:tc>
        <w:tc>
          <w:tcPr>
            <w:tcW w:w="340" w:type="dxa"/>
            <w:vAlign w:val="bottom"/>
            <w:shd w:val="clear" w:color="auto" w:fill="CCEEFF"/>
          </w:tcPr>
          <w:p>
            <w:pPr>
              <w:spacing w:after="0"/>
              <w:rPr>
                <w:sz w:val="17"/>
                <w:szCs w:val="17"/>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324,838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299,570</w:t>
            </w:r>
          </w:p>
        </w:tc>
        <w:tc>
          <w:tcPr>
            <w:tcW w:w="0" w:type="dxa"/>
            <w:vAlign w:val="bottom"/>
          </w:tcPr>
          <w:p>
            <w:pPr>
              <w:spacing w:after="0"/>
              <w:rPr>
                <w:sz w:val="1"/>
                <w:szCs w:val="1"/>
                <w:color w:val="auto"/>
              </w:rPr>
            </w:pPr>
          </w:p>
        </w:tc>
      </w:tr>
      <w:tr>
        <w:trPr>
          <w:trHeight w:val="24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$419.3 million and $406.4 million at respective dates</w:t>
            </w:r>
          </w:p>
        </w:tc>
        <w:tc>
          <w:tcPr>
            <w:tcW w:w="340" w:type="dxa"/>
            <w:vAlign w:val="bottom"/>
            <w:tcBorders>
              <w:bottom w:val="single" w:sz="8" w:color="auto"/>
            </w:tcBorders>
            <w:shd w:val="clear" w:color="auto" w:fill="CCEEFF"/>
          </w:tcPr>
          <w:p>
            <w:pPr>
              <w:spacing w:after="0"/>
              <w:rPr>
                <w:sz w:val="21"/>
                <w:szCs w:val="21"/>
                <w:color w:val="auto"/>
              </w:rPr>
            </w:pPr>
          </w:p>
        </w:tc>
        <w:tc>
          <w:tcPr>
            <w:tcW w:w="198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212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520" w:type="dxa"/>
            <w:vAlign w:val="bottom"/>
          </w:tcPr>
          <w:p>
            <w:pPr>
              <w:ind w:left="20"/>
              <w:spacing w:after="0"/>
              <w:rPr>
                <w:sz w:val="20"/>
                <w:szCs w:val="20"/>
                <w:color w:val="auto"/>
              </w:rPr>
            </w:pPr>
            <w:r>
              <w:rPr>
                <w:rFonts w:ascii="Arial" w:cs="Arial" w:eastAsia="Arial" w:hAnsi="Arial"/>
                <w:sz w:val="20"/>
                <w:szCs w:val="20"/>
                <w:color w:val="auto"/>
              </w:rPr>
              <w:t>Stockholders’ equity:</w:t>
            </w:r>
          </w:p>
        </w:tc>
        <w:tc>
          <w:tcPr>
            <w:tcW w:w="3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6520" w:type="dxa"/>
            <w:vAlign w:val="bottom"/>
            <w:shd w:val="clear" w:color="auto" w:fill="CCEEFF"/>
          </w:tcPr>
          <w:p>
            <w:pPr>
              <w:ind w:left="240"/>
              <w:spacing w:after="0" w:line="201" w:lineRule="exact"/>
              <w:rPr>
                <w:sz w:val="20"/>
                <w:szCs w:val="20"/>
                <w:color w:val="auto"/>
              </w:rPr>
            </w:pPr>
            <w:r>
              <w:rPr>
                <w:rFonts w:ascii="Arial" w:cs="Arial" w:eastAsia="Arial" w:hAnsi="Arial"/>
                <w:sz w:val="20"/>
                <w:szCs w:val="20"/>
                <w:color w:val="auto"/>
              </w:rPr>
              <w:t>Preferred stock of $0.001 par value - 4,500,000 shares authorized;</w:t>
            </w:r>
          </w:p>
        </w:tc>
        <w:tc>
          <w:tcPr>
            <w:tcW w:w="3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none issued at respective dates</w:t>
            </w:r>
          </w:p>
        </w:tc>
        <w:tc>
          <w:tcPr>
            <w:tcW w:w="3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198"/>
        </w:trPr>
        <w:tc>
          <w:tcPr>
            <w:tcW w:w="6520" w:type="dxa"/>
            <w:vAlign w:val="bottom"/>
          </w:tcPr>
          <w:p>
            <w:pPr>
              <w:ind w:left="20"/>
              <w:spacing w:after="0" w:line="199" w:lineRule="exact"/>
              <w:rPr>
                <w:sz w:val="20"/>
                <w:szCs w:val="20"/>
                <w:color w:val="auto"/>
              </w:rPr>
            </w:pPr>
            <w:r>
              <w:rPr>
                <w:rFonts w:ascii="Arial" w:cs="Arial" w:eastAsia="Arial" w:hAnsi="Arial"/>
                <w:sz w:val="20"/>
                <w:szCs w:val="20"/>
                <w:color w:val="auto"/>
              </w:rPr>
              <w:t>Common stock of $0.001 par value - 1,000,000,000 shares authorized;</w:t>
            </w:r>
          </w:p>
        </w:tc>
        <w:tc>
          <w:tcPr>
            <w:tcW w:w="3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520" w:type="dxa"/>
            <w:vAlign w:val="bottom"/>
          </w:tcPr>
          <w:p>
            <w:pPr>
              <w:ind w:left="20"/>
              <w:spacing w:after="0"/>
              <w:rPr>
                <w:sz w:val="20"/>
                <w:szCs w:val="20"/>
                <w:color w:val="auto"/>
              </w:rPr>
            </w:pPr>
            <w:r>
              <w:rPr>
                <w:rFonts w:ascii="Arial" w:cs="Arial" w:eastAsia="Arial" w:hAnsi="Arial"/>
                <w:sz w:val="20"/>
                <w:szCs w:val="20"/>
                <w:color w:val="auto"/>
              </w:rPr>
              <w:t>151,048,790 and 150,513,104 shares issued at respective dates</w:t>
            </w:r>
          </w:p>
        </w:tc>
        <w:tc>
          <w:tcPr>
            <w:tcW w:w="3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151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150</w:t>
            </w:r>
          </w:p>
        </w:tc>
        <w:tc>
          <w:tcPr>
            <w:tcW w:w="0" w:type="dxa"/>
            <w:vAlign w:val="bottom"/>
          </w:tcPr>
          <w:p>
            <w:pPr>
              <w:spacing w:after="0"/>
              <w:rPr>
                <w:sz w:val="1"/>
                <w:szCs w:val="1"/>
                <w:color w:val="auto"/>
              </w:rPr>
            </w:pPr>
          </w:p>
        </w:tc>
      </w:tr>
      <w:tr>
        <w:trPr>
          <w:trHeight w:val="248"/>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Additional paid-in capital</w:t>
            </w:r>
          </w:p>
        </w:tc>
        <w:tc>
          <w:tcPr>
            <w:tcW w:w="34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417,624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383,176</w:t>
            </w:r>
          </w:p>
        </w:tc>
        <w:tc>
          <w:tcPr>
            <w:tcW w:w="0" w:type="dxa"/>
            <w:vAlign w:val="bottom"/>
          </w:tcPr>
          <w:p>
            <w:pPr>
              <w:spacing w:after="0"/>
              <w:rPr>
                <w:sz w:val="1"/>
                <w:szCs w:val="1"/>
                <w:color w:val="auto"/>
              </w:rPr>
            </w:pPr>
          </w:p>
        </w:tc>
      </w:tr>
      <w:tr>
        <w:trPr>
          <w:trHeight w:val="254"/>
        </w:trPr>
        <w:tc>
          <w:tcPr>
            <w:tcW w:w="6520" w:type="dxa"/>
            <w:vAlign w:val="bottom"/>
          </w:tcPr>
          <w:p>
            <w:pPr>
              <w:ind w:left="240"/>
              <w:spacing w:after="0"/>
              <w:rPr>
                <w:sz w:val="20"/>
                <w:szCs w:val="20"/>
                <w:color w:val="auto"/>
              </w:rPr>
            </w:pPr>
            <w:r>
              <w:rPr>
                <w:rFonts w:ascii="Arial" w:cs="Arial" w:eastAsia="Arial" w:hAnsi="Arial"/>
                <w:sz w:val="20"/>
                <w:szCs w:val="20"/>
                <w:color w:val="auto"/>
              </w:rPr>
              <w:t>Accumulated deficit</w:t>
            </w:r>
          </w:p>
        </w:tc>
        <w:tc>
          <w:tcPr>
            <w:tcW w:w="340" w:type="dxa"/>
            <w:vAlign w:val="bottom"/>
          </w:tcPr>
          <w:p>
            <w:pPr>
              <w:spacing w:after="0"/>
              <w:rPr>
                <w:sz w:val="22"/>
                <w:szCs w:val="22"/>
                <w:color w:val="auto"/>
              </w:rPr>
            </w:pPr>
          </w:p>
        </w:tc>
        <w:tc>
          <w:tcPr>
            <w:tcW w:w="1980" w:type="dxa"/>
            <w:vAlign w:val="bottom"/>
          </w:tcPr>
          <w:p>
            <w:pPr>
              <w:jc w:val="right"/>
              <w:spacing w:after="0"/>
              <w:rPr>
                <w:sz w:val="20"/>
                <w:szCs w:val="20"/>
                <w:color w:val="auto"/>
              </w:rPr>
            </w:pPr>
            <w:r>
              <w:rPr>
                <w:rFonts w:ascii="Arial" w:cs="Arial" w:eastAsia="Arial" w:hAnsi="Arial"/>
                <w:sz w:val="20"/>
                <w:szCs w:val="20"/>
                <w:color w:val="auto"/>
              </w:rPr>
              <w:t>(176,530)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(267,470)</w:t>
            </w:r>
          </w:p>
        </w:tc>
        <w:tc>
          <w:tcPr>
            <w:tcW w:w="0" w:type="dxa"/>
            <w:vAlign w:val="bottom"/>
          </w:tcPr>
          <w:p>
            <w:pPr>
              <w:spacing w:after="0"/>
              <w:rPr>
                <w:sz w:val="1"/>
                <w:szCs w:val="1"/>
                <w:color w:val="auto"/>
              </w:rPr>
            </w:pPr>
          </w:p>
        </w:tc>
      </w:tr>
      <w:tr>
        <w:trPr>
          <w:trHeight w:val="259"/>
        </w:trPr>
        <w:tc>
          <w:tcPr>
            <w:tcW w:w="65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Accumulated other comprehensive income</w:t>
            </w:r>
          </w:p>
        </w:tc>
        <w:tc>
          <w:tcPr>
            <w:tcW w:w="340" w:type="dxa"/>
            <w:vAlign w:val="bottom"/>
            <w:tcBorders>
              <w:bottom w:val="single" w:sz="8" w:color="auto"/>
            </w:tcBorders>
            <w:shd w:val="clear" w:color="auto" w:fill="CCEEFF"/>
          </w:tcPr>
          <w:p>
            <w:pPr>
              <w:spacing w:after="0"/>
              <w:rPr>
                <w:sz w:val="22"/>
                <w:szCs w:val="22"/>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46,209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8,425</w:t>
            </w:r>
          </w:p>
        </w:tc>
        <w:tc>
          <w:tcPr>
            <w:tcW w:w="0" w:type="dxa"/>
            <w:vAlign w:val="bottom"/>
          </w:tcPr>
          <w:p>
            <w:pPr>
              <w:spacing w:after="0"/>
              <w:rPr>
                <w:sz w:val="1"/>
                <w:szCs w:val="1"/>
                <w:color w:val="auto"/>
              </w:rPr>
            </w:pPr>
          </w:p>
        </w:tc>
      </w:tr>
      <w:tr>
        <w:trPr>
          <w:trHeight w:val="237"/>
        </w:trPr>
        <w:tc>
          <w:tcPr>
            <w:tcW w:w="6520" w:type="dxa"/>
            <w:vAlign w:val="bottom"/>
          </w:tcPr>
          <w:p>
            <w:pPr>
              <w:ind w:left="20"/>
              <w:spacing w:after="0"/>
              <w:rPr>
                <w:sz w:val="20"/>
                <w:szCs w:val="20"/>
                <w:color w:val="auto"/>
              </w:rPr>
            </w:pPr>
            <w:r>
              <w:rPr>
                <w:rFonts w:ascii="Arial" w:cs="Arial" w:eastAsia="Arial" w:hAnsi="Arial"/>
                <w:sz w:val="20"/>
                <w:szCs w:val="20"/>
                <w:color w:val="auto"/>
              </w:rPr>
              <w:t>Total stockholders’ equity</w:t>
            </w:r>
          </w:p>
        </w:tc>
        <w:tc>
          <w:tcPr>
            <w:tcW w:w="3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287,454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124,281</w:t>
            </w:r>
          </w:p>
        </w:tc>
        <w:tc>
          <w:tcPr>
            <w:tcW w:w="0" w:type="dxa"/>
            <w:vAlign w:val="bottom"/>
          </w:tcPr>
          <w:p>
            <w:pPr>
              <w:spacing w:after="0"/>
              <w:rPr>
                <w:sz w:val="1"/>
                <w:szCs w:val="1"/>
                <w:color w:val="auto"/>
              </w:rPr>
            </w:pPr>
          </w:p>
        </w:tc>
      </w:tr>
      <w:tr>
        <w:trPr>
          <w:trHeight w:val="192"/>
        </w:trPr>
        <w:tc>
          <w:tcPr>
            <w:tcW w:w="6520" w:type="dxa"/>
            <w:vAlign w:val="bottom"/>
            <w:shd w:val="clear" w:color="auto" w:fill="CCEEFF"/>
          </w:tcPr>
          <w:p>
            <w:pPr>
              <w:ind w:left="20"/>
              <w:spacing w:after="0" w:line="192" w:lineRule="exact"/>
              <w:rPr>
                <w:sz w:val="20"/>
                <w:szCs w:val="20"/>
                <w:color w:val="auto"/>
              </w:rPr>
            </w:pPr>
            <w:r>
              <w:rPr>
                <w:rFonts w:ascii="Arial" w:cs="Arial" w:eastAsia="Arial" w:hAnsi="Arial"/>
                <w:sz w:val="20"/>
                <w:szCs w:val="20"/>
                <w:color w:val="auto"/>
              </w:rPr>
              <w:t>Total liabilities, redeemable perpetual preferred stock and stockholders’</w:t>
            </w:r>
          </w:p>
        </w:tc>
        <w:tc>
          <w:tcPr>
            <w:tcW w:w="340" w:type="dxa"/>
            <w:vAlign w:val="bottom"/>
            <w:vMerge w:val="restart"/>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1,852,784</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1,706,052</w:t>
            </w:r>
          </w:p>
        </w:tc>
        <w:tc>
          <w:tcPr>
            <w:tcW w:w="0" w:type="dxa"/>
            <w:vAlign w:val="bottom"/>
          </w:tcPr>
          <w:p>
            <w:pPr>
              <w:spacing w:after="0"/>
              <w:rPr>
                <w:sz w:val="1"/>
                <w:szCs w:val="1"/>
                <w:color w:val="auto"/>
              </w:rPr>
            </w:pPr>
          </w:p>
        </w:tc>
      </w:tr>
      <w:tr>
        <w:trPr>
          <w:trHeight w:val="240"/>
        </w:trPr>
        <w:tc>
          <w:tcPr>
            <w:tcW w:w="6520" w:type="dxa"/>
            <w:vAlign w:val="bottom"/>
            <w:shd w:val="clear" w:color="auto" w:fill="CCEEFF"/>
          </w:tcPr>
          <w:p>
            <w:pPr>
              <w:ind w:left="20"/>
              <w:spacing w:after="0" w:line="220" w:lineRule="exact"/>
              <w:rPr>
                <w:sz w:val="20"/>
                <w:szCs w:val="20"/>
                <w:color w:val="auto"/>
              </w:rPr>
            </w:pPr>
            <w:r>
              <w:rPr>
                <w:rFonts w:ascii="Arial" w:cs="Arial" w:eastAsia="Arial" w:hAnsi="Arial"/>
                <w:sz w:val="20"/>
                <w:szCs w:val="20"/>
                <w:color w:val="auto"/>
              </w:rPr>
              <w:t>equity</w:t>
            </w:r>
          </w:p>
        </w:tc>
        <w:tc>
          <w:tcPr>
            <w:tcW w:w="340" w:type="dxa"/>
            <w:vAlign w:val="bottom"/>
            <w:vMerge w:val="continue"/>
            <w:shd w:val="clear" w:color="auto" w:fill="CCEEFF"/>
          </w:tcPr>
          <w:p>
            <w:pPr>
              <w:spacing w:after="0"/>
              <w:rPr>
                <w:sz w:val="20"/>
                <w:szCs w:val="20"/>
                <w:color w:val="auto"/>
              </w:rPr>
            </w:pPr>
          </w:p>
        </w:tc>
        <w:tc>
          <w:tcPr>
            <w:tcW w:w="198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2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 xml:space="preserve">Condensed Consolidated Statements of Operations </w:t>
      </w:r>
      <w:r>
        <w:rPr>
          <w:rFonts w:ascii="Arial" w:cs="Arial" w:eastAsia="Arial" w:hAnsi="Arial"/>
          <w:sz w:val="20"/>
          <w:szCs w:val="20"/>
          <w:b w:val="1"/>
          <w:bCs w:val="1"/>
          <w:i w:val="1"/>
          <w:iCs w:val="1"/>
          <w:color w:val="auto"/>
        </w:rPr>
        <w:t>(unaudited)</w:t>
      </w:r>
    </w:p>
    <w:p>
      <w:pPr>
        <w:jc w:val="center"/>
        <w:spacing w:after="0"/>
        <w:rPr>
          <w:sz w:val="20"/>
          <w:szCs w:val="20"/>
          <w:color w:val="auto"/>
        </w:rPr>
      </w:pPr>
      <w:r>
        <w:rPr>
          <w:rFonts w:ascii="Arial" w:cs="Arial" w:eastAsia="Arial" w:hAnsi="Arial"/>
          <w:sz w:val="20"/>
          <w:szCs w:val="20"/>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jc w:val="right"/>
              <w:ind w:right="601"/>
              <w:spacing w:after="0"/>
              <w:rPr>
                <w:sz w:val="20"/>
                <w:szCs w:val="20"/>
                <w:color w:val="auto"/>
              </w:rPr>
            </w:pPr>
            <w:r>
              <w:rPr>
                <w:rFonts w:ascii="Arial" w:cs="Arial" w:eastAsia="Arial" w:hAnsi="Arial"/>
                <w:sz w:val="20"/>
                <w:szCs w:val="20"/>
                <w:b w:val="1"/>
                <w:bCs w:val="1"/>
                <w:color w:val="auto"/>
              </w:rPr>
              <w:t>Three Months Ended</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20" w:type="dxa"/>
            <w:vAlign w:val="bottom"/>
            <w:gridSpan w:val="4"/>
          </w:tcPr>
          <w:p>
            <w:pPr>
              <w:jc w:val="right"/>
              <w:ind w:right="741"/>
              <w:spacing w:after="0"/>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57"/>
        </w:trPr>
        <w:tc>
          <w:tcPr>
            <w:tcW w:w="43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86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20"/>
                <w:szCs w:val="20"/>
                <w:b w:val="1"/>
                <w:bCs w:val="1"/>
                <w:color w:val="auto"/>
              </w:rPr>
              <w:t>June 30,</w:t>
            </w:r>
          </w:p>
        </w:tc>
        <w:tc>
          <w:tcPr>
            <w:tcW w:w="11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0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50"/>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507,725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884,498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720,451</w:t>
            </w:r>
          </w:p>
        </w:tc>
        <w:tc>
          <w:tcPr>
            <w:tcW w:w="0" w:type="dxa"/>
            <w:vAlign w:val="bottom"/>
          </w:tcPr>
          <w:p>
            <w:pPr>
              <w:spacing w:after="0"/>
              <w:rPr>
                <w:sz w:val="1"/>
                <w:szCs w:val="1"/>
                <w:color w:val="auto"/>
              </w:rPr>
            </w:pPr>
          </w:p>
        </w:tc>
      </w:tr>
      <w:tr>
        <w:trPr>
          <w:trHeight w:val="243"/>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357,683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379,919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633,277</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653,918</w:t>
            </w:r>
          </w:p>
        </w:tc>
        <w:tc>
          <w:tcPr>
            <w:tcW w:w="0" w:type="dxa"/>
            <w:vAlign w:val="bottom"/>
          </w:tcPr>
          <w:p>
            <w:pPr>
              <w:spacing w:after="0"/>
              <w:rPr>
                <w:sz w:val="1"/>
                <w:szCs w:val="1"/>
                <w:color w:val="auto"/>
              </w:rPr>
            </w:pPr>
          </w:p>
        </w:tc>
      </w:tr>
      <w:tr>
        <w:trPr>
          <w:trHeight w:val="236"/>
        </w:trPr>
        <w:tc>
          <w:tcPr>
            <w:tcW w:w="43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20"/>
                <w:szCs w:val="20"/>
                <w:color w:val="auto"/>
              </w:rPr>
              <w:t>Gross profit</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150,042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39,946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251,221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66,533</w:t>
            </w:r>
          </w:p>
        </w:tc>
        <w:tc>
          <w:tcPr>
            <w:tcW w:w="0" w:type="dxa"/>
            <w:vAlign w:val="bottom"/>
          </w:tcPr>
          <w:p>
            <w:pPr>
              <w:spacing w:after="0"/>
              <w:rPr>
                <w:sz w:val="1"/>
                <w:szCs w:val="1"/>
                <w:color w:val="auto"/>
              </w:rPr>
            </w:pPr>
          </w:p>
        </w:tc>
      </w:tr>
      <w:tr>
        <w:trPr>
          <w:trHeight w:val="263"/>
        </w:trPr>
        <w:tc>
          <w:tcPr>
            <w:tcW w:w="4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Operating expenses:</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20"/>
                <w:szCs w:val="20"/>
                <w:color w:val="auto"/>
              </w:rPr>
              <w:t>General and administrative</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40,250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28,936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78,392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74,361</w:t>
            </w: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Change in fair value of contingent consideration</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705</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(1,678)</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2,043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0" w:type="dxa"/>
            <w:vAlign w:val="bottom"/>
          </w:tcPr>
          <w:p>
            <w:pPr>
              <w:spacing w:after="0"/>
              <w:rPr>
                <w:sz w:val="1"/>
                <w:szCs w:val="1"/>
                <w:color w:val="auto"/>
              </w:rPr>
            </w:pPr>
          </w:p>
        </w:tc>
      </w:tr>
      <w:tr>
        <w:trPr>
          <w:trHeight w:val="254"/>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Depreciation and amortization</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12,846</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26,020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27,087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49,257</w:t>
            </w:r>
          </w:p>
        </w:tc>
        <w:tc>
          <w:tcPr>
            <w:tcW w:w="0" w:type="dxa"/>
            <w:vAlign w:val="bottom"/>
          </w:tcPr>
          <w:p>
            <w:pPr>
              <w:spacing w:after="0"/>
              <w:rPr>
                <w:sz w:val="1"/>
                <w:szCs w:val="1"/>
                <w:color w:val="auto"/>
              </w:rPr>
            </w:pPr>
          </w:p>
        </w:tc>
      </w:tr>
      <w:tr>
        <w:trPr>
          <w:trHeight w:val="239"/>
        </w:trPr>
        <w:tc>
          <w:tcPr>
            <w:tcW w:w="430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20"/>
                <w:szCs w:val="20"/>
                <w:color w:val="auto"/>
              </w:rPr>
              <w:t>Total operating expenses</w:t>
            </w: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53,801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53,278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107,522</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118,209</w:t>
            </w:r>
          </w:p>
        </w:tc>
        <w:tc>
          <w:tcPr>
            <w:tcW w:w="0" w:type="dxa"/>
            <w:vAlign w:val="bottom"/>
          </w:tcPr>
          <w:p>
            <w:pPr>
              <w:spacing w:after="0"/>
              <w:rPr>
                <w:sz w:val="1"/>
                <w:szCs w:val="1"/>
                <w:color w:val="auto"/>
              </w:rPr>
            </w:pPr>
          </w:p>
        </w:tc>
      </w:tr>
      <w:tr>
        <w:trPr>
          <w:trHeight w:val="263"/>
        </w:trPr>
        <w:tc>
          <w:tcPr>
            <w:tcW w:w="4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(loss) from operations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96,241</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(13,332)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143,699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(51,676)</w:t>
            </w:r>
          </w:p>
        </w:tc>
        <w:tc>
          <w:tcPr>
            <w:tcW w:w="0" w:type="dxa"/>
            <w:vAlign w:val="bottom"/>
          </w:tcPr>
          <w:p>
            <w:pPr>
              <w:spacing w:after="0"/>
              <w:rPr>
                <w:sz w:val="1"/>
                <w:szCs w:val="1"/>
                <w:color w:val="auto"/>
              </w:rPr>
            </w:pPr>
          </w:p>
        </w:tc>
      </w:tr>
      <w:tr>
        <w:trPr>
          <w:trHeight w:val="270"/>
        </w:trPr>
        <w:tc>
          <w:tcPr>
            <w:tcW w:w="4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Other income (expense):</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4300" w:type="dxa"/>
            <w:vAlign w:val="bottom"/>
          </w:tcPr>
          <w:p>
            <w:pPr>
              <w:ind w:left="20"/>
              <w:spacing w:after="0"/>
              <w:rPr>
                <w:sz w:val="20"/>
                <w:szCs w:val="20"/>
                <w:color w:val="auto"/>
              </w:rPr>
            </w:pPr>
            <w:r>
              <w:rPr>
                <w:rFonts w:ascii="Arial" w:cs="Arial" w:eastAsia="Arial" w:hAnsi="Arial"/>
                <w:sz w:val="20"/>
                <w:szCs w:val="20"/>
                <w:color w:val="auto"/>
              </w:rPr>
              <w:t>Other income (expense), net</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125</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319</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372</w:t>
            </w:r>
          </w:p>
        </w:tc>
        <w:tc>
          <w:tcPr>
            <w:tcW w:w="0" w:type="dxa"/>
            <w:vAlign w:val="bottom"/>
          </w:tcPr>
          <w:p>
            <w:pPr>
              <w:spacing w:after="0"/>
              <w:rPr>
                <w:sz w:val="1"/>
                <w:szCs w:val="1"/>
                <w:color w:val="auto"/>
              </w:rPr>
            </w:pPr>
          </w:p>
        </w:tc>
      </w:tr>
      <w:tr>
        <w:trPr>
          <w:trHeight w:val="246"/>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Foreign currency gain (loss)</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(1,736)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2,127</w:t>
            </w:r>
          </w:p>
        </w:tc>
        <w:tc>
          <w:tcPr>
            <w:tcW w:w="0" w:type="dxa"/>
            <w:vAlign w:val="bottom"/>
          </w:tcPr>
          <w:p>
            <w:pPr>
              <w:spacing w:after="0"/>
              <w:rPr>
                <w:sz w:val="1"/>
                <w:szCs w:val="1"/>
                <w:color w:val="auto"/>
              </w:rPr>
            </w:pPr>
          </w:p>
        </w:tc>
      </w:tr>
      <w:tr>
        <w:trPr>
          <w:trHeight w:val="254"/>
        </w:trPr>
        <w:tc>
          <w:tcPr>
            <w:tcW w:w="4300" w:type="dxa"/>
            <w:vAlign w:val="bottom"/>
          </w:tcPr>
          <w:p>
            <w:pPr>
              <w:ind w:left="20"/>
              <w:spacing w:after="0"/>
              <w:rPr>
                <w:sz w:val="20"/>
                <w:szCs w:val="20"/>
                <w:color w:val="auto"/>
              </w:rPr>
            </w:pPr>
            <w:r>
              <w:rPr>
                <w:rFonts w:ascii="Arial" w:cs="Arial" w:eastAsia="Arial" w:hAnsi="Arial"/>
                <w:sz w:val="20"/>
                <w:szCs w:val="20"/>
                <w:color w:val="auto"/>
              </w:rPr>
              <w:t>Change in fair value of derivative assets</w:t>
            </w: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694</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(1,256)</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9"/>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(10,109)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(8,021)</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(19,609)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(14,963)</w:t>
            </w:r>
          </w:p>
        </w:tc>
        <w:tc>
          <w:tcPr>
            <w:tcW w:w="0" w:type="dxa"/>
            <w:vAlign w:val="bottom"/>
          </w:tcPr>
          <w:p>
            <w:pPr>
              <w:spacing w:after="0"/>
              <w:rPr>
                <w:sz w:val="1"/>
                <w:szCs w:val="1"/>
                <w:color w:val="auto"/>
              </w:rPr>
            </w:pPr>
          </w:p>
        </w:tc>
      </w:tr>
      <w:tr>
        <w:trPr>
          <w:trHeight w:val="236"/>
        </w:trPr>
        <w:tc>
          <w:tcPr>
            <w:tcW w:w="4300" w:type="dxa"/>
            <w:vAlign w:val="bottom"/>
          </w:tcPr>
          <w:p>
            <w:pPr>
              <w:ind w:left="580"/>
              <w:spacing w:after="0"/>
              <w:rPr>
                <w:sz w:val="20"/>
                <w:szCs w:val="20"/>
                <w:color w:val="auto"/>
              </w:rPr>
            </w:pPr>
            <w:r>
              <w:rPr>
                <w:rFonts w:ascii="Arial" w:cs="Arial" w:eastAsia="Arial" w:hAnsi="Arial"/>
                <w:sz w:val="20"/>
                <w:szCs w:val="20"/>
                <w:color w:val="auto"/>
              </w:rPr>
              <w:t>Total other (expense)</w:t>
            </w: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(9,030)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(10,128)</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(20,480)</w:t>
            </w:r>
          </w:p>
        </w:tc>
        <w:tc>
          <w:tcPr>
            <w:tcW w:w="1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(12,464)</w:t>
            </w: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4300" w:type="dxa"/>
            <w:vAlign w:val="bottom"/>
          </w:tcPr>
          <w:p>
            <w:pPr>
              <w:ind w:left="20"/>
              <w:spacing w:after="0" w:line="189" w:lineRule="exact"/>
              <w:rPr>
                <w:sz w:val="20"/>
                <w:szCs w:val="20"/>
                <w:color w:val="auto"/>
              </w:rPr>
            </w:pPr>
            <w:r>
              <w:rPr>
                <w:rFonts w:ascii="Arial" w:cs="Arial" w:eastAsia="Arial" w:hAnsi="Arial"/>
                <w:sz w:val="20"/>
                <w:szCs w:val="20"/>
                <w:color w:val="auto"/>
              </w:rPr>
              <w:t>Income (loss) before income tax (benefit)</w:t>
            </w:r>
          </w:p>
        </w:tc>
        <w:tc>
          <w:tcPr>
            <w:tcW w:w="3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87,211</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(23,460)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20"/>
                <w:szCs w:val="20"/>
                <w:color w:val="auto"/>
              </w:rPr>
              <w:t>123,219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(64,140)</w:t>
            </w:r>
          </w:p>
        </w:tc>
        <w:tc>
          <w:tcPr>
            <w:tcW w:w="0" w:type="dxa"/>
            <w:vAlign w:val="bottom"/>
          </w:tcPr>
          <w:p>
            <w:pPr>
              <w:spacing w:after="0"/>
              <w:rPr>
                <w:sz w:val="1"/>
                <w:szCs w:val="1"/>
                <w:color w:val="auto"/>
              </w:rPr>
            </w:pPr>
          </w:p>
        </w:tc>
      </w:tr>
      <w:tr>
        <w:trPr>
          <w:trHeight w:val="254"/>
        </w:trPr>
        <w:tc>
          <w:tcPr>
            <w:tcW w:w="4300" w:type="dxa"/>
            <w:vAlign w:val="bottom"/>
          </w:tcPr>
          <w:p>
            <w:pPr>
              <w:ind w:left="20"/>
              <w:spacing w:after="0"/>
              <w:rPr>
                <w:sz w:val="20"/>
                <w:szCs w:val="20"/>
                <w:color w:val="auto"/>
              </w:rPr>
            </w:pPr>
            <w:r>
              <w:rPr>
                <w:rFonts w:ascii="Arial" w:cs="Arial" w:eastAsia="Arial" w:hAnsi="Arial"/>
                <w:sz w:val="20"/>
                <w:szCs w:val="20"/>
                <w:color w:val="auto"/>
              </w:rPr>
              <w:t>expense</w:t>
            </w:r>
          </w:p>
        </w:tc>
        <w:tc>
          <w:tcPr>
            <w:tcW w:w="38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Income tax (benefit) expense</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22,403</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(18,436)</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32,279</w:t>
            </w:r>
          </w:p>
        </w:tc>
        <w:tc>
          <w:tcPr>
            <w:tcW w:w="10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(33,179)</w:t>
            </w:r>
          </w:p>
        </w:tc>
        <w:tc>
          <w:tcPr>
            <w:tcW w:w="0" w:type="dxa"/>
            <w:vAlign w:val="bottom"/>
          </w:tcPr>
          <w:p>
            <w:pPr>
              <w:spacing w:after="0"/>
              <w:rPr>
                <w:sz w:val="1"/>
                <w:szCs w:val="1"/>
                <w:color w:val="auto"/>
              </w:rPr>
            </w:pPr>
          </w:p>
        </w:tc>
      </w:tr>
      <w:tr>
        <w:trPr>
          <w:trHeight w:val="237"/>
        </w:trPr>
        <w:tc>
          <w:tcPr>
            <w:tcW w:w="4300" w:type="dxa"/>
            <w:vAlign w:val="bottom"/>
          </w:tcPr>
          <w:p>
            <w:pPr>
              <w:ind w:left="20"/>
              <w:spacing w:after="0"/>
              <w:rPr>
                <w:sz w:val="20"/>
                <w:szCs w:val="20"/>
                <w:color w:val="auto"/>
              </w:rPr>
            </w:pPr>
            <w:r>
              <w:rPr>
                <w:rFonts w:ascii="Arial" w:cs="Arial" w:eastAsia="Arial" w:hAnsi="Arial"/>
                <w:sz w:val="20"/>
                <w:szCs w:val="20"/>
                <w:color w:val="auto"/>
              </w:rPr>
              <w:t>Net income (loss)</w:t>
            </w: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64,808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(5,024)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90,940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20"/>
                <w:szCs w:val="20"/>
                <w:color w:val="auto"/>
              </w:rPr>
              <w:t>(30,961)</w:t>
            </w:r>
          </w:p>
        </w:tc>
        <w:tc>
          <w:tcPr>
            <w:tcW w:w="0" w:type="dxa"/>
            <w:vAlign w:val="bottom"/>
          </w:tcPr>
          <w:p>
            <w:pPr>
              <w:spacing w:after="0"/>
              <w:rPr>
                <w:sz w:val="1"/>
                <w:szCs w:val="1"/>
                <w:color w:val="auto"/>
              </w:rPr>
            </w:pPr>
          </w:p>
        </w:tc>
      </w:tr>
      <w:tr>
        <w:trPr>
          <w:trHeight w:val="256"/>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Preferred dividends and accretion</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12,784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12,182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25,268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23,788</w:t>
            </w:r>
          </w:p>
        </w:tc>
        <w:tc>
          <w:tcPr>
            <w:tcW w:w="0" w:type="dxa"/>
            <w:vAlign w:val="bottom"/>
          </w:tcPr>
          <w:p>
            <w:pPr>
              <w:spacing w:after="0"/>
              <w:rPr>
                <w:sz w:val="1"/>
                <w:szCs w:val="1"/>
                <w:color w:val="auto"/>
              </w:rPr>
            </w:pPr>
          </w:p>
        </w:tc>
      </w:tr>
      <w:tr>
        <w:trPr>
          <w:trHeight w:val="250"/>
        </w:trPr>
        <w:tc>
          <w:tcPr>
            <w:tcW w:w="4300" w:type="dxa"/>
            <w:vAlign w:val="bottom"/>
          </w:tcPr>
          <w:p>
            <w:pPr>
              <w:ind w:left="20"/>
              <w:spacing w:after="0"/>
              <w:rPr>
                <w:sz w:val="20"/>
                <w:szCs w:val="20"/>
                <w:color w:val="auto"/>
              </w:rPr>
            </w:pPr>
            <w:r>
              <w:rPr>
                <w:rFonts w:ascii="Arial" w:cs="Arial" w:eastAsia="Arial" w:hAnsi="Arial"/>
                <w:sz w:val="20"/>
                <w:szCs w:val="20"/>
                <w:color w:val="auto"/>
              </w:rPr>
              <w:t>Net income (loss) to common shareholders</w:t>
            </w:r>
          </w:p>
        </w:tc>
        <w:tc>
          <w:tcPr>
            <w:tcW w:w="380" w:type="dxa"/>
            <w:vAlign w:val="bottom"/>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52,024</w:t>
            </w:r>
          </w:p>
        </w:tc>
        <w:tc>
          <w:tcPr>
            <w:tcW w:w="580" w:type="dxa"/>
            <w:vAlign w:val="bottom"/>
            <w:gridSpan w:val="2"/>
          </w:tcPr>
          <w:p>
            <w:pPr>
              <w:jc w:val="right"/>
              <w:ind w:right="2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(17,206)</w:t>
            </w:r>
          </w:p>
        </w:tc>
        <w:tc>
          <w:tcPr>
            <w:tcW w:w="480" w:type="dxa"/>
            <w:vAlign w:val="bottom"/>
            <w:gridSpan w:val="2"/>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Pr>
          <w:p>
            <w:pPr>
              <w:jc w:val="right"/>
              <w:spacing w:after="0"/>
              <w:rPr>
                <w:sz w:val="20"/>
                <w:szCs w:val="20"/>
                <w:color w:val="auto"/>
              </w:rPr>
            </w:pPr>
            <w:r>
              <w:rPr>
                <w:rFonts w:ascii="Arial" w:cs="Arial" w:eastAsia="Arial" w:hAnsi="Arial"/>
                <w:sz w:val="20"/>
                <w:szCs w:val="20"/>
                <w:color w:val="auto"/>
              </w:rPr>
              <w:t>65,672</w:t>
            </w:r>
          </w:p>
        </w:tc>
        <w:tc>
          <w:tcPr>
            <w:tcW w:w="580" w:type="dxa"/>
            <w:vAlign w:val="bottom"/>
            <w:gridSpan w:val="2"/>
          </w:tcPr>
          <w:p>
            <w:pPr>
              <w:jc w:val="right"/>
              <w:ind w:right="261"/>
              <w:spacing w:after="0"/>
              <w:rPr>
                <w:sz w:val="20"/>
                <w:szCs w:val="20"/>
                <w:color w:val="auto"/>
              </w:rPr>
            </w:pPr>
            <w:r>
              <w:rPr>
                <w:rFonts w:ascii="Arial" w:cs="Arial" w:eastAsia="Arial" w:hAnsi="Arial"/>
                <w:sz w:val="20"/>
                <w:szCs w:val="20"/>
                <w:color w:val="auto"/>
              </w:rPr>
              <w:t>$</w:t>
            </w:r>
          </w:p>
        </w:tc>
        <w:tc>
          <w:tcPr>
            <w:tcW w:w="1160" w:type="dxa"/>
            <w:vAlign w:val="bottom"/>
          </w:tcPr>
          <w:p>
            <w:pPr>
              <w:jc w:val="right"/>
              <w:spacing w:after="0"/>
              <w:rPr>
                <w:sz w:val="20"/>
                <w:szCs w:val="20"/>
                <w:color w:val="auto"/>
              </w:rPr>
            </w:pPr>
            <w:r>
              <w:rPr>
                <w:rFonts w:ascii="Arial" w:cs="Arial" w:eastAsia="Arial" w:hAnsi="Arial"/>
                <w:sz w:val="20"/>
                <w:szCs w:val="20"/>
                <w:color w:val="auto"/>
              </w:rPr>
              <w:t>(54,749)</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3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20"/>
              <w:spacing w:after="0"/>
              <w:rPr>
                <w:sz w:val="20"/>
                <w:szCs w:val="20"/>
                <w:color w:val="auto"/>
              </w:rPr>
            </w:pPr>
            <w:r>
              <w:rPr>
                <w:rFonts w:ascii="Arial" w:cs="Arial" w:eastAsia="Arial" w:hAnsi="Arial"/>
                <w:sz w:val="20"/>
                <w:szCs w:val="20"/>
                <w:color w:val="auto"/>
              </w:rPr>
              <w:t>Income (loss) per common share</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(0.11)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0.44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20"/>
                <w:szCs w:val="20"/>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tcPr>
          <w:p>
            <w:pPr>
              <w:ind w:left="260"/>
              <w:spacing w:after="0"/>
              <w:rPr>
                <w:sz w:val="20"/>
                <w:szCs w:val="20"/>
                <w:color w:val="auto"/>
              </w:rPr>
            </w:pPr>
            <w:r>
              <w:rPr>
                <w:rFonts w:ascii="Arial" w:cs="Arial" w:eastAsia="Arial" w:hAnsi="Arial"/>
                <w:sz w:val="20"/>
                <w:szCs w:val="20"/>
                <w:color w:val="auto"/>
              </w:rPr>
              <w:t>Diluted</w:t>
            </w:r>
          </w:p>
        </w:tc>
        <w:tc>
          <w:tcPr>
            <w:tcW w:w="38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0.34</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(0.11)</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41"/>
              <w:spacing w:after="0"/>
              <w:rPr>
                <w:sz w:val="20"/>
                <w:szCs w:val="20"/>
                <w:color w:val="auto"/>
              </w:rPr>
            </w:pPr>
            <w:r>
              <w:rPr>
                <w:rFonts w:ascii="Arial" w:cs="Arial" w:eastAsia="Arial" w:hAnsi="Arial"/>
                <w:sz w:val="20"/>
                <w:szCs w:val="20"/>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0.43</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20"/>
                <w:szCs w:val="20"/>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Weighted average number of common shares</w:t>
            </w: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56"/>
        </w:trPr>
        <w:tc>
          <w:tcPr>
            <w:tcW w:w="4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w:t>
            </w: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00" w:type="dxa"/>
            <w:vAlign w:val="bottom"/>
          </w:tcPr>
          <w:p>
            <w:pPr>
              <w:ind w:left="260"/>
              <w:spacing w:after="0"/>
              <w:rPr>
                <w:sz w:val="20"/>
                <w:szCs w:val="20"/>
                <w:color w:val="auto"/>
              </w:rPr>
            </w:pPr>
            <w:r>
              <w:rPr>
                <w:rFonts w:ascii="Arial" w:cs="Arial" w:eastAsia="Arial" w:hAnsi="Arial"/>
                <w:sz w:val="20"/>
                <w:szCs w:val="20"/>
                <w:color w:val="auto"/>
              </w:rPr>
              <w:t>Basic</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150,919</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150,203</w:t>
            </w:r>
          </w:p>
        </w:tc>
        <w:tc>
          <w:tcPr>
            <w:tcW w:w="1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150,763</w:t>
            </w:r>
          </w:p>
        </w:tc>
        <w:tc>
          <w:tcPr>
            <w:tcW w:w="1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149,246</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3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20"/>
                <w:szCs w:val="20"/>
                <w:color w:val="auto"/>
              </w:rPr>
              <w:t>Diluted</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152,129</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151,970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149,246</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sectPr>
      </w:pPr>
    </w:p>
    <w:bookmarkStart w:id="6" w:name="page7"/>
    <w:bookmarkEnd w:id="6"/>
    <w:p>
      <w:pPr>
        <w:ind w:left="4472"/>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1712"/>
        <w:spacing w:after="0"/>
        <w:rPr>
          <w:sz w:val="20"/>
          <w:szCs w:val="20"/>
          <w:color w:val="auto"/>
        </w:rPr>
      </w:pPr>
      <w:r>
        <w:rPr>
          <w:rFonts w:ascii="Arial" w:cs="Arial" w:eastAsia="Arial" w:hAnsi="Arial"/>
          <w:sz w:val="20"/>
          <w:szCs w:val="20"/>
          <w:b w:val="1"/>
          <w:bCs w:val="1"/>
          <w:color w:val="auto"/>
        </w:rPr>
        <w:t xml:space="preserve">Condensed Consolidated Statements of Comprehensive Income (Loss) </w:t>
      </w:r>
      <w:r>
        <w:rPr>
          <w:rFonts w:ascii="Arial" w:cs="Arial" w:eastAsia="Arial" w:hAnsi="Arial"/>
          <w:sz w:val="20"/>
          <w:szCs w:val="20"/>
          <w:b w:val="1"/>
          <w:bCs w:val="1"/>
          <w:i w:val="1"/>
          <w:iCs w:val="1"/>
          <w:color w:val="auto"/>
        </w:rPr>
        <w:t>(unaudited)</w:t>
      </w:r>
    </w:p>
    <w:p>
      <w:pPr>
        <w:jc w:val="center"/>
        <w:ind w:right="-11"/>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2"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20" w:type="dxa"/>
            <w:vAlign w:val="bottom"/>
            <w:gridSpan w:val="4"/>
            <w:vMerge w:val="restart"/>
          </w:tcPr>
          <w:p>
            <w:pPr>
              <w:jc w:val="right"/>
              <w:ind w:right="221"/>
              <w:spacing w:after="0"/>
              <w:rPr>
                <w:sz w:val="20"/>
                <w:szCs w:val="20"/>
                <w:color w:val="auto"/>
              </w:rPr>
            </w:pPr>
            <w:r>
              <w:rPr>
                <w:rFonts w:ascii="Arial" w:cs="Arial" w:eastAsia="Arial" w:hAnsi="Arial"/>
                <w:sz w:val="20"/>
                <w:szCs w:val="20"/>
                <w:b w:val="1"/>
                <w:bCs w:val="1"/>
                <w:color w:val="auto"/>
              </w:rPr>
              <w:t>Three Months Ended June 30,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20" w:type="dxa"/>
            <w:vAlign w:val="bottom"/>
            <w:gridSpan w:val="4"/>
          </w:tcPr>
          <w:p>
            <w:pPr>
              <w:jc w:val="center"/>
              <w:ind w:right="241"/>
              <w:spacing w:after="0"/>
              <w:rPr>
                <w:sz w:val="20"/>
                <w:szCs w:val="20"/>
                <w:color w:val="auto"/>
              </w:rPr>
            </w:pPr>
            <w:r>
              <w:rPr>
                <w:rFonts w:ascii="Arial" w:cs="Arial" w:eastAsia="Arial" w:hAnsi="Arial"/>
                <w:sz w:val="20"/>
                <w:szCs w:val="20"/>
                <w:b w:val="1"/>
                <w:bCs w:val="1"/>
                <w:color w:val="auto"/>
                <w:w w:val="99"/>
              </w:rPr>
              <w:t>Six Months Ended</w:t>
            </w:r>
          </w:p>
        </w:tc>
        <w:tc>
          <w:tcPr>
            <w:tcW w:w="0" w:type="dxa"/>
            <w:vAlign w:val="bottom"/>
          </w:tcPr>
          <w:p>
            <w:pPr>
              <w:spacing w:after="0"/>
              <w:rPr>
                <w:sz w:val="1"/>
                <w:szCs w:val="1"/>
                <w:color w:val="auto"/>
              </w:rPr>
            </w:pPr>
          </w:p>
        </w:tc>
      </w:tr>
      <w:tr>
        <w:trPr>
          <w:trHeight w:val="257"/>
        </w:trPr>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gridSpan w:val="4"/>
            <w:vMerge w:val="continue"/>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gridSpan w:val="3"/>
          </w:tcPr>
          <w:p>
            <w:pPr>
              <w:jc w:val="center"/>
              <w:ind w:left="741"/>
              <w:spacing w:after="0"/>
              <w:rPr>
                <w:sz w:val="20"/>
                <w:szCs w:val="20"/>
                <w:color w:val="auto"/>
              </w:rPr>
            </w:pPr>
            <w:r>
              <w:rPr>
                <w:rFonts w:ascii="Arial" w:cs="Arial" w:eastAsia="Arial" w:hAnsi="Arial"/>
                <w:sz w:val="20"/>
                <w:szCs w:val="20"/>
                <w:b w:val="1"/>
                <w:bCs w:val="1"/>
                <w:color w:val="auto"/>
                <w:w w:val="99"/>
              </w:rPr>
              <w:t>June 30,</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521"/>
              <w:spacing w:after="0"/>
              <w:rPr>
                <w:sz w:val="20"/>
                <w:szCs w:val="20"/>
                <w:color w:val="auto"/>
              </w:rPr>
            </w:pPr>
            <w:r>
              <w:rPr>
                <w:rFonts w:ascii="Arial" w:cs="Arial" w:eastAsia="Arial" w:hAnsi="Arial"/>
                <w:sz w:val="20"/>
                <w:szCs w:val="20"/>
                <w:b w:val="1"/>
                <w:bCs w:val="1"/>
                <w:color w:val="auto"/>
              </w:rPr>
              <w:t>2022</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4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50"/>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64,808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41"/>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(5,024)</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90,940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ind w:right="30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w w:val="99"/>
              </w:rPr>
              <w:t>(30,961)</w:t>
            </w:r>
          </w:p>
        </w:tc>
        <w:tc>
          <w:tcPr>
            <w:tcW w:w="0" w:type="dxa"/>
            <w:vAlign w:val="bottom"/>
          </w:tcPr>
          <w:p>
            <w:pPr>
              <w:spacing w:after="0"/>
              <w:rPr>
                <w:sz w:val="1"/>
                <w:szCs w:val="1"/>
                <w:color w:val="auto"/>
              </w:rPr>
            </w:pPr>
          </w:p>
        </w:tc>
      </w:tr>
      <w:tr>
        <w:trPr>
          <w:trHeight w:val="189"/>
        </w:trPr>
        <w:tc>
          <w:tcPr>
            <w:tcW w:w="4320" w:type="dxa"/>
            <w:vAlign w:val="bottom"/>
          </w:tcPr>
          <w:p>
            <w:pPr>
              <w:ind w:left="260"/>
              <w:spacing w:after="0" w:line="189" w:lineRule="exact"/>
              <w:rPr>
                <w:sz w:val="20"/>
                <w:szCs w:val="20"/>
                <w:color w:val="auto"/>
              </w:rPr>
            </w:pPr>
            <w:r>
              <w:rPr>
                <w:rFonts w:ascii="Arial" w:cs="Arial" w:eastAsia="Arial" w:hAnsi="Arial"/>
                <w:sz w:val="20"/>
                <w:szCs w:val="20"/>
                <w:color w:val="auto"/>
              </w:rPr>
              <w:t>Change in foreign currency translation</w:t>
            </w:r>
          </w:p>
        </w:tc>
        <w:tc>
          <w:tcPr>
            <w:tcW w:w="220" w:type="dxa"/>
            <w:vAlign w:val="bottom"/>
          </w:tcPr>
          <w:p>
            <w:pPr>
              <w:spacing w:after="0"/>
              <w:rPr>
                <w:sz w:val="16"/>
                <w:szCs w:val="16"/>
                <w:color w:val="auto"/>
              </w:rPr>
            </w:pPr>
          </w:p>
        </w:tc>
        <w:tc>
          <w:tcPr>
            <w:tcW w:w="1460" w:type="dxa"/>
            <w:vAlign w:val="bottom"/>
            <w:vMerge w:val="restart"/>
          </w:tcPr>
          <w:p>
            <w:pPr>
              <w:jc w:val="right"/>
              <w:ind w:right="1"/>
              <w:spacing w:after="0"/>
              <w:rPr>
                <w:sz w:val="20"/>
                <w:szCs w:val="20"/>
                <w:color w:val="auto"/>
              </w:rPr>
            </w:pPr>
            <w:r>
              <w:rPr>
                <w:rFonts w:ascii="Arial" w:cs="Arial" w:eastAsia="Arial" w:hAnsi="Arial"/>
                <w:sz w:val="20"/>
                <w:szCs w:val="20"/>
                <w:color w:val="auto"/>
              </w:rPr>
              <w:t>23,912</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Arial" w:cs="Arial" w:eastAsia="Arial" w:hAnsi="Arial"/>
                <w:sz w:val="20"/>
                <w:szCs w:val="20"/>
                <w:color w:val="auto"/>
              </w:rPr>
              <w:t>(45,208)</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20"/>
                <w:szCs w:val="20"/>
                <w:color w:val="auto"/>
              </w:rPr>
              <w:t>37,784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vMerge w:val="restart"/>
          </w:tcPr>
          <w:p>
            <w:pPr>
              <w:jc w:val="center"/>
              <w:ind w:left="341"/>
              <w:spacing w:after="0"/>
              <w:rPr>
                <w:sz w:val="20"/>
                <w:szCs w:val="20"/>
                <w:color w:val="auto"/>
              </w:rPr>
            </w:pPr>
            <w:r>
              <w:rPr>
                <w:rFonts w:ascii="Arial" w:cs="Arial" w:eastAsia="Arial" w:hAnsi="Arial"/>
                <w:sz w:val="20"/>
                <w:szCs w:val="20"/>
                <w:color w:val="auto"/>
                <w:w w:val="94"/>
              </w:rPr>
              <w:t>11,467</w:t>
            </w:r>
          </w:p>
        </w:tc>
        <w:tc>
          <w:tcPr>
            <w:tcW w:w="0" w:type="dxa"/>
            <w:vAlign w:val="bottom"/>
          </w:tcPr>
          <w:p>
            <w:pPr>
              <w:spacing w:after="0"/>
              <w:rPr>
                <w:sz w:val="1"/>
                <w:szCs w:val="1"/>
                <w:color w:val="auto"/>
              </w:rPr>
            </w:pPr>
          </w:p>
        </w:tc>
      </w:tr>
      <w:tr>
        <w:trPr>
          <w:trHeight w:val="243"/>
        </w:trPr>
        <w:tc>
          <w:tcPr>
            <w:tcW w:w="4320" w:type="dxa"/>
            <w:vAlign w:val="bottom"/>
          </w:tcPr>
          <w:p>
            <w:pPr>
              <w:ind w:left="260"/>
              <w:spacing w:after="0" w:line="242" w:lineRule="exact"/>
              <w:rPr>
                <w:sz w:val="20"/>
                <w:szCs w:val="20"/>
                <w:color w:val="auto"/>
              </w:rPr>
            </w:pPr>
            <w:r>
              <w:rPr>
                <w:rFonts w:ascii="Arial" w:cs="Arial" w:eastAsia="Arial" w:hAnsi="Arial"/>
                <w:sz w:val="20"/>
                <w:szCs w:val="20"/>
                <w:color w:val="auto"/>
              </w:rPr>
              <w:t>adjustments</w:t>
            </w:r>
            <w:r>
              <w:rPr>
                <w:rFonts w:ascii="Arial" w:cs="Arial" w:eastAsia="Arial" w:hAnsi="Arial"/>
                <w:sz w:val="25"/>
                <w:szCs w:val="25"/>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3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Comprehensive income (loss)</w:t>
            </w:r>
          </w:p>
        </w:tc>
        <w:tc>
          <w:tcPr>
            <w:tcW w:w="2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4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88,720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(50,232)</w:t>
            </w:r>
          </w:p>
        </w:tc>
        <w:tc>
          <w:tcPr>
            <w:tcW w:w="420" w:type="dxa"/>
            <w:vAlign w:val="bottom"/>
            <w:gridSpan w:val="2"/>
            <w:shd w:val="clear" w:color="auto" w:fill="CCEEFF"/>
          </w:tcPr>
          <w:p>
            <w:pPr>
              <w:jc w:val="right"/>
              <w:ind w:right="101"/>
              <w:spacing w:after="0"/>
              <w:rPr>
                <w:sz w:val="20"/>
                <w:szCs w:val="20"/>
                <w:color w:val="auto"/>
              </w:rPr>
            </w:pPr>
            <w:r>
              <w:rPr>
                <w:rFonts w:ascii="Arial" w:cs="Arial" w:eastAsia="Arial" w:hAnsi="Arial"/>
                <w:sz w:val="20"/>
                <w:szCs w:val="20"/>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128,724</w:t>
            </w:r>
          </w:p>
        </w:tc>
        <w:tc>
          <w:tcPr>
            <w:tcW w:w="640" w:type="dxa"/>
            <w:vAlign w:val="bottom"/>
            <w:gridSpan w:val="2"/>
            <w:shd w:val="clear" w:color="auto" w:fill="CCEEFF"/>
          </w:tcPr>
          <w:p>
            <w:pPr>
              <w:jc w:val="center"/>
              <w:ind w:right="201"/>
              <w:spacing w:after="0"/>
              <w:rPr>
                <w:sz w:val="20"/>
                <w:szCs w:val="20"/>
                <w:color w:val="auto"/>
              </w:rPr>
            </w:pPr>
            <w:r>
              <w:rPr>
                <w:rFonts w:ascii="Arial" w:cs="Arial" w:eastAsia="Arial" w:hAnsi="Arial"/>
                <w:sz w:val="20"/>
                <w:szCs w:val="20"/>
                <w:color w:val="auto"/>
                <w:w w:val="89"/>
              </w:rPr>
              <w:t>$</w:t>
            </w:r>
          </w:p>
        </w:tc>
        <w:tc>
          <w:tcPr>
            <w:tcW w:w="1180" w:type="dxa"/>
            <w:vAlign w:val="bottom"/>
            <w:shd w:val="clear" w:color="auto" w:fill="CCEEFF"/>
          </w:tcPr>
          <w:p>
            <w:pPr>
              <w:jc w:val="center"/>
              <w:ind w:left="301"/>
              <w:spacing w:after="0"/>
              <w:rPr>
                <w:sz w:val="20"/>
                <w:szCs w:val="20"/>
                <w:color w:val="auto"/>
              </w:rPr>
            </w:pPr>
            <w:r>
              <w:rPr>
                <w:rFonts w:ascii="Arial" w:cs="Arial" w:eastAsia="Arial" w:hAnsi="Arial"/>
                <w:sz w:val="20"/>
                <w:szCs w:val="20"/>
                <w:color w:val="auto"/>
                <w:w w:val="99"/>
              </w:rPr>
              <w:t>(19,494)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left="192" w:hanging="192"/>
        <w:spacing w:after="0"/>
        <w:tabs>
          <w:tab w:leader="none" w:pos="192" w:val="left"/>
        </w:tabs>
        <w:numPr>
          <w:ilvl w:val="0"/>
          <w:numId w:val="4"/>
        </w:numPr>
        <w:rPr>
          <w:rFonts w:ascii="Arial" w:cs="Arial" w:eastAsia="Arial" w:hAnsi="Arial"/>
          <w:sz w:val="22"/>
          <w:szCs w:val="22"/>
          <w:color w:val="auto"/>
          <w:vertAlign w:val="superscript"/>
        </w:rPr>
      </w:pPr>
      <w:r>
        <w:rPr>
          <w:rFonts w:ascii="Arial" w:cs="Arial" w:eastAsia="Arial" w:hAnsi="Arial"/>
          <w:sz w:val="14"/>
          <w:szCs w:val="14"/>
          <w:color w:val="auto"/>
        </w:rPr>
        <w:t>The tax effect on other comprehensive income is not material.</w:t>
      </w:r>
    </w:p>
    <w:p>
      <w:pPr>
        <w:spacing w:after="0" w:line="200" w:lineRule="exact"/>
        <w:rPr>
          <w:sz w:val="20"/>
          <w:szCs w:val="20"/>
          <w:color w:val="auto"/>
        </w:rPr>
      </w:pPr>
    </w:p>
    <w:p>
      <w:pPr>
        <w:spacing w:after="0" w:line="27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598" w:right="359" w:bottom="1440" w:gutter="0" w:footer="0" w:header="0"/>
        </w:sectPr>
      </w:pPr>
    </w:p>
    <w:bookmarkStart w:id="7" w:name="page8"/>
    <w:bookmarkEnd w:id="7"/>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ind w:right="-19"/>
        <w:spacing w:after="0"/>
        <w:rPr>
          <w:sz w:val="20"/>
          <w:szCs w:val="20"/>
          <w:color w:val="auto"/>
        </w:rPr>
      </w:pPr>
      <w:r>
        <w:rPr>
          <w:rFonts w:ascii="Arial" w:cs="Arial" w:eastAsia="Arial" w:hAnsi="Arial"/>
          <w:sz w:val="20"/>
          <w:szCs w:val="20"/>
          <w:b w:val="1"/>
          <w:bCs w:val="1"/>
          <w:i w:val="1"/>
          <w:iCs w:val="1"/>
          <w:color w:val="auto"/>
        </w:rPr>
        <w:t>(unaudited)</w:t>
      </w:r>
    </w:p>
    <w:p>
      <w:pPr>
        <w:jc w:val="center"/>
        <w:ind w:right="-19"/>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Three Months Ended June 30, 2023</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360" w:type="dxa"/>
            <w:vAlign w:val="bottom"/>
          </w:tcPr>
          <w:p>
            <w:pPr>
              <w:spacing w:after="0"/>
              <w:rPr>
                <w:sz w:val="19"/>
                <w:szCs w:val="19"/>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w w:val="97"/>
              </w:rPr>
              <w:t>Permanent Equity</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56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560" w:type="dxa"/>
            <w:vAlign w:val="bottom"/>
            <w:gridSpan w:val="3"/>
          </w:tcPr>
          <w:p>
            <w:pPr>
              <w:jc w:val="center"/>
              <w:spacing w:after="0" w:line="180" w:lineRule="exact"/>
              <w:rPr>
                <w:sz w:val="20"/>
                <w:szCs w:val="20"/>
                <w:color w:val="auto"/>
              </w:rPr>
            </w:pPr>
            <w:r>
              <w:rPr>
                <w:rFonts w:ascii="Arial" w:cs="Arial" w:eastAsia="Arial" w:hAnsi="Arial"/>
                <w:sz w:val="18"/>
                <w:szCs w:val="18"/>
                <w:b w:val="1"/>
                <w:bCs w:val="1"/>
                <w:color w:val="auto"/>
                <w:w w:val="99"/>
              </w:rPr>
              <w:t>Redeemable</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1560" w:type="dxa"/>
            <w:vAlign w:val="bottom"/>
            <w:gridSpan w:val="3"/>
          </w:tcPr>
          <w:p>
            <w:pPr>
              <w:jc w:val="center"/>
              <w:spacing w:after="0" w:line="185" w:lineRule="exact"/>
              <w:rPr>
                <w:sz w:val="20"/>
                <w:szCs w:val="20"/>
                <w:color w:val="auto"/>
              </w:rPr>
            </w:pPr>
            <w:r>
              <w:rPr>
                <w:rFonts w:ascii="Arial" w:cs="Arial" w:eastAsia="Arial" w:hAnsi="Arial"/>
                <w:sz w:val="18"/>
                <w:szCs w:val="18"/>
                <w:b w:val="1"/>
                <w:bCs w:val="1"/>
                <w:color w:val="auto"/>
                <w:w w:val="99"/>
              </w:rPr>
              <w:t>Perpetual</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4"/>
            <w:vMerge w:val="restart"/>
          </w:tcPr>
          <w:p>
            <w:pPr>
              <w:ind w:left="80"/>
              <w:spacing w:after="0"/>
              <w:rPr>
                <w:sz w:val="20"/>
                <w:szCs w:val="20"/>
                <w:color w:val="auto"/>
              </w:rPr>
            </w:pPr>
            <w:r>
              <w:rPr>
                <w:rFonts w:ascii="Arial" w:cs="Arial" w:eastAsia="Arial" w:hAnsi="Arial"/>
                <w:sz w:val="18"/>
                <w:szCs w:val="18"/>
                <w:b w:val="1"/>
                <w:bCs w:val="1"/>
                <w:color w:val="auto"/>
              </w:rPr>
              <w:t>Preferred Stock</w:t>
            </w:r>
          </w:p>
        </w:tc>
        <w:tc>
          <w:tcPr>
            <w:tcW w:w="80" w:type="dxa"/>
            <w:vAlign w:val="bottom"/>
          </w:tcPr>
          <w:p>
            <w:pPr>
              <w:spacing w:after="0"/>
              <w:rPr>
                <w:sz w:val="16"/>
                <w:szCs w:val="16"/>
                <w:color w:val="auto"/>
              </w:rPr>
            </w:pPr>
          </w:p>
        </w:tc>
        <w:tc>
          <w:tcPr>
            <w:tcW w:w="1560" w:type="dxa"/>
            <w:vAlign w:val="bottom"/>
            <w:gridSpan w:val="4"/>
            <w:vMerge w:val="restart"/>
          </w:tcPr>
          <w:p>
            <w:pPr>
              <w:jc w:val="right"/>
              <w:ind w:right="3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80" w:type="dxa"/>
            <w:vAlign w:val="bottom"/>
            <w:tcBorders>
              <w:bottom w:val="single" w:sz="8" w:color="auto"/>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bottom w:val="single" w:sz="8" w:color="auto"/>
            </w:tcBorders>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0"/>
              <w:spacing w:after="0" w:line="180" w:lineRule="exact"/>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Amount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6"/>
                <w:szCs w:val="16"/>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90"/>
              <w:spacing w:after="0" w:line="185"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gridSpan w:val="2"/>
          </w:tcPr>
          <w:p>
            <w:pPr>
              <w:jc w:val="center"/>
              <w:spacing w:after="0" w:line="185"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6"/>
                <w:szCs w:val="16"/>
                <w:color w:val="auto"/>
              </w:rPr>
            </w:pPr>
          </w:p>
        </w:tc>
        <w:tc>
          <w:tcPr>
            <w:tcW w:w="1200" w:type="dxa"/>
            <w:vAlign w:val="bottom"/>
            <w:gridSpan w:val="2"/>
          </w:tcPr>
          <w:p>
            <w:pPr>
              <w:spacing w:after="0" w:line="185"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at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$312,054</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150,823</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2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426,221</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(241,338)</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22,297</w:t>
            </w: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207,330</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64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4,945</w:t>
            </w: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cumulative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9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12,784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64,808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64,808</w:t>
            </w:r>
          </w:p>
        </w:tc>
        <w:tc>
          <w:tcPr>
            <w:tcW w:w="0" w:type="dxa"/>
            <w:vAlign w:val="bottom"/>
          </w:tcPr>
          <w:p>
            <w:pPr>
              <w:spacing w:after="0"/>
              <w:rPr>
                <w:sz w:val="1"/>
                <w:szCs w:val="1"/>
                <w:color w:val="auto"/>
              </w:rPr>
            </w:pPr>
          </w:p>
        </w:tc>
      </w:tr>
      <w:tr>
        <w:trPr>
          <w:trHeight w:val="183"/>
        </w:trPr>
        <w:tc>
          <w:tcPr>
            <w:tcW w:w="136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Other</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vMerge w:val="restart"/>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23,912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6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60" w:type="dxa"/>
            <w:vAlign w:val="bottom"/>
          </w:tcPr>
          <w:p>
            <w:pPr>
              <w:ind w:left="20"/>
              <w:spacing w:after="0" w:line="170" w:lineRule="exact"/>
              <w:rPr>
                <w:sz w:val="20"/>
                <w:szCs w:val="20"/>
                <w:color w:val="auto"/>
              </w:rPr>
            </w:pPr>
            <w:r>
              <w:rPr>
                <w:rFonts w:ascii="Arial" w:cs="Arial" w:eastAsia="Arial" w:hAnsi="Arial"/>
                <w:sz w:val="18"/>
                <w:szCs w:val="18"/>
                <w:color w:val="auto"/>
              </w:rPr>
              <w:t>Balance at June</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419</w:t>
            </w:r>
          </w:p>
        </w:tc>
        <w:tc>
          <w:tcPr>
            <w:tcW w:w="80" w:type="dxa"/>
            <w:vAlign w:val="bottom"/>
            <w:vMerge w:val="restart"/>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324,838</w:t>
            </w:r>
          </w:p>
        </w:tc>
        <w:tc>
          <w:tcPr>
            <w:tcW w:w="10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30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151,049</w:t>
            </w:r>
          </w:p>
        </w:tc>
        <w:tc>
          <w:tcPr>
            <w:tcW w:w="80" w:type="dxa"/>
            <w:vAlign w:val="bottom"/>
            <w:vMerge w:val="restart"/>
          </w:tcPr>
          <w:p>
            <w:pPr>
              <w:spacing w:after="0"/>
              <w:rPr>
                <w:sz w:val="14"/>
                <w:szCs w:val="14"/>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151</w:t>
            </w:r>
          </w:p>
        </w:tc>
        <w:tc>
          <w:tcPr>
            <w:tcW w:w="80" w:type="dxa"/>
            <w:vAlign w:val="bottom"/>
            <w:vMerge w:val="restart"/>
          </w:tcPr>
          <w:p>
            <w:pPr>
              <w:spacing w:after="0"/>
              <w:rPr>
                <w:sz w:val="14"/>
                <w:szCs w:val="14"/>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417,624</w:t>
            </w:r>
          </w:p>
        </w:tc>
        <w:tc>
          <w:tcPr>
            <w:tcW w:w="80" w:type="dxa"/>
            <w:vAlign w:val="bottom"/>
            <w:vMerge w:val="restart"/>
          </w:tcPr>
          <w:p>
            <w:pPr>
              <w:spacing w:after="0"/>
              <w:rPr>
                <w:sz w:val="14"/>
                <w:szCs w:val="14"/>
                <w:color w:val="auto"/>
              </w:rPr>
            </w:pPr>
          </w:p>
        </w:tc>
        <w:tc>
          <w:tcPr>
            <w:tcW w:w="2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(176,530)</w:t>
            </w:r>
          </w:p>
        </w:tc>
        <w:tc>
          <w:tcPr>
            <w:tcW w:w="80" w:type="dxa"/>
            <w:vAlign w:val="bottom"/>
            <w:vMerge w:val="restart"/>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46,209</w:t>
            </w:r>
          </w:p>
        </w:tc>
        <w:tc>
          <w:tcPr>
            <w:tcW w:w="80" w:type="dxa"/>
            <w:vAlign w:val="bottom"/>
            <w:vMerge w:val="restart"/>
          </w:tcPr>
          <w:p>
            <w:pPr>
              <w:spacing w:after="0"/>
              <w:rPr>
                <w:sz w:val="14"/>
                <w:szCs w:val="14"/>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287,454</w:t>
            </w:r>
          </w:p>
        </w:tc>
        <w:tc>
          <w:tcPr>
            <w:tcW w:w="0" w:type="dxa"/>
            <w:vAlign w:val="bottom"/>
          </w:tcPr>
          <w:p>
            <w:pPr>
              <w:spacing w:after="0"/>
              <w:rPr>
                <w:sz w:val="1"/>
                <w:szCs w:val="1"/>
                <w:color w:val="auto"/>
              </w:rPr>
            </w:pPr>
          </w:p>
        </w:tc>
      </w:tr>
      <w:tr>
        <w:trPr>
          <w:trHeight w:val="247"/>
        </w:trPr>
        <w:tc>
          <w:tcPr>
            <w:tcW w:w="1360" w:type="dxa"/>
            <w:vAlign w:val="bottom"/>
          </w:tcPr>
          <w:p>
            <w:pPr>
              <w:ind w:left="20"/>
              <w:spacing w:after="0" w:line="202" w:lineRule="exact"/>
              <w:rPr>
                <w:sz w:val="20"/>
                <w:szCs w:val="20"/>
                <w:color w:val="auto"/>
              </w:rPr>
            </w:pPr>
            <w:r>
              <w:rPr>
                <w:rFonts w:ascii="Arial" w:cs="Arial" w:eastAsia="Arial" w:hAnsi="Arial"/>
                <w:sz w:val="18"/>
                <w:szCs w:val="18"/>
                <w:color w:val="auto"/>
              </w:rPr>
              <w:t>30, 2023</w:t>
            </w:r>
          </w:p>
        </w:tc>
        <w:tc>
          <w:tcPr>
            <w:tcW w:w="6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4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50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8" w:name="page9"/>
    <w:bookmarkEnd w:id="8"/>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ind w:right="-19"/>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center"/>
              <w:ind w:left="228"/>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740" w:type="dxa"/>
            <w:vAlign w:val="bottom"/>
            <w:gridSpan w:val="7"/>
            <w:vMerge w:val="restart"/>
          </w:tcPr>
          <w:p>
            <w:pPr>
              <w:spacing w:after="0"/>
              <w:rPr>
                <w:sz w:val="20"/>
                <w:szCs w:val="20"/>
                <w:color w:val="auto"/>
              </w:rPr>
            </w:pPr>
            <w:r>
              <w:rPr>
                <w:rFonts w:ascii="Arial" w:cs="Arial" w:eastAsia="Arial" w:hAnsi="Arial"/>
                <w:sz w:val="20"/>
                <w:szCs w:val="20"/>
                <w:b w:val="1"/>
                <w:bCs w:val="1"/>
                <w:i w:val="1"/>
                <w:iCs w:val="1"/>
                <w:color w:val="auto"/>
              </w:rPr>
              <w:t>Three Months Ended June 30, 2022</w:t>
            </w:r>
          </w:p>
        </w:tc>
        <w:tc>
          <w:tcPr>
            <w:tcW w:w="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5"/>
          </w:tcPr>
          <w:p>
            <w:pPr>
              <w:jc w:val="center"/>
              <w:ind w:left="248"/>
              <w:spacing w:after="0"/>
              <w:rPr>
                <w:sz w:val="20"/>
                <w:szCs w:val="20"/>
                <w:color w:val="auto"/>
              </w:rPr>
            </w:pPr>
            <w:r>
              <w:rPr>
                <w:rFonts w:ascii="Arial" w:cs="Arial" w:eastAsia="Arial" w:hAnsi="Arial"/>
                <w:sz w:val="20"/>
                <w:szCs w:val="20"/>
                <w:i w:val="1"/>
                <w:iCs w:val="1"/>
                <w:color w:val="auto"/>
                <w:w w:val="99"/>
              </w:rPr>
              <w:t>(in thousands)</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740" w:type="dxa"/>
            <w:vAlign w:val="bottom"/>
            <w:gridSpan w:val="7"/>
            <w:vMerge w:val="continue"/>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6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w w:val="97"/>
              </w:rPr>
              <w:t>Permanent Equity</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60" w:type="dxa"/>
            <w:vAlign w:val="bottom"/>
          </w:tcPr>
          <w:p>
            <w:pPr>
              <w:spacing w:after="0"/>
              <w:rPr>
                <w:sz w:val="19"/>
                <w:szCs w:val="19"/>
                <w:color w:val="auto"/>
              </w:rPr>
            </w:pPr>
          </w:p>
        </w:tc>
        <w:tc>
          <w:tcPr>
            <w:tcW w:w="1580" w:type="dxa"/>
            <w:vAlign w:val="bottom"/>
            <w:tcBorders>
              <w:bottom w:val="single" w:sz="8" w:color="auto"/>
            </w:tcBorders>
            <w:gridSpan w:val="3"/>
            <w:vMerge w:val="continue"/>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4"/>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580" w:type="dxa"/>
            <w:vAlign w:val="bottom"/>
            <w:gridSpan w:val="3"/>
          </w:tcPr>
          <w:p>
            <w:pPr>
              <w:jc w:val="center"/>
              <w:spacing w:after="0" w:line="169" w:lineRule="exact"/>
              <w:rPr>
                <w:sz w:val="20"/>
                <w:szCs w:val="20"/>
                <w:color w:val="auto"/>
              </w:rPr>
            </w:pPr>
            <w:r>
              <w:rPr>
                <w:rFonts w:ascii="Arial" w:cs="Arial" w:eastAsia="Arial" w:hAnsi="Arial"/>
                <w:sz w:val="18"/>
                <w:szCs w:val="18"/>
                <w:b w:val="1"/>
                <w:bCs w:val="1"/>
                <w:color w:val="auto"/>
                <w:w w:val="99"/>
              </w:rPr>
              <w:t>Series A</w:t>
            </w: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580" w:type="dxa"/>
            <w:vAlign w:val="bottom"/>
            <w:gridSpan w:val="3"/>
          </w:tcPr>
          <w:p>
            <w:pPr>
              <w:jc w:val="center"/>
              <w:spacing w:after="0" w:line="180" w:lineRule="exact"/>
              <w:rPr>
                <w:sz w:val="20"/>
                <w:szCs w:val="20"/>
                <w:color w:val="auto"/>
              </w:rPr>
            </w:pPr>
            <w:r>
              <w:rPr>
                <w:rFonts w:ascii="Arial" w:cs="Arial" w:eastAsia="Arial" w:hAnsi="Arial"/>
                <w:sz w:val="18"/>
                <w:szCs w:val="18"/>
                <w:b w:val="1"/>
                <w:bCs w:val="1"/>
                <w:color w:val="auto"/>
                <w:w w:val="99"/>
              </w:rPr>
              <w:t>Redeemable</w:t>
            </w: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1580" w:type="dxa"/>
            <w:vAlign w:val="bottom"/>
            <w:gridSpan w:val="3"/>
          </w:tcPr>
          <w:p>
            <w:pPr>
              <w:jc w:val="center"/>
              <w:spacing w:after="0" w:line="185" w:lineRule="exact"/>
              <w:rPr>
                <w:sz w:val="20"/>
                <w:szCs w:val="20"/>
                <w:color w:val="auto"/>
              </w:rPr>
            </w:pPr>
            <w:r>
              <w:rPr>
                <w:rFonts w:ascii="Arial" w:cs="Arial" w:eastAsia="Arial" w:hAnsi="Arial"/>
                <w:sz w:val="18"/>
                <w:szCs w:val="18"/>
                <w:b w:val="1"/>
                <w:bCs w:val="1"/>
                <w:color w:val="auto"/>
                <w:w w:val="99"/>
              </w:rPr>
              <w:t>Perpetual</w:t>
            </w: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80" w:type="dxa"/>
            <w:vAlign w:val="bottom"/>
          </w:tcPr>
          <w:p>
            <w:pPr>
              <w:spacing w:after="0"/>
              <w:rPr>
                <w:sz w:val="16"/>
                <w:szCs w:val="16"/>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5"/>
                <w:szCs w:val="15"/>
                <w:color w:val="auto"/>
              </w:rPr>
            </w:pP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5"/>
                <w:szCs w:val="15"/>
                <w:color w:val="auto"/>
              </w:rPr>
            </w:pPr>
          </w:p>
        </w:tc>
        <w:tc>
          <w:tcPr>
            <w:tcW w:w="7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5"/>
                <w:szCs w:val="15"/>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90"/>
              <w:spacing w:after="0" w:line="180"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5"/>
                <w:szCs w:val="15"/>
                <w:color w:val="auto"/>
              </w:rPr>
            </w:pPr>
          </w:p>
        </w:tc>
        <w:tc>
          <w:tcPr>
            <w:tcW w:w="1200" w:type="dxa"/>
            <w:vAlign w:val="bottom"/>
            <w:gridSpan w:val="2"/>
          </w:tcPr>
          <w:p>
            <w:pPr>
              <w:spacing w:after="0" w:line="180"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Borders>
              <w:bottom w:val="single" w:sz="8" w:color="auto"/>
            </w:tcBorders>
            <w:gridSpan w:val="2"/>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at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$281,792</w:t>
            </w:r>
          </w:p>
        </w:tc>
        <w:tc>
          <w:tcPr>
            <w:tcW w:w="80" w:type="dxa"/>
            <w:vAlign w:val="bottom"/>
            <w:tcBorders>
              <w:right w:val="single" w:sz="8" w:color="auto"/>
            </w:tcBorders>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4"/>
                <w:szCs w:val="14"/>
                <w:color w:val="auto"/>
              </w:rPr>
            </w:pPr>
          </w:p>
        </w:tc>
        <w:tc>
          <w:tcPr>
            <w:tcW w:w="15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150,174</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411,232</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(297,839)</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56,675</w:t>
            </w: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170,218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31, 2022</w:t>
            </w:r>
          </w:p>
        </w:tc>
        <w:tc>
          <w:tcPr>
            <w:tcW w:w="6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3"/>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Equity-based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tcBorders>
              <w:right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Stock,</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74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(12,182)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(12,182)</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w:t>
            </w: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740" w:type="dxa"/>
            <w:vAlign w:val="bottom"/>
            <w:vMerge w:val="restart"/>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(45,208)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(45,208)</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w:t>
            </w: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right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at June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9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293,974</w:t>
            </w:r>
          </w:p>
        </w:tc>
        <w:tc>
          <w:tcPr>
            <w:tcW w:w="80" w:type="dxa"/>
            <w:vAlign w:val="bottom"/>
            <w:tcBorders>
              <w:right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150,279</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(302,863)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11,467</w:t>
            </w: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110,368</w:t>
            </w:r>
          </w:p>
        </w:tc>
        <w:tc>
          <w:tcPr>
            <w:tcW w:w="0" w:type="dxa"/>
            <w:vAlign w:val="bottom"/>
          </w:tcPr>
          <w:p>
            <w:pPr>
              <w:spacing w:after="0"/>
              <w:rPr>
                <w:sz w:val="1"/>
                <w:szCs w:val="1"/>
                <w:color w:val="auto"/>
              </w:rPr>
            </w:pPr>
          </w:p>
        </w:tc>
      </w:tr>
      <w:tr>
        <w:trPr>
          <w:trHeight w:val="222"/>
        </w:trPr>
        <w:tc>
          <w:tcPr>
            <w:tcW w:w="1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30, 2022</w:t>
            </w:r>
          </w:p>
        </w:tc>
        <w:tc>
          <w:tcPr>
            <w:tcW w:w="64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 w:type="dxa"/>
            <w:vAlign w:val="bottom"/>
            <w:tcBorders>
              <w:right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9" w:name="page10"/>
    <w:bookmarkEnd w:id="9"/>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center"/>
              <w:ind w:left="227"/>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gridSpan w:val="6"/>
            <w:vMerge w:val="restart"/>
          </w:tcPr>
          <w:p>
            <w:pPr>
              <w:spacing w:after="0"/>
              <w:rPr>
                <w:sz w:val="20"/>
                <w:szCs w:val="20"/>
                <w:color w:val="auto"/>
              </w:rPr>
            </w:pPr>
            <w:r>
              <w:rPr>
                <w:rFonts w:ascii="Arial" w:cs="Arial" w:eastAsia="Arial" w:hAnsi="Arial"/>
                <w:sz w:val="20"/>
                <w:szCs w:val="20"/>
                <w:b w:val="1"/>
                <w:bCs w:val="1"/>
                <w:i w:val="1"/>
                <w:iCs w:val="1"/>
                <w:color w:val="auto"/>
                <w:w w:val="99"/>
              </w:rPr>
              <w:t>Six Months Ended June 30, 2023</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5"/>
          </w:tcPr>
          <w:p>
            <w:pPr>
              <w:jc w:val="center"/>
              <w:ind w:left="247"/>
              <w:spacing w:after="0"/>
              <w:rPr>
                <w:sz w:val="20"/>
                <w:szCs w:val="20"/>
                <w:color w:val="auto"/>
              </w:rPr>
            </w:pPr>
            <w:r>
              <w:rPr>
                <w:rFonts w:ascii="Arial" w:cs="Arial" w:eastAsia="Arial" w:hAnsi="Arial"/>
                <w:sz w:val="20"/>
                <w:szCs w:val="20"/>
                <w:i w:val="1"/>
                <w:iCs w:val="1"/>
                <w:color w:val="auto"/>
                <w:w w:val="99"/>
              </w:rPr>
              <w:t>(in thousands)</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100" w:type="dxa"/>
            <w:vAlign w:val="bottom"/>
            <w:gridSpan w:val="6"/>
            <w:vMerge w:val="continue"/>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9"/>
              </w:rPr>
              <w:t>Temporary Equity</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w w:val="99"/>
              </w:rPr>
              <w:t>Permanent Equity</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136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64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7"/>
              </w:rPr>
              <w:t>Series A</w:t>
            </w: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640" w:type="dxa"/>
            <w:vAlign w:val="bottom"/>
            <w:gridSpan w:val="3"/>
          </w:tcPr>
          <w:p>
            <w:pPr>
              <w:jc w:val="center"/>
              <w:spacing w:after="0" w:line="180"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1640" w:type="dxa"/>
            <w:vAlign w:val="bottom"/>
            <w:gridSpan w:val="3"/>
          </w:tcPr>
          <w:p>
            <w:pPr>
              <w:jc w:val="center"/>
              <w:spacing w:after="0" w:line="185"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80" w:type="dxa"/>
            <w:vAlign w:val="bottom"/>
          </w:tcPr>
          <w:p>
            <w:pPr>
              <w:spacing w:after="0"/>
              <w:rPr>
                <w:sz w:val="16"/>
                <w:szCs w:val="16"/>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9"/>
              </w:rPr>
              <w:t>Accumulated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5"/>
                <w:szCs w:val="15"/>
                <w:color w:val="auto"/>
              </w:rPr>
            </w:pPr>
          </w:p>
        </w:tc>
        <w:tc>
          <w:tcPr>
            <w:tcW w:w="9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5"/>
                <w:szCs w:val="15"/>
                <w:color w:val="auto"/>
              </w:rPr>
            </w:pPr>
          </w:p>
        </w:tc>
        <w:tc>
          <w:tcPr>
            <w:tcW w:w="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820" w:type="dxa"/>
            <w:vAlign w:val="bottom"/>
          </w:tcPr>
          <w:p>
            <w:pPr>
              <w:jc w:val="right"/>
              <w:ind w:right="90"/>
              <w:spacing w:after="0" w:line="180"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rPr>
              <w:t>Comprehensive</w:t>
            </w:r>
          </w:p>
        </w:tc>
        <w:tc>
          <w:tcPr>
            <w:tcW w:w="80" w:type="dxa"/>
            <w:vAlign w:val="bottom"/>
          </w:tcPr>
          <w:p>
            <w:pPr>
              <w:spacing w:after="0"/>
              <w:rPr>
                <w:sz w:val="15"/>
                <w:szCs w:val="15"/>
                <w:color w:val="auto"/>
              </w:rPr>
            </w:pPr>
          </w:p>
        </w:tc>
        <w:tc>
          <w:tcPr>
            <w:tcW w:w="1220" w:type="dxa"/>
            <w:vAlign w:val="bottom"/>
            <w:gridSpan w:val="2"/>
          </w:tcPr>
          <w:p>
            <w:pPr>
              <w:ind w:left="20"/>
              <w:spacing w:after="0" w:line="180"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Arial" w:cs="Arial" w:eastAsia="Arial" w:hAnsi="Arial"/>
                <w:sz w:val="18"/>
                <w:szCs w:val="18"/>
                <w:b w:val="1"/>
                <w:bCs w:val="1"/>
                <w:color w:val="auto"/>
              </w:rPr>
              <w:t>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$299,570</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150,513</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383,176</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(267,470)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124,281</w:t>
            </w:r>
          </w:p>
        </w:tc>
        <w:tc>
          <w:tcPr>
            <w:tcW w:w="0" w:type="dxa"/>
            <w:vAlign w:val="bottom"/>
          </w:tcPr>
          <w:p>
            <w:pPr>
              <w:spacing w:after="0"/>
              <w:rPr>
                <w:sz w:val="1"/>
                <w:szCs w:val="1"/>
                <w:color w:val="auto"/>
              </w:rPr>
            </w:pPr>
          </w:p>
        </w:tc>
      </w:tr>
      <w:tr>
        <w:trPr>
          <w:trHeight w:val="242"/>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640" w:type="dxa"/>
            <w:vAlign w:val="bottom"/>
            <w:vMerge w:val="continue"/>
            <w:shd w:val="clear" w:color="auto" w:fill="CCEEFF"/>
          </w:tcPr>
          <w:p>
            <w:pPr>
              <w:spacing w:after="0"/>
              <w:rPr>
                <w:sz w:val="21"/>
                <w:szCs w:val="21"/>
                <w:color w:val="auto"/>
              </w:rPr>
            </w:pPr>
          </w:p>
        </w:tc>
        <w:tc>
          <w:tcPr>
            <w:tcW w:w="1000" w:type="dxa"/>
            <w:vAlign w:val="bottom"/>
            <w:tcBorders>
              <w:right w:val="single" w:sz="8" w:color="CCEEFF"/>
            </w:tcBorders>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820" w:type="dxa"/>
            <w:vAlign w:val="bottom"/>
            <w:gridSpan w:val="2"/>
            <w:vMerge w:val="continue"/>
            <w:shd w:val="clear" w:color="auto" w:fill="CCEEFF"/>
          </w:tcPr>
          <w:p>
            <w:pPr>
              <w:spacing w:after="0"/>
              <w:rPr>
                <w:sz w:val="21"/>
                <w:szCs w:val="21"/>
                <w:color w:val="auto"/>
              </w:rPr>
            </w:pPr>
          </w:p>
        </w:tc>
        <w:tc>
          <w:tcPr>
            <w:tcW w:w="320" w:type="dxa"/>
            <w:vAlign w:val="bottom"/>
            <w:gridSpan w:val="2"/>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40"/>
              <w:spacing w:after="0" w:line="176" w:lineRule="exact"/>
              <w:rPr>
                <w:sz w:val="20"/>
                <w:szCs w:val="20"/>
                <w:color w:val="auto"/>
              </w:rPr>
            </w:pPr>
            <w:r>
              <w:rPr>
                <w:rFonts w:ascii="Arial" w:cs="Arial" w:eastAsia="Arial" w:hAnsi="Arial"/>
                <w:sz w:val="18"/>
                <w:szCs w:val="18"/>
                <w:color w:val="auto"/>
              </w:rPr>
              <w:t>Equity-based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8,310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8,311</w:t>
            </w:r>
          </w:p>
        </w:tc>
        <w:tc>
          <w:tcPr>
            <w:tcW w:w="0" w:type="dxa"/>
            <w:vAlign w:val="bottom"/>
          </w:tcPr>
          <w:p>
            <w:pPr>
              <w:spacing w:after="0"/>
              <w:rPr>
                <w:sz w:val="1"/>
                <w:szCs w:val="1"/>
                <w:color w:val="auto"/>
              </w:rPr>
            </w:pPr>
          </w:p>
        </w:tc>
      </w:tr>
      <w:tr>
        <w:trPr>
          <w:trHeight w:val="229"/>
        </w:trPr>
        <w:tc>
          <w:tcPr>
            <w:tcW w:w="1360" w:type="dxa"/>
            <w:vAlign w:val="bottom"/>
          </w:tcPr>
          <w:p>
            <w:pPr>
              <w:ind w:left="40"/>
              <w:spacing w:after="0"/>
              <w:rPr>
                <w:sz w:val="20"/>
                <w:szCs w:val="20"/>
                <w:color w:val="auto"/>
              </w:rPr>
            </w:pPr>
            <w:r>
              <w:rPr>
                <w:rFonts w:ascii="Arial" w:cs="Arial" w:eastAsia="Arial" w:hAnsi="Arial"/>
                <w:sz w:val="18"/>
                <w:szCs w:val="18"/>
                <w:color w:val="auto"/>
              </w:rPr>
              <w:t>compensation</w:t>
            </w: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Correction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the Capped Call</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and Put Option</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9"/>
              </w:rPr>
              <w:t>errors (see Note</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52,914</w:t>
            </w:r>
          </w:p>
        </w:tc>
        <w:tc>
          <w:tcPr>
            <w:tcW w:w="0" w:type="dxa"/>
            <w:vAlign w:val="bottom"/>
          </w:tcPr>
          <w:p>
            <w:pPr>
              <w:spacing w:after="0"/>
              <w:rPr>
                <w:sz w:val="1"/>
                <w:szCs w:val="1"/>
                <w:color w:val="auto"/>
              </w:rPr>
            </w:pPr>
          </w:p>
        </w:tc>
      </w:tr>
      <w:tr>
        <w:trPr>
          <w:trHeight w:val="176"/>
        </w:trPr>
        <w:tc>
          <w:tcPr>
            <w:tcW w:w="1360" w:type="dxa"/>
            <w:vAlign w:val="bottom"/>
          </w:tcPr>
          <w:p>
            <w:pPr>
              <w:ind w:left="40"/>
              <w:spacing w:after="0" w:line="176"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40"/>
              <w:spacing w:after="0" w:line="189"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40"/>
              <w:spacing w:after="0" w:line="176" w:lineRule="exact"/>
              <w:rPr>
                <w:sz w:val="20"/>
                <w:szCs w:val="20"/>
                <w:color w:val="auto"/>
              </w:rPr>
            </w:pPr>
            <w:r>
              <w:rPr>
                <w:rFonts w:ascii="Arial" w:cs="Arial" w:eastAsia="Arial" w:hAnsi="Arial"/>
                <w:sz w:val="18"/>
                <w:szCs w:val="18"/>
                <w:color w:val="auto"/>
              </w:rPr>
              <w:t>dividends plus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25,268</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(26,776)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(26,776)</w:t>
            </w:r>
          </w:p>
        </w:tc>
        <w:tc>
          <w:tcPr>
            <w:tcW w:w="0" w:type="dxa"/>
            <w:vAlign w:val="bottom"/>
          </w:tcPr>
          <w:p>
            <w:pPr>
              <w:spacing w:after="0"/>
              <w:rPr>
                <w:sz w:val="1"/>
                <w:szCs w:val="1"/>
                <w:color w:val="auto"/>
              </w:rPr>
            </w:pPr>
          </w:p>
        </w:tc>
      </w:tr>
      <w:tr>
        <w:trPr>
          <w:trHeight w:val="229"/>
        </w:trPr>
        <w:tc>
          <w:tcPr>
            <w:tcW w:w="1360" w:type="dxa"/>
            <w:vAlign w:val="bottom"/>
          </w:tcPr>
          <w:p>
            <w:pPr>
              <w:ind w:left="40"/>
              <w:spacing w:after="0"/>
              <w:rPr>
                <w:sz w:val="20"/>
                <w:szCs w:val="20"/>
                <w:color w:val="auto"/>
              </w:rPr>
            </w:pPr>
            <w:r>
              <w:rPr>
                <w:rFonts w:ascii="Arial" w:cs="Arial" w:eastAsia="Arial" w:hAnsi="Arial"/>
                <w:sz w:val="18"/>
                <w:szCs w:val="18"/>
                <w:color w:val="auto"/>
              </w:rPr>
              <w:t>accretion</w:t>
            </w:r>
          </w:p>
        </w:tc>
        <w:tc>
          <w:tcPr>
            <w:tcW w:w="640" w:type="dxa"/>
            <w:vAlign w:val="bottom"/>
            <w:vMerge w:val="continue"/>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9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90,940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90,940</w:t>
            </w:r>
          </w:p>
        </w:tc>
        <w:tc>
          <w:tcPr>
            <w:tcW w:w="0" w:type="dxa"/>
            <w:vAlign w:val="bottom"/>
          </w:tcPr>
          <w:p>
            <w:pPr>
              <w:spacing w:after="0"/>
              <w:rPr>
                <w:sz w:val="1"/>
                <w:szCs w:val="1"/>
                <w:color w:val="auto"/>
              </w:rPr>
            </w:pPr>
          </w:p>
        </w:tc>
      </w:tr>
      <w:tr>
        <w:trPr>
          <w:trHeight w:val="176"/>
        </w:trPr>
        <w:tc>
          <w:tcPr>
            <w:tcW w:w="1360" w:type="dxa"/>
            <w:vAlign w:val="bottom"/>
          </w:tcPr>
          <w:p>
            <w:pPr>
              <w:ind w:left="40"/>
              <w:spacing w:after="0" w:line="176"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4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37,784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37,784</w:t>
            </w:r>
          </w:p>
        </w:tc>
        <w:tc>
          <w:tcPr>
            <w:tcW w:w="0" w:type="dxa"/>
            <w:vAlign w:val="bottom"/>
          </w:tcPr>
          <w:p>
            <w:pPr>
              <w:spacing w:after="0"/>
              <w:rPr>
                <w:sz w:val="1"/>
                <w:szCs w:val="1"/>
                <w:color w:val="auto"/>
              </w:rPr>
            </w:pPr>
          </w:p>
        </w:tc>
      </w:tr>
      <w:tr>
        <w:trPr>
          <w:trHeight w:val="229"/>
        </w:trPr>
        <w:tc>
          <w:tcPr>
            <w:tcW w:w="1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income</w:t>
            </w: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Balance at June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324,838</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151,049</w:t>
            </w:r>
          </w:p>
        </w:tc>
        <w:tc>
          <w:tcPr>
            <w:tcW w:w="32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417,624</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(176,530)</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46,209</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287,454</w:t>
            </w:r>
          </w:p>
        </w:tc>
        <w:tc>
          <w:tcPr>
            <w:tcW w:w="0" w:type="dxa"/>
            <w:vAlign w:val="bottom"/>
          </w:tcPr>
          <w:p>
            <w:pPr>
              <w:spacing w:after="0"/>
              <w:rPr>
                <w:sz w:val="1"/>
                <w:szCs w:val="1"/>
                <w:color w:val="auto"/>
              </w:rPr>
            </w:pPr>
          </w:p>
        </w:tc>
      </w:tr>
      <w:tr>
        <w:trPr>
          <w:trHeight w:val="222"/>
        </w:trPr>
        <w:tc>
          <w:tcPr>
            <w:tcW w:w="13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30, 2023</w:t>
            </w:r>
          </w:p>
        </w:tc>
        <w:tc>
          <w:tcPr>
            <w:tcW w:w="64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 w:name="page11"/>
    <w:bookmarkEnd w:id="10"/>
    <w:p>
      <w:pPr>
        <w:ind w:left="4480"/>
        <w:spacing w:after="0"/>
        <w:rPr>
          <w:sz w:val="20"/>
          <w:szCs w:val="20"/>
          <w:color w:val="auto"/>
        </w:rPr>
      </w:pPr>
      <w:r>
        <w:rPr>
          <w:rFonts w:ascii="Arial" w:cs="Arial" w:eastAsia="Arial" w:hAnsi="Arial"/>
          <w:sz w:val="20"/>
          <w:szCs w:val="20"/>
          <w:b w:val="1"/>
          <w:bCs w:val="1"/>
          <w:color w:val="auto"/>
        </w:rPr>
        <w:t>Array Technologies, Inc.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9"/>
          <w:szCs w:val="19"/>
          <w:b w:val="1"/>
          <w:bCs w:val="1"/>
          <w:color w:val="auto"/>
        </w:rPr>
        <w:t>Condensed Consolidated Statements of Changes in Redeemable Perpetual Preferred Stock and Stockholders’ Equity</w:t>
      </w:r>
    </w:p>
    <w:p>
      <w:pPr>
        <w:jc w:val="center"/>
        <w:spacing w:after="0"/>
        <w:rPr>
          <w:sz w:val="20"/>
          <w:szCs w:val="20"/>
          <w:color w:val="auto"/>
        </w:rPr>
      </w:pPr>
      <w:r>
        <w:rPr>
          <w:rFonts w:ascii="Arial" w:cs="Arial" w:eastAsia="Arial" w:hAnsi="Arial"/>
          <w:sz w:val="20"/>
          <w:szCs w:val="20"/>
          <w:i w:val="1"/>
          <w:iCs w:val="1"/>
          <w:color w:val="auto"/>
        </w:rPr>
        <w:t>(continued)</w:t>
      </w:r>
    </w:p>
    <w:tbl>
      <w:tblPr>
        <w:tblLayout w:type="fixed"/>
        <w:tblInd w:w="0" w:type="dxa"/>
        <w:tblCellMar>
          <w:top w:w="0" w:type="dxa"/>
          <w:left w:w="0" w:type="dxa"/>
          <w:bottom w:w="0" w:type="dxa"/>
          <w:right w:w="0" w:type="dxa"/>
        </w:tblCellMar>
      </w:tblPr>
      <w:tr>
        <w:trPr>
          <w:trHeight w:val="209"/>
        </w:trPr>
        <w:tc>
          <w:tcPr>
            <w:tcW w:w="1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5"/>
          </w:tcPr>
          <w:p>
            <w:pPr>
              <w:jc w:val="center"/>
              <w:ind w:left="228"/>
              <w:spacing w:after="0" w:line="209" w:lineRule="exact"/>
              <w:rPr>
                <w:sz w:val="20"/>
                <w:szCs w:val="20"/>
                <w:color w:val="auto"/>
              </w:rPr>
            </w:pPr>
            <w:r>
              <w:rPr>
                <w:rFonts w:ascii="Arial" w:cs="Arial" w:eastAsia="Arial" w:hAnsi="Arial"/>
                <w:sz w:val="20"/>
                <w:szCs w:val="20"/>
                <w:b w:val="1"/>
                <w:bCs w:val="1"/>
                <w:i w:val="1"/>
                <w:iCs w:val="1"/>
                <w:color w:val="auto"/>
                <w:w w:val="99"/>
              </w:rPr>
              <w:t>(unaudited)</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00" w:type="dxa"/>
            <w:vAlign w:val="bottom"/>
            <w:gridSpan w:val="6"/>
            <w:vMerge w:val="restart"/>
          </w:tcPr>
          <w:p>
            <w:pPr>
              <w:spacing w:after="0"/>
              <w:rPr>
                <w:sz w:val="20"/>
                <w:szCs w:val="20"/>
                <w:color w:val="auto"/>
              </w:rPr>
            </w:pPr>
            <w:r>
              <w:rPr>
                <w:rFonts w:ascii="Arial" w:cs="Arial" w:eastAsia="Arial" w:hAnsi="Arial"/>
                <w:sz w:val="20"/>
                <w:szCs w:val="20"/>
                <w:b w:val="1"/>
                <w:bCs w:val="1"/>
                <w:i w:val="1"/>
                <w:iCs w:val="1"/>
                <w:color w:val="auto"/>
                <w:w w:val="99"/>
              </w:rPr>
              <w:t>Six Months Ended June 30, 2022</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40" w:type="dxa"/>
            <w:vAlign w:val="bottom"/>
            <w:gridSpan w:val="5"/>
          </w:tcPr>
          <w:p>
            <w:pPr>
              <w:jc w:val="center"/>
              <w:ind w:left="248"/>
              <w:spacing w:after="0"/>
              <w:rPr>
                <w:sz w:val="20"/>
                <w:szCs w:val="20"/>
                <w:color w:val="auto"/>
              </w:rPr>
            </w:pPr>
            <w:r>
              <w:rPr>
                <w:rFonts w:ascii="Arial" w:cs="Arial" w:eastAsia="Arial" w:hAnsi="Arial"/>
                <w:sz w:val="20"/>
                <w:szCs w:val="20"/>
                <w:i w:val="1"/>
                <w:iCs w:val="1"/>
                <w:color w:val="auto"/>
                <w:w w:val="99"/>
              </w:rPr>
              <w:t>(in thousands)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100" w:type="dxa"/>
            <w:vAlign w:val="bottom"/>
            <w:gridSpan w:val="6"/>
            <w:vMerge w:val="continue"/>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64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auto"/>
                <w:w w:val="97"/>
              </w:rPr>
              <w:t>Temporary Equity</w:t>
            </w:r>
          </w:p>
        </w:tc>
        <w:tc>
          <w:tcPr>
            <w:tcW w:w="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4"/>
            <w:vMerge w:val="restart"/>
          </w:tcPr>
          <w:p>
            <w:pPr>
              <w:jc w:val="right"/>
              <w:ind w:right="450"/>
              <w:spacing w:after="0"/>
              <w:rPr>
                <w:sz w:val="20"/>
                <w:szCs w:val="20"/>
                <w:color w:val="auto"/>
              </w:rPr>
            </w:pPr>
            <w:r>
              <w:rPr>
                <w:rFonts w:ascii="Arial" w:cs="Arial" w:eastAsia="Arial" w:hAnsi="Arial"/>
                <w:sz w:val="18"/>
                <w:szCs w:val="18"/>
                <w:b w:val="1"/>
                <w:bCs w:val="1"/>
                <w:color w:val="auto"/>
                <w:w w:val="99"/>
              </w:rPr>
              <w:t>Permanent Equity</w:t>
            </w: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360" w:type="dxa"/>
            <w:vAlign w:val="bottom"/>
          </w:tcPr>
          <w:p>
            <w:pPr>
              <w:spacing w:after="0"/>
              <w:rPr>
                <w:sz w:val="19"/>
                <w:szCs w:val="19"/>
                <w:color w:val="auto"/>
              </w:rPr>
            </w:pPr>
          </w:p>
        </w:tc>
        <w:tc>
          <w:tcPr>
            <w:tcW w:w="1640" w:type="dxa"/>
            <w:vAlign w:val="bottom"/>
            <w:gridSpan w:val="3"/>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1640" w:type="dxa"/>
            <w:vAlign w:val="bottom"/>
            <w:tcBorders>
              <w:top w:val="single" w:sz="8" w:color="auto"/>
            </w:tcBorders>
            <w:gridSpan w:val="3"/>
          </w:tcPr>
          <w:p>
            <w:pPr>
              <w:jc w:val="center"/>
              <w:spacing w:after="0" w:line="169" w:lineRule="exact"/>
              <w:rPr>
                <w:sz w:val="20"/>
                <w:szCs w:val="20"/>
                <w:color w:val="auto"/>
              </w:rPr>
            </w:pPr>
            <w:r>
              <w:rPr>
                <w:rFonts w:ascii="Arial" w:cs="Arial" w:eastAsia="Arial" w:hAnsi="Arial"/>
                <w:sz w:val="18"/>
                <w:szCs w:val="18"/>
                <w:b w:val="1"/>
                <w:bCs w:val="1"/>
                <w:color w:val="auto"/>
                <w:w w:val="97"/>
              </w:rPr>
              <w:t>Series A</w:t>
            </w: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1640" w:type="dxa"/>
            <w:vAlign w:val="bottom"/>
            <w:gridSpan w:val="3"/>
          </w:tcPr>
          <w:p>
            <w:pPr>
              <w:jc w:val="center"/>
              <w:spacing w:after="0" w:line="180" w:lineRule="exact"/>
              <w:rPr>
                <w:sz w:val="20"/>
                <w:szCs w:val="20"/>
                <w:color w:val="auto"/>
              </w:rPr>
            </w:pPr>
            <w:r>
              <w:rPr>
                <w:rFonts w:ascii="Arial" w:cs="Arial" w:eastAsia="Arial" w:hAnsi="Arial"/>
                <w:sz w:val="18"/>
                <w:szCs w:val="18"/>
                <w:b w:val="1"/>
                <w:bCs w:val="1"/>
                <w:color w:val="auto"/>
                <w:w w:val="99"/>
              </w:rPr>
              <w:t>Redeemable</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1360" w:type="dxa"/>
            <w:vAlign w:val="bottom"/>
          </w:tcPr>
          <w:p>
            <w:pPr>
              <w:spacing w:after="0"/>
              <w:rPr>
                <w:sz w:val="16"/>
                <w:szCs w:val="16"/>
                <w:color w:val="auto"/>
              </w:rPr>
            </w:pPr>
          </w:p>
        </w:tc>
        <w:tc>
          <w:tcPr>
            <w:tcW w:w="1640" w:type="dxa"/>
            <w:vAlign w:val="bottom"/>
            <w:gridSpan w:val="3"/>
          </w:tcPr>
          <w:p>
            <w:pPr>
              <w:jc w:val="center"/>
              <w:spacing w:after="0" w:line="185" w:lineRule="exact"/>
              <w:rPr>
                <w:sz w:val="20"/>
                <w:szCs w:val="20"/>
                <w:color w:val="auto"/>
              </w:rPr>
            </w:pPr>
            <w:r>
              <w:rPr>
                <w:rFonts w:ascii="Arial" w:cs="Arial" w:eastAsia="Arial" w:hAnsi="Arial"/>
                <w:sz w:val="18"/>
                <w:szCs w:val="18"/>
                <w:b w:val="1"/>
                <w:bCs w:val="1"/>
                <w:color w:val="auto"/>
                <w:w w:val="99"/>
              </w:rPr>
              <w:t>Perpetual</w:t>
            </w: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4"/>
            <w:vMerge w:val="restart"/>
          </w:tcPr>
          <w:p>
            <w:pPr>
              <w:ind w:left="60"/>
              <w:spacing w:after="0"/>
              <w:rPr>
                <w:sz w:val="20"/>
                <w:szCs w:val="20"/>
                <w:color w:val="auto"/>
              </w:rPr>
            </w:pPr>
            <w:r>
              <w:rPr>
                <w:rFonts w:ascii="Arial" w:cs="Arial" w:eastAsia="Arial" w:hAnsi="Arial"/>
                <w:sz w:val="18"/>
                <w:szCs w:val="18"/>
                <w:b w:val="1"/>
                <w:bCs w:val="1"/>
                <w:color w:val="auto"/>
              </w:rPr>
              <w:t>Preferred Stock</w:t>
            </w:r>
          </w:p>
        </w:tc>
        <w:tc>
          <w:tcPr>
            <w:tcW w:w="80" w:type="dxa"/>
            <w:vAlign w:val="bottom"/>
          </w:tcPr>
          <w:p>
            <w:pPr>
              <w:spacing w:after="0"/>
              <w:rPr>
                <w:sz w:val="16"/>
                <w:szCs w:val="16"/>
                <w:color w:val="auto"/>
              </w:rPr>
            </w:pPr>
          </w:p>
        </w:tc>
        <w:tc>
          <w:tcPr>
            <w:tcW w:w="1640" w:type="dxa"/>
            <w:vAlign w:val="bottom"/>
            <w:gridSpan w:val="5"/>
            <w:vMerge w:val="restart"/>
          </w:tcPr>
          <w:p>
            <w:pPr>
              <w:ind w:left="12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Preferred Stock</w:t>
            </w: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4"/>
            <w:vMerge w:val="continue"/>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5"/>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3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76"/>
        </w:trPr>
        <w:tc>
          <w:tcPr>
            <w:tcW w:w="1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Accumulated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36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Shares</w:t>
            </w:r>
          </w:p>
        </w:tc>
        <w:tc>
          <w:tcPr>
            <w:tcW w:w="80" w:type="dxa"/>
            <w:vAlign w:val="bottom"/>
          </w:tcPr>
          <w:p>
            <w:pPr>
              <w:spacing w:after="0"/>
              <w:rPr>
                <w:sz w:val="15"/>
                <w:szCs w:val="15"/>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9"/>
              </w:rPr>
              <w:t>Amount</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15"/>
                <w:szCs w:val="15"/>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5"/>
                <w:szCs w:val="15"/>
                <w:color w:val="auto"/>
              </w:rPr>
            </w:pPr>
          </w:p>
        </w:tc>
        <w:tc>
          <w:tcPr>
            <w:tcW w:w="840" w:type="dxa"/>
            <w:vAlign w:val="bottom"/>
          </w:tcPr>
          <w:p>
            <w:pPr>
              <w:jc w:val="right"/>
              <w:ind w:right="90"/>
              <w:spacing w:after="0" w:line="180" w:lineRule="exact"/>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gridSpan w:val="2"/>
          </w:tcPr>
          <w:p>
            <w:pPr>
              <w:jc w:val="center"/>
              <w:spacing w:after="0" w:line="180" w:lineRule="exact"/>
              <w:rPr>
                <w:sz w:val="20"/>
                <w:szCs w:val="20"/>
                <w:color w:val="auto"/>
              </w:rPr>
            </w:pPr>
            <w:r>
              <w:rPr>
                <w:rFonts w:ascii="Arial" w:cs="Arial" w:eastAsia="Arial" w:hAnsi="Arial"/>
                <w:sz w:val="18"/>
                <w:szCs w:val="18"/>
                <w:b w:val="1"/>
                <w:bCs w:val="1"/>
                <w:color w:val="auto"/>
                <w:w w:val="99"/>
              </w:rPr>
              <w:t>Comprehensive</w:t>
            </w:r>
          </w:p>
        </w:tc>
        <w:tc>
          <w:tcPr>
            <w:tcW w:w="80" w:type="dxa"/>
            <w:vAlign w:val="bottom"/>
          </w:tcPr>
          <w:p>
            <w:pPr>
              <w:spacing w:after="0"/>
              <w:rPr>
                <w:sz w:val="15"/>
                <w:szCs w:val="15"/>
                <w:color w:val="auto"/>
              </w:rPr>
            </w:pPr>
          </w:p>
        </w:tc>
        <w:tc>
          <w:tcPr>
            <w:tcW w:w="1220" w:type="dxa"/>
            <w:vAlign w:val="bottom"/>
            <w:gridSpan w:val="2"/>
          </w:tcPr>
          <w:p>
            <w:pPr>
              <w:ind w:left="20"/>
              <w:spacing w:after="0" w:line="180" w:lineRule="exact"/>
              <w:rPr>
                <w:sz w:val="20"/>
                <w:szCs w:val="20"/>
                <w:color w:val="auto"/>
              </w:rPr>
            </w:pPr>
            <w:r>
              <w:rPr>
                <w:rFonts w:ascii="Arial" w:cs="Arial" w:eastAsia="Arial" w:hAnsi="Arial"/>
                <w:sz w:val="18"/>
                <w:szCs w:val="18"/>
                <w:b w:val="1"/>
                <w:bCs w:val="1"/>
                <w:color w:val="auto"/>
                <w:w w:val="99"/>
              </w:rPr>
              <w:t>Stockholders’</w:t>
            </w:r>
          </w:p>
        </w:tc>
        <w:tc>
          <w:tcPr>
            <w:tcW w:w="0" w:type="dxa"/>
            <w:vAlign w:val="bottom"/>
          </w:tcPr>
          <w:p>
            <w:pPr>
              <w:spacing w:after="0"/>
              <w:rPr>
                <w:sz w:val="1"/>
                <w:szCs w:val="1"/>
                <w:color w:val="auto"/>
              </w:rPr>
            </w:pPr>
          </w:p>
        </w:tc>
      </w:tr>
      <w:tr>
        <w:trPr>
          <w:trHeight w:val="239"/>
        </w:trPr>
        <w:tc>
          <w:tcPr>
            <w:tcW w:w="13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3"/>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Income</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at</w:t>
            </w: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tcBorders>
              <w:top w:val="single" w:sz="8" w:color="auto"/>
              <w:right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31,</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$237,462</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135,027</w:t>
            </w: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202,562</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(271,902)</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(69,205)</w:t>
            </w:r>
          </w:p>
        </w:tc>
        <w:tc>
          <w:tcPr>
            <w:tcW w:w="0" w:type="dxa"/>
            <w:vAlign w:val="bottom"/>
          </w:tcPr>
          <w:p>
            <w:pPr>
              <w:spacing w:after="0"/>
              <w:rPr>
                <w:sz w:val="1"/>
                <w:szCs w:val="1"/>
                <w:color w:val="auto"/>
              </w:rPr>
            </w:pPr>
          </w:p>
        </w:tc>
      </w:tr>
      <w:tr>
        <w:trPr>
          <w:trHeight w:val="242"/>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40" w:type="dxa"/>
            <w:vAlign w:val="bottom"/>
            <w:vMerge w:val="continue"/>
            <w:shd w:val="clear" w:color="auto" w:fill="CCEEFF"/>
          </w:tcPr>
          <w:p>
            <w:pPr>
              <w:spacing w:after="0"/>
              <w:rPr>
                <w:sz w:val="21"/>
                <w:szCs w:val="21"/>
                <w:color w:val="auto"/>
              </w:rPr>
            </w:pPr>
          </w:p>
        </w:tc>
        <w:tc>
          <w:tcPr>
            <w:tcW w:w="1000" w:type="dxa"/>
            <w:vAlign w:val="bottom"/>
            <w:tcBorders>
              <w:right w:val="single" w:sz="8" w:color="CCEEFF"/>
            </w:tcBorders>
            <w:gridSpan w:val="2"/>
            <w:vMerge w:val="continue"/>
            <w:shd w:val="clear" w:color="auto" w:fill="CCEEFF"/>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 w:type="dxa"/>
            <w:vAlign w:val="bottom"/>
            <w:vMerge w:val="continue"/>
            <w:shd w:val="clear" w:color="auto" w:fill="CCEEFF"/>
          </w:tcPr>
          <w:p>
            <w:pPr>
              <w:spacing w:after="0"/>
              <w:rPr>
                <w:sz w:val="21"/>
                <w:szCs w:val="21"/>
                <w:color w:val="auto"/>
              </w:rPr>
            </w:pPr>
          </w:p>
        </w:tc>
        <w:tc>
          <w:tcPr>
            <w:tcW w:w="380" w:type="dxa"/>
            <w:vAlign w:val="bottom"/>
            <w:gridSpan w:val="2"/>
            <w:vMerge w:val="continue"/>
            <w:shd w:val="clear" w:color="auto" w:fill="CCEEFF"/>
          </w:tcPr>
          <w:p>
            <w:pPr>
              <w:spacing w:after="0"/>
              <w:rPr>
                <w:sz w:val="21"/>
                <w:szCs w:val="21"/>
                <w:color w:val="auto"/>
              </w:rPr>
            </w:pPr>
          </w:p>
        </w:tc>
        <w:tc>
          <w:tcPr>
            <w:tcW w:w="440" w:type="dxa"/>
            <w:vAlign w:val="bottom"/>
            <w:vMerge w:val="continue"/>
            <w:shd w:val="clear" w:color="auto" w:fill="CCEEFF"/>
          </w:tcPr>
          <w:p>
            <w:pPr>
              <w:spacing w:after="0"/>
              <w:rPr>
                <w:sz w:val="21"/>
                <w:szCs w:val="21"/>
                <w:color w:val="auto"/>
              </w:rPr>
            </w:pPr>
          </w:p>
        </w:tc>
        <w:tc>
          <w:tcPr>
            <w:tcW w:w="840" w:type="dxa"/>
            <w:vAlign w:val="bottom"/>
            <w:gridSpan w:val="2"/>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vMerge w:val="continue"/>
            <w:shd w:val="clear" w:color="auto" w:fill="CCEEFF"/>
          </w:tcPr>
          <w:p>
            <w:pPr>
              <w:spacing w:after="0"/>
              <w:rPr>
                <w:sz w:val="21"/>
                <w:szCs w:val="21"/>
                <w:color w:val="auto"/>
              </w:rPr>
            </w:pPr>
          </w:p>
        </w:tc>
        <w:tc>
          <w:tcPr>
            <w:tcW w:w="840" w:type="dxa"/>
            <w:vAlign w:val="bottom"/>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200" w:type="dxa"/>
            <w:vAlign w:val="bottom"/>
            <w:gridSpan w:val="2"/>
            <w:vMerge w:val="continue"/>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300" w:type="dxa"/>
            <w:vAlign w:val="bottom"/>
            <w:gridSpan w:val="2"/>
            <w:vMerge w:val="continue"/>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Equity-based</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7,357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7,357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Issuance of</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Series A</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Redeemable</w:t>
            </w: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Perpetual</w:t>
            </w: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Stock,</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32,724</w:t>
            </w:r>
          </w:p>
        </w:tc>
        <w:tc>
          <w:tcPr>
            <w:tcW w:w="20" w:type="dxa"/>
            <w:vAlign w:val="bottom"/>
            <w:shd w:val="clear" w:color="auto" w:fill="000000"/>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15,252</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215,483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215,498</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of fees</w:t>
            </w:r>
          </w:p>
        </w:tc>
        <w:tc>
          <w:tcPr>
            <w:tcW w:w="64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360" w:type="dxa"/>
            <w:vAlign w:val="bottom"/>
          </w:tcPr>
          <w:p>
            <w:pPr>
              <w:ind w:left="20"/>
              <w:spacing w:after="0" w:line="189" w:lineRule="exact"/>
              <w:rPr>
                <w:sz w:val="20"/>
                <w:szCs w:val="20"/>
                <w:color w:val="auto"/>
              </w:rPr>
            </w:pPr>
            <w:r>
              <w:rPr>
                <w:rFonts w:ascii="Arial" w:cs="Arial" w:eastAsia="Arial" w:hAnsi="Arial"/>
                <w:sz w:val="18"/>
                <w:szCs w:val="18"/>
                <w:color w:val="auto"/>
              </w:rPr>
              <w:t>Preferred</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cumulative</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dividends plus</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23,788</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(23,788)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(23,788)</w:t>
            </w:r>
          </w:p>
        </w:tc>
        <w:tc>
          <w:tcPr>
            <w:tcW w:w="0" w:type="dxa"/>
            <w:vAlign w:val="bottom"/>
          </w:tcPr>
          <w:p>
            <w:pPr>
              <w:spacing w:after="0"/>
              <w:rPr>
                <w:sz w:val="1"/>
                <w:szCs w:val="1"/>
                <w:color w:val="auto"/>
              </w:rPr>
            </w:pPr>
          </w:p>
        </w:tc>
      </w:tr>
      <w:tr>
        <w:trPr>
          <w:trHeight w:val="236"/>
        </w:trPr>
        <w:tc>
          <w:tcPr>
            <w:tcW w:w="1360" w:type="dxa"/>
            <w:vAlign w:val="bottom"/>
          </w:tcPr>
          <w:p>
            <w:pPr>
              <w:ind w:left="20"/>
              <w:spacing w:after="0"/>
              <w:rPr>
                <w:sz w:val="20"/>
                <w:szCs w:val="20"/>
                <w:color w:val="auto"/>
              </w:rPr>
            </w:pPr>
            <w:r>
              <w:rPr>
                <w:rFonts w:ascii="Arial" w:cs="Arial" w:eastAsia="Arial" w:hAnsi="Arial"/>
                <w:sz w:val="18"/>
                <w:szCs w:val="18"/>
                <w:color w:val="auto"/>
              </w:rPr>
              <w:t>accretion</w:t>
            </w:r>
          </w:p>
        </w:tc>
        <w:tc>
          <w:tcPr>
            <w:tcW w:w="640" w:type="dxa"/>
            <w:vAlign w:val="bottom"/>
            <w:vMerge w:val="continue"/>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920" w:type="dxa"/>
            <w:vAlign w:val="bottom"/>
            <w:tcBorders>
              <w:right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(30,961)</w:t>
            </w:r>
          </w:p>
        </w:tc>
        <w:tc>
          <w:tcPr>
            <w:tcW w:w="0" w:type="dxa"/>
            <w:vAlign w:val="bottom"/>
          </w:tcPr>
          <w:p>
            <w:pPr>
              <w:spacing w:after="0"/>
              <w:rPr>
                <w:sz w:val="1"/>
                <w:szCs w:val="1"/>
                <w:color w:val="auto"/>
              </w:rPr>
            </w:pPr>
          </w:p>
        </w:tc>
      </w:tr>
      <w:tr>
        <w:trPr>
          <w:trHeight w:val="176"/>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Other</w:t>
            </w: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Arial" w:cs="Arial" w:eastAsia="Arial" w:hAnsi="Arial"/>
                <w:sz w:val="18"/>
                <w:szCs w:val="18"/>
                <w:color w:val="auto"/>
              </w:rPr>
              <w:t>comprehensive</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92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shd w:val="clear" w:color="auto" w:fill="000000"/>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vMerge w:val="restart"/>
          </w:tcPr>
          <w:p>
            <w:pPr>
              <w:ind w:lef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11,467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29"/>
        </w:trPr>
        <w:tc>
          <w:tcPr>
            <w:tcW w:w="1360" w:type="dxa"/>
            <w:vAlign w:val="bottom"/>
          </w:tcPr>
          <w:p>
            <w:pPr>
              <w:ind w:left="20"/>
              <w:spacing w:after="0"/>
              <w:rPr>
                <w:sz w:val="20"/>
                <w:szCs w:val="20"/>
                <w:color w:val="auto"/>
              </w:rPr>
            </w:pPr>
            <w:r>
              <w:rPr>
                <w:rFonts w:ascii="Arial" w:cs="Arial" w:eastAsia="Arial" w:hAnsi="Arial"/>
                <w:sz w:val="18"/>
                <w:szCs w:val="18"/>
                <w:color w:val="auto"/>
              </w:rPr>
              <w:t>income</w:t>
            </w: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13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Balance at June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0" w:type="dxa"/>
            <w:vAlign w:val="bottom"/>
            <w:tcBorders>
              <w:right w:val="single" w:sz="8" w:color="CCEEFF"/>
            </w:tcBorders>
            <w:gridSpan w:val="2"/>
            <w:vMerge w:val="restart"/>
            <w:shd w:val="clear" w:color="auto" w:fill="CCEEFF"/>
          </w:tcPr>
          <w:p>
            <w:pPr>
              <w:jc w:val="right"/>
              <w:ind w:right="5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293,974</w:t>
            </w:r>
          </w:p>
        </w:tc>
        <w:tc>
          <w:tcPr>
            <w:tcW w:w="20" w:type="dxa"/>
            <w:vAlign w:val="bottom"/>
            <w:shd w:val="clear" w:color="auto" w:fill="000000"/>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150,279</w:t>
            </w:r>
          </w:p>
        </w:tc>
        <w:tc>
          <w:tcPr>
            <w:tcW w:w="3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401,614</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(302,863)</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11,467</w:t>
            </w:r>
          </w:p>
        </w:tc>
        <w:tc>
          <w:tcPr>
            <w:tcW w:w="30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110,368</w:t>
            </w:r>
          </w:p>
        </w:tc>
        <w:tc>
          <w:tcPr>
            <w:tcW w:w="0" w:type="dxa"/>
            <w:vAlign w:val="bottom"/>
          </w:tcPr>
          <w:p>
            <w:pPr>
              <w:spacing w:after="0"/>
              <w:rPr>
                <w:sz w:val="1"/>
                <w:szCs w:val="1"/>
                <w:color w:val="auto"/>
              </w:rPr>
            </w:pPr>
          </w:p>
        </w:tc>
      </w:tr>
      <w:tr>
        <w:trPr>
          <w:trHeight w:val="222"/>
        </w:trPr>
        <w:tc>
          <w:tcPr>
            <w:tcW w:w="13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30, 2022</w:t>
            </w:r>
          </w:p>
        </w:tc>
        <w:tc>
          <w:tcPr>
            <w:tcW w:w="640" w:type="dxa"/>
            <w:vAlign w:val="bottom"/>
            <w:vMerge w:val="continue"/>
            <w:shd w:val="clear" w:color="auto" w:fill="CCEEFF"/>
          </w:tcPr>
          <w:p>
            <w:pPr>
              <w:spacing w:after="0"/>
              <w:rPr>
                <w:sz w:val="19"/>
                <w:szCs w:val="19"/>
                <w:color w:val="auto"/>
              </w:rPr>
            </w:pPr>
          </w:p>
        </w:tc>
        <w:tc>
          <w:tcPr>
            <w:tcW w:w="1000" w:type="dxa"/>
            <w:vAlign w:val="bottom"/>
            <w:tcBorders>
              <w:right w:val="single" w:sz="8" w:color="CCEEFF"/>
            </w:tcBorders>
            <w:gridSpan w:val="2"/>
            <w:vMerge w:val="continue"/>
            <w:shd w:val="clear" w:color="auto" w:fill="CCEEFF"/>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1" w:name="page12"/>
    <w:bookmarkEnd w:id="11"/>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580"/>
        <w:spacing w:after="0"/>
        <w:rPr>
          <w:sz w:val="20"/>
          <w:szCs w:val="20"/>
          <w:color w:val="auto"/>
        </w:rPr>
      </w:pPr>
      <w:r>
        <w:rPr>
          <w:rFonts w:ascii="Arial" w:cs="Arial" w:eastAsia="Arial" w:hAnsi="Arial"/>
          <w:sz w:val="19"/>
          <w:szCs w:val="19"/>
          <w:b w:val="1"/>
          <w:bCs w:val="1"/>
          <w:color w:val="auto"/>
        </w:rPr>
        <w:t xml:space="preserve">Condensed Consolidated Statements of Cash Flows </w:t>
      </w:r>
      <w:r>
        <w:rPr>
          <w:rFonts w:ascii="Arial" w:cs="Arial" w:eastAsia="Arial" w:hAnsi="Arial"/>
          <w:sz w:val="19"/>
          <w:szCs w:val="19"/>
          <w:b w:val="1"/>
          <w:bCs w:val="1"/>
          <w:i w:val="1"/>
          <w:i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(in thousands)</w:t>
      </w:r>
    </w:p>
    <w:p>
      <w:pPr>
        <w:sectPr>
          <w:pgSz w:w="11900" w:h="16838" w:orient="portrait"/>
          <w:cols w:equalWidth="0" w:num="1">
            <w:col w:w="11200"/>
          </w:cols>
          <w:pgMar w:left="340" w:top="59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15175" cy="179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Net income (loss)</w:t>
      </w:r>
      <w:r>
        <w:rPr>
          <w:sz w:val="20"/>
          <w:szCs w:val="20"/>
          <w:color w:val="auto"/>
        </w:rPr>
        <w:tab/>
      </w:r>
      <w:r>
        <w:rPr>
          <w:rFonts w:ascii="Arial" w:cs="Arial" w:eastAsia="Arial" w:hAnsi="Arial"/>
          <w:sz w:val="20"/>
          <w:szCs w:val="20"/>
          <w:color w:val="auto"/>
        </w:rPr>
        <w: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color w:val="auto"/>
        </w:rPr>
        <w:t>Adjustments to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Provision for bad debts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Deferred tax expense</w:t>
      </w:r>
    </w:p>
    <w:p>
      <w:pPr>
        <w:spacing w:after="0" w:line="4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40" w:right="1980"/>
        <w:spacing w:after="0" w:line="274" w:lineRule="auto"/>
        <w:rPr>
          <w:sz w:val="20"/>
          <w:szCs w:val="20"/>
          <w:color w:val="auto"/>
        </w:rPr>
      </w:pPr>
      <w:r>
        <w:rPr>
          <w:rFonts w:ascii="Arial" w:cs="Arial" w:eastAsia="Arial" w:hAnsi="Arial"/>
          <w:sz w:val="20"/>
          <w:szCs w:val="20"/>
          <w:color w:val="auto"/>
        </w:rPr>
        <w:t>Amortization of debt discount and issuance costs Equity-based compensation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Arial" w:cs="Arial" w:eastAsia="Arial" w:hAnsi="Arial"/>
          <w:sz w:val="20"/>
          <w:szCs w:val="20"/>
          <w:color w:val="auto"/>
        </w:rPr>
        <w:t>Warranty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Write-down of inventories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Change in fair value of derivative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Changes in operating assets and liabilities, net of business acquisition:</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Inventories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Income tax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7115175" cy="1803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80340"/>
                    </a:xfrm>
                    <a:prstGeom prst="rect">
                      <a:avLst/>
                    </a:prstGeom>
                    <a:noFill/>
                  </pic:spPr>
                </pic:pic>
              </a:graphicData>
            </a:graphic>
          </wp:anchor>
        </w:drawing>
      </w:r>
    </w:p>
    <w:p>
      <w:pPr>
        <w:spacing w:after="0" w:line="20" w:lineRule="exact"/>
        <w:rPr>
          <w:sz w:val="20"/>
          <w:szCs w:val="20"/>
          <w:color w:val="auto"/>
        </w:rPr>
      </w:pPr>
    </w:p>
    <w:p>
      <w:pPr>
        <w:ind w:left="440"/>
        <w:spacing w:after="0"/>
        <w:rPr>
          <w:sz w:val="20"/>
          <w:szCs w:val="20"/>
          <w:color w:val="auto"/>
        </w:rPr>
      </w:pPr>
      <w:r>
        <w:rPr>
          <w:rFonts w:ascii="Arial" w:cs="Arial" w:eastAsia="Arial" w:hAnsi="Arial"/>
          <w:sz w:val="20"/>
          <w:szCs w:val="20"/>
          <w:color w:val="auto"/>
        </w:rPr>
        <w:t>Prepaid expenses and other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Accrued expenses and other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Income tax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Lease liabilities</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20"/>
          <w:szCs w:val="20"/>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provided by (used in) operating activities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7115175"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Purchase of property, plant and equipment</w:t>
      </w:r>
    </w:p>
    <w:p>
      <w:pPr>
        <w:spacing w:after="0" w:line="5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Acquisition of STI,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used in investing activities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Financing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920"/>
        <w:spacing w:after="0"/>
        <w:rPr>
          <w:sz w:val="20"/>
          <w:szCs w:val="20"/>
          <w:color w:val="auto"/>
        </w:rPr>
      </w:pPr>
      <w:r>
        <w:rPr>
          <w:rFonts w:ascii="Arial" w:cs="Arial" w:eastAsia="Arial" w:hAnsi="Arial"/>
          <w:sz w:val="20"/>
          <w:szCs w:val="20"/>
          <w:b w:val="1"/>
          <w:bCs w:val="1"/>
          <w:color w:val="auto"/>
        </w:rPr>
        <w:t>Six Months Ended</w:t>
      </w:r>
    </w:p>
    <w:p>
      <w:pPr>
        <w:jc w:val="center"/>
        <w:ind w:right="92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1905</wp:posOffset>
            </wp:positionV>
            <wp:extent cx="29832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spacing w:after="0"/>
        <w:tabs>
          <w:tab w:leader="none" w:pos="2380" w:val="left"/>
        </w:tabs>
        <w:rPr>
          <w:sz w:val="20"/>
          <w:szCs w:val="20"/>
          <w:color w:val="auto"/>
        </w:rPr>
      </w:pPr>
      <w:r>
        <w:rPr>
          <w:rFonts w:ascii="Arial" w:cs="Arial" w:eastAsia="Arial" w:hAnsi="Arial"/>
          <w:sz w:val="20"/>
          <w:szCs w:val="20"/>
          <w:b w:val="1"/>
          <w:bCs w:val="1"/>
          <w:color w:val="auto"/>
        </w:rPr>
        <w:t>2023</w:t>
      </w:r>
      <w:r>
        <w:rPr>
          <w:sz w:val="20"/>
          <w:szCs w:val="20"/>
          <w:color w:val="auto"/>
        </w:rPr>
        <w:tab/>
      </w:r>
      <w:r>
        <w:rPr>
          <w:rFonts w:ascii="Arial" w:cs="Arial" w:eastAsia="Arial" w:hAnsi="Arial"/>
          <w:sz w:val="20"/>
          <w:szCs w:val="20"/>
          <w:b w:val="1"/>
          <w:bCs w:val="1"/>
          <w:color w:val="auto"/>
        </w:rPr>
        <w:t>2022</w:t>
      </w:r>
    </w:p>
    <w:p>
      <w:pPr>
        <w:spacing w:after="0" w:line="299" w:lineRule="exact"/>
        <w:rPr>
          <w:sz w:val="20"/>
          <w:szCs w:val="20"/>
          <w:color w:val="auto"/>
        </w:rPr>
      </w:pPr>
    </w:p>
    <w:tbl>
      <w:tblPr>
        <w:tblLayout w:type="fixed"/>
        <w:tblInd w:w="600" w:type="dxa"/>
        <w:tblCellMar>
          <w:top w:w="0" w:type="dxa"/>
          <w:left w:w="0" w:type="dxa"/>
          <w:bottom w:w="0" w:type="dxa"/>
          <w:right w:w="0" w:type="dxa"/>
        </w:tblCellMar>
      </w:tblPr>
      <w:tr>
        <w:trPr>
          <w:trHeight w:val="251"/>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90,940</w:t>
            </w:r>
          </w:p>
        </w:tc>
        <w:tc>
          <w:tcPr>
            <w:tcW w:w="760" w:type="dxa"/>
            <w:vAlign w:val="bottom"/>
          </w:tcPr>
          <w:p>
            <w:pPr>
              <w:jc w:val="right"/>
              <w:ind w:right="541"/>
              <w:spacing w:after="0"/>
              <w:rPr>
                <w:sz w:val="20"/>
                <w:szCs w:val="20"/>
                <w:color w:val="auto"/>
              </w:rPr>
            </w:pPr>
            <w:r>
              <w:rPr>
                <w:rFonts w:ascii="Arial" w:cs="Arial" w:eastAsia="Arial" w:hAnsi="Arial"/>
                <w:sz w:val="20"/>
                <w:szCs w:val="20"/>
                <w:color w:val="auto"/>
                <w:w w:val="89"/>
              </w:rPr>
              <w:t>$</w:t>
            </w:r>
          </w:p>
        </w:tc>
        <w:tc>
          <w:tcPr>
            <w:tcW w:w="1520" w:type="dxa"/>
            <w:vAlign w:val="bottom"/>
          </w:tcPr>
          <w:p>
            <w:pPr>
              <w:jc w:val="right"/>
              <w:spacing w:after="0"/>
              <w:rPr>
                <w:sz w:val="20"/>
                <w:szCs w:val="20"/>
                <w:color w:val="auto"/>
              </w:rPr>
            </w:pPr>
            <w:r>
              <w:rPr>
                <w:rFonts w:ascii="Arial" w:cs="Arial" w:eastAsia="Arial" w:hAnsi="Arial"/>
                <w:sz w:val="20"/>
                <w:szCs w:val="20"/>
                <w:color w:val="auto"/>
              </w:rPr>
              <w:t>(30,961)</w:t>
            </w:r>
          </w:p>
        </w:tc>
      </w:tr>
      <w:tr>
        <w:trPr>
          <w:trHeight w:val="540"/>
        </w:trPr>
        <w:tc>
          <w:tcPr>
            <w:tcW w:w="880" w:type="dxa"/>
            <w:vAlign w:val="bottom"/>
          </w:tcPr>
          <w:p>
            <w:pPr>
              <w:jc w:val="right"/>
              <w:ind w:right="41"/>
              <w:spacing w:after="0"/>
              <w:rPr>
                <w:sz w:val="20"/>
                <w:szCs w:val="20"/>
                <w:color w:val="auto"/>
              </w:rPr>
            </w:pPr>
            <w:r>
              <w:rPr>
                <w:rFonts w:ascii="Arial" w:cs="Arial" w:eastAsia="Arial" w:hAnsi="Arial"/>
                <w:sz w:val="20"/>
                <w:szCs w:val="20"/>
                <w:color w:val="auto"/>
              </w:rPr>
              <w:t>(141)</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510</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816</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(23,910)</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27,692</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49,795</w:t>
            </w:r>
          </w:p>
        </w:tc>
      </w:tr>
      <w:tr>
        <w:trPr>
          <w:trHeight w:val="270"/>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4,998</w:t>
            </w:r>
          </w:p>
        </w:tc>
        <w:tc>
          <w:tcPr>
            <w:tcW w:w="7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3,286</w:t>
            </w:r>
          </w:p>
        </w:tc>
      </w:tr>
      <w:tr>
        <w:trPr>
          <w:trHeight w:val="257"/>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8,311</w:t>
            </w:r>
          </w:p>
        </w:tc>
        <w:tc>
          <w:tcPr>
            <w:tcW w:w="7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7,472</w:t>
            </w:r>
          </w:p>
        </w:tc>
      </w:tr>
      <w:tr>
        <w:trPr>
          <w:trHeight w:val="257"/>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2,043</w:t>
            </w:r>
          </w:p>
        </w:tc>
        <w:tc>
          <w:tcPr>
            <w:tcW w:w="7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(5,409)</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479</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1,215</w:t>
            </w:r>
          </w:p>
        </w:tc>
      </w:tr>
      <w:tr>
        <w:trPr>
          <w:trHeight w:val="270"/>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3,458</w:t>
            </w:r>
          </w:p>
        </w:tc>
        <w:tc>
          <w:tcPr>
            <w:tcW w:w="7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409</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1,256</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567"/>
        </w:trPr>
        <w:tc>
          <w:tcPr>
            <w:tcW w:w="880" w:type="dxa"/>
            <w:vAlign w:val="bottom"/>
          </w:tcPr>
          <w:p>
            <w:pPr>
              <w:jc w:val="right"/>
              <w:ind w:right="41"/>
              <w:spacing w:after="0"/>
              <w:rPr>
                <w:sz w:val="20"/>
                <w:szCs w:val="20"/>
                <w:color w:val="auto"/>
              </w:rPr>
            </w:pPr>
            <w:r>
              <w:rPr>
                <w:rFonts w:ascii="Arial" w:cs="Arial" w:eastAsia="Arial" w:hAnsi="Arial"/>
                <w:sz w:val="20"/>
                <w:szCs w:val="20"/>
                <w:color w:val="auto"/>
                <w:w w:val="96"/>
              </w:rPr>
              <w:t>(81,039)</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(106,548)</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22,844</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(77,191)</w:t>
            </w:r>
          </w:p>
        </w:tc>
      </w:tr>
      <w:tr>
        <w:trPr>
          <w:trHeight w:val="284"/>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3,220</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(7,062)</w:t>
            </w:r>
          </w:p>
        </w:tc>
      </w:tr>
      <w:tr>
        <w:trPr>
          <w:trHeight w:val="283"/>
        </w:trPr>
        <w:tc>
          <w:tcPr>
            <w:tcW w:w="880" w:type="dxa"/>
            <w:vAlign w:val="bottom"/>
          </w:tcPr>
          <w:p>
            <w:pPr>
              <w:jc w:val="right"/>
              <w:ind w:right="41"/>
              <w:spacing w:after="0"/>
              <w:rPr>
                <w:sz w:val="20"/>
                <w:szCs w:val="20"/>
                <w:color w:val="auto"/>
              </w:rPr>
            </w:pPr>
            <w:r>
              <w:rPr>
                <w:rFonts w:ascii="Arial" w:cs="Arial" w:eastAsia="Arial" w:hAnsi="Arial"/>
                <w:sz w:val="20"/>
                <w:szCs w:val="20"/>
                <w:color w:val="auto"/>
              </w:rPr>
              <w:t>(3,292)</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5,015</w:t>
            </w:r>
          </w:p>
        </w:tc>
      </w:tr>
      <w:tr>
        <w:trPr>
          <w:trHeight w:val="270"/>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30,542</w:t>
            </w:r>
          </w:p>
        </w:tc>
        <w:tc>
          <w:tcPr>
            <w:tcW w:w="7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74,513</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7,097</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3,356</w:t>
            </w:r>
          </w:p>
        </w:tc>
      </w:tr>
      <w:tr>
        <w:trPr>
          <w:trHeight w:val="284"/>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9,830</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(7,217)</w:t>
            </w:r>
          </w:p>
        </w:tc>
      </w:tr>
      <w:tr>
        <w:trPr>
          <w:trHeight w:val="283"/>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1,414</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4,700</w:t>
            </w:r>
          </w:p>
        </w:tc>
      </w:tr>
      <w:tr>
        <w:trPr>
          <w:trHeight w:val="275"/>
        </w:trPr>
        <w:tc>
          <w:tcPr>
            <w:tcW w:w="880" w:type="dxa"/>
            <w:vAlign w:val="bottom"/>
          </w:tcPr>
          <w:p>
            <w:pPr>
              <w:jc w:val="right"/>
              <w:ind w:right="41"/>
              <w:spacing w:after="0"/>
              <w:rPr>
                <w:sz w:val="20"/>
                <w:szCs w:val="20"/>
                <w:color w:val="auto"/>
              </w:rPr>
            </w:pPr>
            <w:r>
              <w:rPr>
                <w:rFonts w:ascii="Arial" w:cs="Arial" w:eastAsia="Arial" w:hAnsi="Arial"/>
                <w:sz w:val="20"/>
                <w:szCs w:val="20"/>
                <w:color w:val="auto"/>
                <w:w w:val="96"/>
              </w:rPr>
              <w:t>(64,112)</w:t>
            </w:r>
          </w:p>
        </w:tc>
        <w:tc>
          <w:tcPr>
            <w:tcW w:w="7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47,263</w:t>
            </w:r>
          </w:p>
        </w:tc>
      </w:tr>
      <w:tr>
        <w:trPr>
          <w:trHeight w:val="264"/>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66,356</w:t>
            </w:r>
          </w:p>
        </w:tc>
        <w:tc>
          <w:tcPr>
            <w:tcW w:w="7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(60,764)</w:t>
            </w:r>
          </w:p>
        </w:tc>
      </w:tr>
      <w:tr>
        <w:trPr>
          <w:trHeight w:val="542"/>
        </w:trPr>
        <w:tc>
          <w:tcPr>
            <w:tcW w:w="880" w:type="dxa"/>
            <w:vAlign w:val="bottom"/>
          </w:tcPr>
          <w:p>
            <w:pPr>
              <w:jc w:val="right"/>
              <w:ind w:right="41"/>
              <w:spacing w:after="0"/>
              <w:rPr>
                <w:sz w:val="20"/>
                <w:szCs w:val="20"/>
                <w:color w:val="auto"/>
              </w:rPr>
            </w:pPr>
            <w:r>
              <w:rPr>
                <w:rFonts w:ascii="Arial" w:cs="Arial" w:eastAsia="Arial" w:hAnsi="Arial"/>
                <w:sz w:val="20"/>
                <w:szCs w:val="20"/>
                <w:color w:val="auto"/>
              </w:rPr>
              <w:t>(9,424)</w:t>
            </w:r>
          </w:p>
        </w:tc>
        <w:tc>
          <w:tcPr>
            <w:tcW w:w="7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(3,895)</w:t>
            </w:r>
          </w:p>
        </w:tc>
      </w:tr>
      <w:tr>
        <w:trPr>
          <w:trHeight w:val="288"/>
        </w:trPr>
        <w:tc>
          <w:tcPr>
            <w:tcW w:w="880" w:type="dxa"/>
            <w:vAlign w:val="bottom"/>
          </w:tcPr>
          <w:p>
            <w:pPr>
              <w:jc w:val="right"/>
              <w:ind w:right="81"/>
              <w:spacing w:after="0"/>
              <w:rPr>
                <w:sz w:val="20"/>
                <w:szCs w:val="20"/>
                <w:color w:val="auto"/>
              </w:rPr>
            </w:pPr>
            <w:r>
              <w:rPr>
                <w:rFonts w:ascii="Arial" w:cs="Arial" w:eastAsia="Arial" w:hAnsi="Arial"/>
                <w:sz w:val="20"/>
                <w:szCs w:val="20"/>
                <w:color w:val="auto"/>
              </w:rPr>
              <w:t>—</w:t>
            </w: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(373,818)</w:t>
            </w:r>
          </w:p>
        </w:tc>
      </w:tr>
      <w:tr>
        <w:trPr>
          <w:trHeight w:val="255"/>
        </w:trPr>
        <w:tc>
          <w:tcPr>
            <w:tcW w:w="880" w:type="dxa"/>
            <w:vAlign w:val="bottom"/>
          </w:tcPr>
          <w:p>
            <w:pPr>
              <w:jc w:val="right"/>
              <w:ind w:right="41"/>
              <w:spacing w:after="0"/>
              <w:rPr>
                <w:sz w:val="20"/>
                <w:szCs w:val="20"/>
                <w:color w:val="auto"/>
              </w:rPr>
            </w:pPr>
            <w:r>
              <w:rPr>
                <w:rFonts w:ascii="Arial" w:cs="Arial" w:eastAsia="Arial" w:hAnsi="Arial"/>
                <w:sz w:val="20"/>
                <w:szCs w:val="20"/>
                <w:color w:val="auto"/>
              </w:rPr>
              <w:t>(9,424)</w:t>
            </w:r>
          </w:p>
        </w:tc>
        <w:tc>
          <w:tcPr>
            <w:tcW w:w="7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(377,713)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-899795</wp:posOffset>
            </wp:positionV>
            <wp:extent cx="1465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-591185</wp:posOffset>
            </wp:positionH>
            <wp:positionV relativeFrom="paragraph">
              <wp:posOffset>-719455</wp:posOffset>
            </wp:positionV>
            <wp:extent cx="1465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6720" w:space="720"/>
            <w:col w:w="3760"/>
          </w:cols>
          <w:pgMar w:left="340" w:top="598" w:right="35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65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Proceeds from Series A issuance</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33,098</w:t>
            </w:r>
          </w:p>
        </w:tc>
      </w:tr>
      <w:tr>
        <w:trPr>
          <w:trHeight w:val="270"/>
        </w:trPr>
        <w:tc>
          <w:tcPr>
            <w:tcW w:w="6500" w:type="dxa"/>
            <w:vAlign w:val="bottom"/>
          </w:tcPr>
          <w:p>
            <w:pPr>
              <w:ind w:left="220"/>
              <w:spacing w:after="0"/>
              <w:rPr>
                <w:sz w:val="20"/>
                <w:szCs w:val="20"/>
                <w:color w:val="auto"/>
              </w:rPr>
            </w:pPr>
            <w:r>
              <w:rPr>
                <w:rFonts w:ascii="Arial" w:cs="Arial" w:eastAsia="Arial" w:hAnsi="Arial"/>
                <w:sz w:val="20"/>
                <w:szCs w:val="20"/>
                <w:color w:val="auto"/>
              </w:rPr>
              <w:t>Proceeds from common stock issuance</w:t>
            </w:r>
          </w:p>
        </w:tc>
        <w:tc>
          <w:tcPr>
            <w:tcW w:w="2320" w:type="dxa"/>
            <w:vAlign w:val="bottom"/>
          </w:tcPr>
          <w:p>
            <w:pPr>
              <w:jc w:val="right"/>
              <w:spacing w:after="0"/>
              <w:rPr>
                <w:sz w:val="20"/>
                <w:szCs w:val="20"/>
                <w:color w:val="auto"/>
              </w:rPr>
            </w:pPr>
            <w:r>
              <w:rPr>
                <w:rFonts w:ascii="Arial" w:cs="Arial" w:eastAsia="Arial" w:hAnsi="Arial"/>
                <w:sz w:val="20"/>
                <w:szCs w:val="20"/>
                <w:color w:val="auto"/>
              </w:rPr>
              <w:t>—</w:t>
            </w:r>
          </w:p>
        </w:tc>
        <w:tc>
          <w:tcPr>
            <w:tcW w:w="2380" w:type="dxa"/>
            <w:vAlign w:val="bottom"/>
            <w:gridSpan w:val="2"/>
          </w:tcPr>
          <w:p>
            <w:pPr>
              <w:jc w:val="right"/>
              <w:spacing w:after="0"/>
              <w:rPr>
                <w:sz w:val="20"/>
                <w:szCs w:val="20"/>
                <w:color w:val="auto"/>
              </w:rPr>
            </w:pPr>
            <w:r>
              <w:rPr>
                <w:rFonts w:ascii="Arial" w:cs="Arial" w:eastAsia="Arial" w:hAnsi="Arial"/>
                <w:sz w:val="20"/>
                <w:szCs w:val="20"/>
                <w:color w:val="auto"/>
              </w:rPr>
              <w:t>15,885</w:t>
            </w:r>
          </w:p>
        </w:tc>
      </w:tr>
      <w:tr>
        <w:trPr>
          <w:trHeight w:val="283"/>
        </w:trPr>
        <w:tc>
          <w:tcPr>
            <w:tcW w:w="65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Series A equity issuance costs</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(1,508)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(575)</w:t>
            </w:r>
          </w:p>
        </w:tc>
      </w:tr>
      <w:tr>
        <w:trPr>
          <w:trHeight w:val="284"/>
        </w:trPr>
        <w:tc>
          <w:tcPr>
            <w:tcW w:w="6500" w:type="dxa"/>
            <w:vAlign w:val="bottom"/>
          </w:tcPr>
          <w:p>
            <w:pPr>
              <w:ind w:left="220"/>
              <w:spacing w:after="0"/>
              <w:rPr>
                <w:sz w:val="20"/>
                <w:szCs w:val="20"/>
                <w:color w:val="auto"/>
              </w:rPr>
            </w:pPr>
            <w:r>
              <w:rPr>
                <w:rFonts w:ascii="Arial" w:cs="Arial" w:eastAsia="Arial" w:hAnsi="Arial"/>
                <w:sz w:val="20"/>
                <w:szCs w:val="20"/>
                <w:color w:val="auto"/>
              </w:rPr>
              <w:t>Common stock issuance costs</w:t>
            </w:r>
          </w:p>
        </w:tc>
        <w:tc>
          <w:tcPr>
            <w:tcW w:w="2320" w:type="dxa"/>
            <w:vAlign w:val="bottom"/>
          </w:tcPr>
          <w:p>
            <w:pPr>
              <w:jc w:val="right"/>
              <w:spacing w:after="0"/>
              <w:rPr>
                <w:sz w:val="20"/>
                <w:szCs w:val="20"/>
                <w:color w:val="auto"/>
              </w:rPr>
            </w:pPr>
            <w:r>
              <w:rPr>
                <w:rFonts w:ascii="Arial" w:cs="Arial" w:eastAsia="Arial" w:hAnsi="Arial"/>
                <w:sz w:val="20"/>
                <w:szCs w:val="20"/>
                <w:color w:val="auto"/>
              </w:rPr>
              <w:t>—</w:t>
            </w:r>
          </w:p>
        </w:tc>
        <w:tc>
          <w:tcPr>
            <w:tcW w:w="2380" w:type="dxa"/>
            <w:vAlign w:val="bottom"/>
            <w:gridSpan w:val="2"/>
          </w:tcPr>
          <w:p>
            <w:pPr>
              <w:jc w:val="right"/>
              <w:spacing w:after="0"/>
              <w:rPr>
                <w:sz w:val="20"/>
                <w:szCs w:val="20"/>
                <w:color w:val="auto"/>
              </w:rPr>
            </w:pPr>
            <w:r>
              <w:rPr>
                <w:rFonts w:ascii="Arial" w:cs="Arial" w:eastAsia="Arial" w:hAnsi="Arial"/>
                <w:sz w:val="20"/>
                <w:szCs w:val="20"/>
                <w:color w:val="auto"/>
              </w:rPr>
              <w:t>(450)</w:t>
            </w:r>
          </w:p>
        </w:tc>
      </w:tr>
      <w:tr>
        <w:trPr>
          <w:trHeight w:val="283"/>
        </w:trPr>
        <w:tc>
          <w:tcPr>
            <w:tcW w:w="65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Payments on revolving credit facility</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(33,000)</w:t>
            </w:r>
          </w:p>
        </w:tc>
      </w:tr>
      <w:tr>
        <w:trPr>
          <w:trHeight w:val="279"/>
        </w:trPr>
        <w:tc>
          <w:tcPr>
            <w:tcW w:w="6500" w:type="dxa"/>
            <w:vAlign w:val="bottom"/>
          </w:tcPr>
          <w:p>
            <w:pPr>
              <w:ind w:left="220"/>
              <w:spacing w:after="0"/>
              <w:rPr>
                <w:sz w:val="20"/>
                <w:szCs w:val="20"/>
                <w:color w:val="auto"/>
              </w:rPr>
            </w:pPr>
            <w:r>
              <w:rPr>
                <w:rFonts w:ascii="Arial" w:cs="Arial" w:eastAsia="Arial" w:hAnsi="Arial"/>
                <w:sz w:val="20"/>
                <w:szCs w:val="20"/>
                <w:color w:val="auto"/>
              </w:rPr>
              <w:t>Proceeds from revolving credit facility</w:t>
            </w:r>
          </w:p>
        </w:tc>
        <w:tc>
          <w:tcPr>
            <w:tcW w:w="2320" w:type="dxa"/>
            <w:vAlign w:val="bottom"/>
          </w:tcPr>
          <w:p>
            <w:pPr>
              <w:jc w:val="right"/>
              <w:spacing w:after="0"/>
              <w:rPr>
                <w:sz w:val="20"/>
                <w:szCs w:val="20"/>
                <w:color w:val="auto"/>
              </w:rPr>
            </w:pPr>
            <w:r>
              <w:rPr>
                <w:rFonts w:ascii="Arial" w:cs="Arial" w:eastAsia="Arial" w:hAnsi="Arial"/>
                <w:sz w:val="20"/>
                <w:szCs w:val="20"/>
                <w:color w:val="auto"/>
              </w:rPr>
              <w:t>—</w:t>
            </w:r>
          </w:p>
        </w:tc>
        <w:tc>
          <w:tcPr>
            <w:tcW w:w="2380" w:type="dxa"/>
            <w:vAlign w:val="bottom"/>
            <w:gridSpan w:val="2"/>
          </w:tcPr>
          <w:p>
            <w:pPr>
              <w:jc w:val="right"/>
              <w:spacing w:after="0"/>
              <w:rPr>
                <w:sz w:val="20"/>
                <w:szCs w:val="20"/>
                <w:color w:val="auto"/>
              </w:rPr>
            </w:pPr>
            <w:r>
              <w:rPr>
                <w:rFonts w:ascii="Arial" w:cs="Arial" w:eastAsia="Arial" w:hAnsi="Arial"/>
                <w:sz w:val="20"/>
                <w:szCs w:val="20"/>
                <w:color w:val="auto"/>
              </w:rPr>
              <w:t>101,000</w:t>
            </w:r>
          </w:p>
        </w:tc>
      </w:tr>
      <w:tr>
        <w:trPr>
          <w:trHeight w:val="288"/>
        </w:trPr>
        <w:tc>
          <w:tcPr>
            <w:tcW w:w="65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Proceeds from issuance of other debt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23,801</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30,599</w:t>
            </w:r>
          </w:p>
        </w:tc>
      </w:tr>
      <w:tr>
        <w:trPr>
          <w:trHeight w:val="279"/>
        </w:trPr>
        <w:tc>
          <w:tcPr>
            <w:tcW w:w="6500" w:type="dxa"/>
            <w:vAlign w:val="bottom"/>
          </w:tcPr>
          <w:p>
            <w:pPr>
              <w:ind w:left="220"/>
              <w:spacing w:after="0"/>
              <w:rPr>
                <w:sz w:val="20"/>
                <w:szCs w:val="20"/>
                <w:color w:val="auto"/>
              </w:rPr>
            </w:pPr>
            <w:r>
              <w:rPr>
                <w:rFonts w:ascii="Arial" w:cs="Arial" w:eastAsia="Arial" w:hAnsi="Arial"/>
                <w:sz w:val="20"/>
                <w:szCs w:val="20"/>
                <w:color w:val="auto"/>
              </w:rPr>
              <w:t>Principal payments on term loan facility</w:t>
            </w:r>
          </w:p>
        </w:tc>
        <w:tc>
          <w:tcPr>
            <w:tcW w:w="2320" w:type="dxa"/>
            <w:vAlign w:val="bottom"/>
          </w:tcPr>
          <w:p>
            <w:pPr>
              <w:jc w:val="right"/>
              <w:spacing w:after="0"/>
              <w:rPr>
                <w:sz w:val="20"/>
                <w:szCs w:val="20"/>
                <w:color w:val="auto"/>
              </w:rPr>
            </w:pPr>
            <w:r>
              <w:rPr>
                <w:rFonts w:ascii="Arial" w:cs="Arial" w:eastAsia="Arial" w:hAnsi="Arial"/>
                <w:sz w:val="20"/>
                <w:szCs w:val="20"/>
                <w:color w:val="auto"/>
              </w:rPr>
              <w:t>(22,150)</w:t>
            </w:r>
          </w:p>
        </w:tc>
        <w:tc>
          <w:tcPr>
            <w:tcW w:w="100" w:type="dxa"/>
            <w:vAlign w:val="bottom"/>
          </w:tcPr>
          <w:p>
            <w:pPr>
              <w:spacing w:after="0"/>
              <w:rPr>
                <w:sz w:val="24"/>
                <w:szCs w:val="24"/>
                <w:color w:val="auto"/>
              </w:rPr>
            </w:pPr>
          </w:p>
        </w:tc>
        <w:tc>
          <w:tcPr>
            <w:tcW w:w="2280" w:type="dxa"/>
            <w:vAlign w:val="bottom"/>
          </w:tcPr>
          <w:p>
            <w:pPr>
              <w:jc w:val="right"/>
              <w:spacing w:after="0"/>
              <w:rPr>
                <w:sz w:val="20"/>
                <w:szCs w:val="20"/>
                <w:color w:val="auto"/>
              </w:rPr>
            </w:pPr>
            <w:r>
              <w:rPr>
                <w:rFonts w:ascii="Arial" w:cs="Arial" w:eastAsia="Arial" w:hAnsi="Arial"/>
                <w:sz w:val="20"/>
                <w:szCs w:val="20"/>
                <w:color w:val="auto"/>
              </w:rPr>
              <w:t>—</w:t>
            </w:r>
          </w:p>
        </w:tc>
      </w:tr>
      <w:tr>
        <w:trPr>
          <w:trHeight w:val="275"/>
        </w:trPr>
        <w:tc>
          <w:tcPr>
            <w:tcW w:w="6500" w:type="dxa"/>
            <w:vAlign w:val="bottom"/>
            <w:shd w:val="clear" w:color="auto" w:fill="CCEEFF"/>
          </w:tcPr>
          <w:p>
            <w:pPr>
              <w:ind w:left="220"/>
              <w:spacing w:after="0"/>
              <w:rPr>
                <w:sz w:val="20"/>
                <w:szCs w:val="20"/>
                <w:color w:val="auto"/>
              </w:rPr>
            </w:pPr>
            <w:r>
              <w:rPr>
                <w:rFonts w:ascii="Arial" w:cs="Arial" w:eastAsia="Arial" w:hAnsi="Arial"/>
                <w:sz w:val="20"/>
                <w:szCs w:val="20"/>
                <w:color w:val="auto"/>
              </w:rPr>
              <w:t>Principal payments on other debt</w:t>
            </w:r>
          </w:p>
        </w:tc>
        <w:tc>
          <w:tcPr>
            <w:tcW w:w="2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(38,257)</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(22,377)</w:t>
            </w:r>
          </w:p>
        </w:tc>
      </w:tr>
      <w:tr>
        <w:trPr>
          <w:trHeight w:val="279"/>
        </w:trPr>
        <w:tc>
          <w:tcPr>
            <w:tcW w:w="6500" w:type="dxa"/>
            <w:vAlign w:val="bottom"/>
          </w:tcPr>
          <w:p>
            <w:pPr>
              <w:ind w:left="220"/>
              <w:spacing w:after="0"/>
              <w:rPr>
                <w:sz w:val="20"/>
                <w:szCs w:val="20"/>
                <w:color w:val="auto"/>
              </w:rPr>
            </w:pPr>
            <w:r>
              <w:rPr>
                <w:rFonts w:ascii="Arial" w:cs="Arial" w:eastAsia="Arial" w:hAnsi="Arial"/>
                <w:sz w:val="20"/>
                <w:szCs w:val="20"/>
                <w:color w:val="auto"/>
              </w:rPr>
              <w:t>Contingent consideration payments</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(1,200)</w:t>
            </w:r>
          </w:p>
        </w:tc>
        <w:tc>
          <w:tcPr>
            <w:tcW w:w="100" w:type="dxa"/>
            <w:vAlign w:val="bottom"/>
          </w:tcPr>
          <w:p>
            <w:pPr>
              <w:spacing w:after="0"/>
              <w:rPr>
                <w:sz w:val="24"/>
                <w:szCs w:val="24"/>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(1,483)</w:t>
            </w:r>
          </w:p>
        </w:tc>
      </w:tr>
    </w:tbl>
    <w:p>
      <w:pPr>
        <w:spacing w:after="0" w:line="200" w:lineRule="exact"/>
        <w:rPr>
          <w:sz w:val="20"/>
          <w:szCs w:val="20"/>
          <w:color w:val="auto"/>
        </w:rPr>
      </w:pPr>
    </w:p>
    <w:p>
      <w:pPr>
        <w:sectPr>
          <w:pgSz w:w="11900" w:h="16838" w:orient="portrait"/>
          <w:cols w:equalWidth="0" w:num="1">
            <w:col w:w="11200"/>
          </w:cols>
          <w:pgMar w:left="340" w:top="598" w:right="35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71120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type w:val="continuous"/>
        </w:sectPr>
      </w:pPr>
    </w:p>
    <w:bookmarkStart w:id="12" w:name="page13"/>
    <w:bookmarkEnd w:id="12"/>
    <w:p>
      <w:pPr>
        <w:ind w:left="4460"/>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ind w:left="2060"/>
        <w:spacing w:after="0"/>
        <w:rPr>
          <w:sz w:val="20"/>
          <w:szCs w:val="20"/>
          <w:color w:val="auto"/>
        </w:rPr>
      </w:pPr>
      <w:r>
        <w:rPr>
          <w:rFonts w:ascii="Arial" w:cs="Arial" w:eastAsia="Arial" w:hAnsi="Arial"/>
          <w:sz w:val="20"/>
          <w:szCs w:val="20"/>
          <w:b w:val="1"/>
          <w:bCs w:val="1"/>
          <w:color w:val="auto"/>
        </w:rPr>
        <w:t xml:space="preserve">Condensed Consolidated Statements of Cash Flows </w:t>
      </w:r>
      <w:r>
        <w:rPr>
          <w:rFonts w:ascii="Arial" w:cs="Arial" w:eastAsia="Arial" w:hAnsi="Arial"/>
          <w:sz w:val="20"/>
          <w:szCs w:val="20"/>
          <w:b w:val="1"/>
          <w:bCs w:val="1"/>
          <w:i w:val="1"/>
          <w:iCs w:val="1"/>
          <w:color w:val="auto"/>
        </w:rPr>
        <w:t>(unaudited)</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(continued)</w:t>
      </w:r>
    </w:p>
    <w:p>
      <w:pPr>
        <w:jc w:val="center"/>
        <w:spacing w:after="0"/>
        <w:rPr>
          <w:sz w:val="20"/>
          <w:szCs w:val="20"/>
          <w:color w:val="auto"/>
        </w:rPr>
      </w:pPr>
      <w:r>
        <w:rPr>
          <w:rFonts w:ascii="Arial" w:cs="Arial" w:eastAsia="Arial" w:hAnsi="Arial"/>
          <w:sz w:val="20"/>
          <w:szCs w:val="20"/>
          <w:i w:val="1"/>
          <w:iCs w:val="1"/>
          <w:color w:val="auto"/>
        </w:rPr>
        <w:t>(in thousands)</w:t>
      </w:r>
    </w:p>
    <w:p>
      <w:pPr>
        <w:spacing w:after="0" w:line="200" w:lineRule="exact"/>
        <w:rPr>
          <w:sz w:val="20"/>
          <w:szCs w:val="20"/>
          <w:color w:val="auto"/>
        </w:rPr>
      </w:pPr>
    </w:p>
    <w:p>
      <w:pPr>
        <w:spacing w:after="0" w:line="245" w:lineRule="exact"/>
        <w:rPr>
          <w:sz w:val="20"/>
          <w:szCs w:val="20"/>
          <w:color w:val="auto"/>
        </w:rPr>
      </w:pPr>
    </w:p>
    <w:p>
      <w:pPr>
        <w:jc w:val="center"/>
        <w:ind w:left="6500"/>
        <w:spacing w:after="0"/>
        <w:rPr>
          <w:sz w:val="20"/>
          <w:szCs w:val="20"/>
          <w:color w:val="auto"/>
        </w:rPr>
      </w:pPr>
      <w:r>
        <w:rPr>
          <w:rFonts w:ascii="Arial" w:cs="Arial" w:eastAsia="Arial" w:hAnsi="Arial"/>
          <w:sz w:val="20"/>
          <w:szCs w:val="20"/>
          <w:b w:val="1"/>
          <w:bCs w:val="1"/>
          <w:color w:val="auto"/>
        </w:rPr>
        <w:t>Six Months Ended</w:t>
      </w:r>
    </w:p>
    <w:p>
      <w:pPr>
        <w:jc w:val="center"/>
        <w:ind w:left="650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4132580</wp:posOffset>
            </wp:positionH>
            <wp:positionV relativeFrom="paragraph">
              <wp:posOffset>1905</wp:posOffset>
            </wp:positionV>
            <wp:extent cx="29832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983230" cy="8255"/>
                    </a:xfrm>
                    <a:prstGeom prst="rect">
                      <a:avLst/>
                    </a:prstGeom>
                    <a:noFill/>
                  </pic:spPr>
                </pic:pic>
              </a:graphicData>
            </a:graphic>
          </wp:anchor>
        </w:drawing>
      </w:r>
    </w:p>
    <w:p>
      <w:pPr>
        <w:spacing w:after="0" w:line="3" w:lineRule="exact"/>
        <w:rPr>
          <w:sz w:val="20"/>
          <w:szCs w:val="20"/>
          <w:color w:val="auto"/>
        </w:rPr>
      </w:pPr>
    </w:p>
    <w:p>
      <w:pPr>
        <w:jc w:val="both"/>
        <w:ind w:left="7440"/>
        <w:spacing w:after="0"/>
        <w:tabs>
          <w:tab w:leader="none" w:pos="9820" w:val="left"/>
        </w:tabs>
        <w:rPr>
          <w:sz w:val="20"/>
          <w:szCs w:val="20"/>
          <w:color w:val="auto"/>
        </w:rPr>
      </w:pPr>
      <w:r>
        <w:rPr>
          <w:rFonts w:ascii="Arial" w:cs="Arial" w:eastAsia="Arial" w:hAnsi="Arial"/>
          <w:sz w:val="20"/>
          <w:szCs w:val="20"/>
          <w:b w:val="1"/>
          <w:bCs w:val="1"/>
          <w:color w:val="auto"/>
        </w:rPr>
        <w:t>2023</w:t>
      </w:r>
      <w:r>
        <w:rPr>
          <w:sz w:val="20"/>
          <w:szCs w:val="20"/>
          <w:color w:val="auto"/>
        </w:rPr>
        <w:tab/>
      </w:r>
      <w:r>
        <w:rPr>
          <w:rFonts w:ascii="Arial" w:cs="Arial" w:eastAsia="Arial" w:hAnsi="Arial"/>
          <w:sz w:val="20"/>
          <w:szCs w:val="20"/>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12700</wp:posOffset>
            </wp:positionV>
            <wp:extent cx="7115175"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sectPr>
      </w:pPr>
    </w:p>
    <w:p>
      <w:pPr>
        <w:spacing w:after="0" w:line="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Net cash provided by (used in) financing activities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Effect of exchange rate changes on cash and cash equivalent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wp:posOffset>
            </wp:positionV>
            <wp:extent cx="7115175"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20"/>
          <w:szCs w:val="20"/>
          <w:color w:val="auto"/>
        </w:rPr>
        <w:t>Net change in cash and cash equivalents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color w:val="auto"/>
        </w:rPr>
        <w:t>Cash and cash equivalents, beginning of period</w:t>
      </w:r>
    </w:p>
    <w:p>
      <w:pPr>
        <w:spacing w:after="0" w:line="40" w:lineRule="exact"/>
        <w:rPr>
          <w:sz w:val="20"/>
          <w:szCs w:val="20"/>
          <w:color w:val="auto"/>
        </w:rPr>
      </w:pPr>
    </w:p>
    <w:p>
      <w:pPr>
        <w:ind w:left="20"/>
        <w:spacing w:after="0"/>
        <w:tabs>
          <w:tab w:leader="none" w:pos="6500" w:val="left"/>
        </w:tabs>
        <w:rPr>
          <w:sz w:val="20"/>
          <w:szCs w:val="20"/>
          <w:color w:val="auto"/>
        </w:rPr>
      </w:pPr>
      <w:r>
        <w:rPr>
          <w:rFonts w:ascii="Arial" w:cs="Arial" w:eastAsia="Arial" w:hAnsi="Arial"/>
          <w:sz w:val="20"/>
          <w:szCs w:val="20"/>
          <w:color w:val="auto"/>
        </w:rPr>
        <w:t>Cash and cash equivalents, end of period</w:t>
      </w:r>
      <w:r>
        <w:rPr>
          <w:sz w:val="20"/>
          <w:szCs w:val="20"/>
          <w:color w:val="auto"/>
        </w:rPr>
        <w:tab/>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-142875</wp:posOffset>
            </wp:positionV>
            <wp:extent cx="7115175"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900" w:type="dxa"/>
            <w:vAlign w:val="bottom"/>
          </w:tcPr>
          <w:p>
            <w:pPr>
              <w:jc w:val="right"/>
              <w:ind w:right="41"/>
              <w:spacing w:after="0"/>
              <w:rPr>
                <w:sz w:val="20"/>
                <w:szCs w:val="20"/>
                <w:color w:val="auto"/>
              </w:rPr>
            </w:pPr>
            <w:r>
              <w:rPr>
                <w:rFonts w:ascii="Arial" w:cs="Arial" w:eastAsia="Arial" w:hAnsi="Arial"/>
                <w:sz w:val="20"/>
                <w:szCs w:val="20"/>
                <w:color w:val="auto"/>
                <w:w w:val="99"/>
              </w:rPr>
              <w:t>(39,314)</w:t>
            </w:r>
          </w:p>
        </w:tc>
        <w:tc>
          <w:tcPr>
            <w:tcW w:w="7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122,697</w:t>
            </w:r>
          </w:p>
        </w:tc>
      </w:tr>
      <w:tr>
        <w:trPr>
          <w:trHeight w:val="272"/>
        </w:trPr>
        <w:tc>
          <w:tcPr>
            <w:tcW w:w="900" w:type="dxa"/>
            <w:vAlign w:val="bottom"/>
          </w:tcPr>
          <w:p>
            <w:pPr>
              <w:jc w:val="right"/>
              <w:ind w:right="81"/>
              <w:spacing w:after="0"/>
              <w:rPr>
                <w:sz w:val="20"/>
                <w:szCs w:val="20"/>
                <w:color w:val="auto"/>
              </w:rPr>
            </w:pPr>
            <w:r>
              <w:rPr>
                <w:rFonts w:ascii="Arial" w:cs="Arial" w:eastAsia="Arial" w:hAnsi="Arial"/>
                <w:sz w:val="20"/>
                <w:szCs w:val="20"/>
                <w:color w:val="auto"/>
              </w:rPr>
              <w:t>4,447</w:t>
            </w:r>
          </w:p>
        </w:tc>
        <w:tc>
          <w:tcPr>
            <w:tcW w:w="7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(844)</w:t>
            </w:r>
          </w:p>
        </w:tc>
      </w:tr>
      <w:tr>
        <w:trPr>
          <w:trHeight w:val="270"/>
        </w:trPr>
        <w:tc>
          <w:tcPr>
            <w:tcW w:w="900" w:type="dxa"/>
            <w:vAlign w:val="bottom"/>
          </w:tcPr>
          <w:p>
            <w:pPr>
              <w:jc w:val="right"/>
              <w:ind w:right="81"/>
              <w:spacing w:after="0"/>
              <w:rPr>
                <w:sz w:val="20"/>
                <w:szCs w:val="20"/>
                <w:color w:val="auto"/>
              </w:rPr>
            </w:pPr>
            <w:r>
              <w:rPr>
                <w:rFonts w:ascii="Arial" w:cs="Arial" w:eastAsia="Arial" w:hAnsi="Arial"/>
                <w:sz w:val="20"/>
                <w:szCs w:val="20"/>
                <w:color w:val="auto"/>
              </w:rPr>
              <w:t>22,065</w:t>
            </w:r>
          </w:p>
        </w:tc>
        <w:tc>
          <w:tcPr>
            <w:tcW w:w="76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20"/>
                <w:szCs w:val="20"/>
                <w:color w:val="auto"/>
              </w:rPr>
              <w:t>(316,624)</w:t>
            </w:r>
          </w:p>
        </w:tc>
      </w:tr>
      <w:tr>
        <w:trPr>
          <w:trHeight w:val="279"/>
        </w:trPr>
        <w:tc>
          <w:tcPr>
            <w:tcW w:w="900" w:type="dxa"/>
            <w:vAlign w:val="bottom"/>
          </w:tcPr>
          <w:p>
            <w:pPr>
              <w:jc w:val="right"/>
              <w:ind w:right="81"/>
              <w:spacing w:after="0"/>
              <w:rPr>
                <w:sz w:val="20"/>
                <w:szCs w:val="20"/>
                <w:color w:val="auto"/>
              </w:rPr>
            </w:pPr>
            <w:r>
              <w:rPr>
                <w:rFonts w:ascii="Arial" w:cs="Arial" w:eastAsia="Arial" w:hAnsi="Arial"/>
                <w:sz w:val="20"/>
                <w:szCs w:val="20"/>
                <w:color w:val="auto"/>
                <w:w w:val="96"/>
              </w:rPr>
              <w:t>133,901</w:t>
            </w:r>
          </w:p>
        </w:tc>
        <w:tc>
          <w:tcPr>
            <w:tcW w:w="7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367,670</w:t>
            </w:r>
          </w:p>
        </w:tc>
      </w:tr>
      <w:tr>
        <w:trPr>
          <w:trHeight w:val="247"/>
        </w:trPr>
        <w:tc>
          <w:tcPr>
            <w:tcW w:w="900" w:type="dxa"/>
            <w:vAlign w:val="bottom"/>
          </w:tcPr>
          <w:p>
            <w:pPr>
              <w:jc w:val="right"/>
              <w:ind w:right="81"/>
              <w:spacing w:after="0"/>
              <w:rPr>
                <w:sz w:val="20"/>
                <w:szCs w:val="20"/>
                <w:color w:val="auto"/>
              </w:rPr>
            </w:pPr>
            <w:r>
              <w:rPr>
                <w:rFonts w:ascii="Arial" w:cs="Arial" w:eastAsia="Arial" w:hAnsi="Arial"/>
                <w:sz w:val="20"/>
                <w:szCs w:val="20"/>
                <w:color w:val="auto"/>
                <w:w w:val="96"/>
              </w:rPr>
              <w:t>155,966</w:t>
            </w:r>
          </w:p>
        </w:tc>
        <w:tc>
          <w:tcPr>
            <w:tcW w:w="760" w:type="dxa"/>
            <w:vAlign w:val="bottom"/>
            <w:tcBorders>
              <w:bottom w:val="single" w:sz="8" w:color="auto"/>
            </w:tcBorders>
          </w:tcPr>
          <w:p>
            <w:pPr>
              <w:jc w:val="right"/>
              <w:ind w:right="541"/>
              <w:spacing w:after="0"/>
              <w:rPr>
                <w:sz w:val="20"/>
                <w:szCs w:val="20"/>
                <w:color w:val="auto"/>
              </w:rPr>
            </w:pPr>
            <w:r>
              <w:rPr>
                <w:rFonts w:ascii="Arial" w:cs="Arial" w:eastAsia="Arial" w:hAnsi="Arial"/>
                <w:sz w:val="20"/>
                <w:szCs w:val="20"/>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51,046</w:t>
            </w:r>
          </w:p>
        </w:tc>
      </w:tr>
      <w:tr>
        <w:trPr>
          <w:trHeight w:val="23"/>
        </w:trPr>
        <w:tc>
          <w:tcPr>
            <w:tcW w:w="9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-736600</wp:posOffset>
            </wp:positionV>
            <wp:extent cx="1465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-205105</wp:posOffset>
            </wp:positionV>
            <wp:extent cx="1465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-8255</wp:posOffset>
            </wp:positionV>
            <wp:extent cx="1465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55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00" w:space="720"/>
            <w:col w:w="3180"/>
          </w:cols>
          <w:pgMar w:left="340" w:top="598" w:right="359" w:bottom="1440" w:gutter="0" w:footer="0" w:header="0"/>
          <w:type w:val="continuous"/>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7115175"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400" w:type="dxa"/>
            <w:vAlign w:val="bottom"/>
          </w:tcPr>
          <w:p>
            <w:pPr>
              <w:ind w:left="260"/>
              <w:spacing w:after="0"/>
              <w:rPr>
                <w:sz w:val="20"/>
                <w:szCs w:val="20"/>
                <w:color w:val="auto"/>
              </w:rPr>
            </w:pPr>
            <w:r>
              <w:rPr>
                <w:rFonts w:ascii="Arial" w:cs="Arial" w:eastAsia="Arial" w:hAnsi="Arial"/>
                <w:sz w:val="20"/>
                <w:szCs w:val="20"/>
                <w:color w:val="auto"/>
              </w:rPr>
              <w:t>Cash paid for interest</w:t>
            </w:r>
          </w:p>
        </w:tc>
        <w:tc>
          <w:tcPr>
            <w:tcW w:w="19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15,880</w:t>
            </w:r>
          </w:p>
        </w:tc>
        <w:tc>
          <w:tcPr>
            <w:tcW w:w="900" w:type="dxa"/>
            <w:vAlign w:val="bottom"/>
          </w:tcPr>
          <w:p>
            <w:pPr>
              <w:jc w:val="right"/>
              <w:ind w:right="581"/>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7,428</w:t>
            </w:r>
          </w:p>
        </w:tc>
      </w:tr>
      <w:tr>
        <w:trPr>
          <w:trHeight w:val="288"/>
        </w:trPr>
        <w:tc>
          <w:tcPr>
            <w:tcW w:w="54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Cash paid for income taxes (net of refunds)</w:t>
            </w:r>
          </w:p>
        </w:tc>
        <w:tc>
          <w:tcPr>
            <w:tcW w:w="1980" w:type="dxa"/>
            <w:vAlign w:val="bottom"/>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18,484</w:t>
            </w:r>
          </w:p>
        </w:tc>
        <w:tc>
          <w:tcPr>
            <w:tcW w:w="9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(230)</w:t>
            </w:r>
          </w:p>
        </w:tc>
      </w:tr>
      <w:tr>
        <w:trPr>
          <w:trHeight w:val="270"/>
        </w:trPr>
        <w:tc>
          <w:tcPr>
            <w:tcW w:w="54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83"/>
        </w:trPr>
        <w:tc>
          <w:tcPr>
            <w:tcW w:w="54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Non-cash Investing and Financing Activities</w:t>
            </w:r>
          </w:p>
        </w:tc>
        <w:tc>
          <w:tcPr>
            <w:tcW w:w="19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70"/>
        </w:trPr>
        <w:tc>
          <w:tcPr>
            <w:tcW w:w="5400" w:type="dxa"/>
            <w:vAlign w:val="bottom"/>
          </w:tcPr>
          <w:p>
            <w:pPr>
              <w:ind w:left="260"/>
              <w:spacing w:after="0"/>
              <w:rPr>
                <w:sz w:val="20"/>
                <w:szCs w:val="20"/>
                <w:color w:val="auto"/>
              </w:rPr>
            </w:pPr>
            <w:r>
              <w:rPr>
                <w:rFonts w:ascii="Arial" w:cs="Arial" w:eastAsia="Arial" w:hAnsi="Arial"/>
                <w:sz w:val="20"/>
                <w:szCs w:val="20"/>
                <w:color w:val="auto"/>
              </w:rPr>
              <w:t>Dividends accrued on Series A Preferred</w:t>
            </w:r>
          </w:p>
        </w:tc>
        <w:tc>
          <w:tcPr>
            <w:tcW w:w="19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12,871</w:t>
            </w:r>
          </w:p>
        </w:tc>
        <w:tc>
          <w:tcPr>
            <w:tcW w:w="900" w:type="dxa"/>
            <w:vAlign w:val="bottom"/>
          </w:tcPr>
          <w:p>
            <w:pPr>
              <w:jc w:val="right"/>
              <w:ind w:right="581"/>
              <w:spacing w:after="0"/>
              <w:rPr>
                <w:sz w:val="20"/>
                <w:szCs w:val="20"/>
                <w:color w:val="auto"/>
              </w:rPr>
            </w:pPr>
            <w:r>
              <w:rPr>
                <w:rFonts w:ascii="Arial" w:cs="Arial" w:eastAsia="Arial" w:hAnsi="Arial"/>
                <w:sz w:val="20"/>
                <w:szCs w:val="20"/>
                <w:color w:val="auto"/>
              </w:rPr>
              <w:t>$</w:t>
            </w:r>
          </w:p>
        </w:tc>
        <w:tc>
          <w:tcPr>
            <w:tcW w:w="1480" w:type="dxa"/>
            <w:vAlign w:val="bottom"/>
          </w:tcPr>
          <w:p>
            <w:pPr>
              <w:jc w:val="right"/>
              <w:spacing w:after="0"/>
              <w:rPr>
                <w:sz w:val="20"/>
                <w:szCs w:val="20"/>
                <w:color w:val="auto"/>
              </w:rPr>
            </w:pPr>
            <w:r>
              <w:rPr>
                <w:rFonts w:ascii="Arial" w:cs="Arial" w:eastAsia="Arial" w:hAnsi="Arial"/>
                <w:sz w:val="20"/>
                <w:szCs w:val="20"/>
                <w:color w:val="auto"/>
              </w:rPr>
              <w:t>12,606</w:t>
            </w:r>
          </w:p>
        </w:tc>
      </w:tr>
      <w:tr>
        <w:trPr>
          <w:trHeight w:val="283"/>
        </w:trPr>
        <w:tc>
          <w:tcPr>
            <w:tcW w:w="5400" w:type="dxa"/>
            <w:vAlign w:val="bottom"/>
            <w:shd w:val="clear" w:color="auto" w:fill="CCEEFF"/>
          </w:tcPr>
          <w:p>
            <w:pPr>
              <w:ind w:left="260"/>
              <w:spacing w:after="0"/>
              <w:rPr>
                <w:sz w:val="20"/>
                <w:szCs w:val="20"/>
                <w:color w:val="auto"/>
              </w:rPr>
            </w:pPr>
            <w:r>
              <w:rPr>
                <w:rFonts w:ascii="Arial" w:cs="Arial" w:eastAsia="Arial" w:hAnsi="Arial"/>
                <w:sz w:val="20"/>
                <w:szCs w:val="20"/>
                <w:color w:val="auto"/>
              </w:rPr>
              <w:t>Stock consideration paid for acquisition of STI</w:t>
            </w:r>
          </w:p>
        </w:tc>
        <w:tc>
          <w:tcPr>
            <w:tcW w:w="1980" w:type="dxa"/>
            <w:vAlign w:val="bottom"/>
            <w:shd w:val="clear" w:color="auto" w:fill="CCEEFF"/>
          </w:tcPr>
          <w:p>
            <w:pPr>
              <w:jc w:val="right"/>
              <w:ind w:right="641"/>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ind w:right="58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200,224</w:t>
            </w: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64135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598" w:right="35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hanging="392"/>
        <w:spacing w:after="0"/>
        <w:tabs>
          <w:tab w:leader="none" w:pos="400" w:val="left"/>
        </w:tabs>
        <w:numPr>
          <w:ilvl w:val="0"/>
          <w:numId w:val="5"/>
        </w:numPr>
        <w:rPr>
          <w:rFonts w:ascii="Arial" w:cs="Arial" w:eastAsia="Arial" w:hAnsi="Arial"/>
          <w:sz w:val="20"/>
          <w:szCs w:val="20"/>
          <w:b w:val="1"/>
          <w:bCs w:val="1"/>
          <w:color w:val="auto"/>
        </w:rPr>
      </w:pPr>
      <w:r>
        <w:rPr>
          <w:rFonts w:ascii="Arial" w:cs="Arial" w:eastAsia="Arial" w:hAnsi="Arial"/>
          <w:sz w:val="20"/>
          <w:szCs w:val="20"/>
          <w:b w:val="1"/>
          <w:bCs w:val="1"/>
          <w:color w:val="auto"/>
        </w:rPr>
        <w:t>Organization, Business and Out-of-Period Adjustments</w:t>
      </w:r>
    </w:p>
    <w:p>
      <w:pPr>
        <w:spacing w:after="0" w:line="26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Array Technologies, Inc. (the “Company”), formerly ATI Intermediate Holdings, LLC, is a Delaware corporation formed in December 2018 as a wholly owned subsidiary of ATI Investment Parent, LLC (“Former Parent”). On October 14, 2020, the Company converted from a Delaware limited liability company to a Delaware corporation and changed the Company’s name to Array Technologies, Inc. The Company is headquartered in Albuquerque, New Mexico, and manufactures and supplies solar tracking systems and related products for customers across the United States and internationally. The Company, through its wholly-owned subsidiary, ATI Investment Sub, Inc., owns subsidiaries through which it conducts substantially all operations.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 Norland</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January 11, 2022 (the “Acquisition Date”), the Company acquired 100% of the share capital of Soluciones Técnicas Integrales Norland, S.L.U., a Spanish private limited liability Company, and its subsidiaries (collectively, “STI”) with cash and common stock of the Company (the “STI Acquisition”). The STI Acquisition was accounted for as a business combination.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Upon completion of the STI Acquisition, the Company began operating as two reportable operating segments: the Array legacy operating segment (the “Array Legacy Operations”) and the newly acquired operations (the “STI Operations”) pertaining to STI.</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Out-of-Period Adjustment for the Correction of Errors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During the first quarter of fiscal year 2023, the Company identified certain errors in its previously issued financial statements that have been corrected through a cumulative out-of-period adjustment in the condensed consolidated financial statements as of and for the three months ended March 31, 2023. The Company has concluded that the errors are not material to the previously issued financial statements and the cumulative out-of-period adjustment for the correction of these errors is not material to the financial statements for the three months ended March 31, 2023. Below is a summary of each of the errors corrected and a summary of the cumulative impact.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Capped Calls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discussed in Note 10 – Debt, of the Company’s consolidated financial statements for the fiscal year ended December 31, 2022 included in the Company’s Annual Report on Form 10-K filed with the Securities and Exchange Commission (the “SEC”) on March 22, 2023, in November 2021 the Company paid $52.9 million to enter into capped call option agreements (the “Capped Calls”) to reduce the potential dilution to holders of the Company’s common stock after a conversion of the Company’s Convertible Notes (as defined below). The Company originally concluded that the Capped Calls met the criteria for equity classification because the Capped Calls are indexed to the Company’s common stock, and the Company has discretion to settle the Capped Calls in shares or cash. As a result, the Company originally recorded the amount paid for the Capped Calls as a reduction to additional paid-in capital of $52.9 million, offset by $12.4 million of income taxes.</w:t>
      </w:r>
    </w:p>
    <w:p>
      <w:pPr>
        <w:spacing w:after="0" w:line="234"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When the Company entered into the Capped Calls, the Company executed certain side letters (the “Side Letters”) with the counterparties that replaced some of the terms described in the primary contract including the volatility inputs used to value the Capped Calls under certain circumstances. Upon further evaluation, the Company has concluded that the modification to the volatility inputs precludes the Capped Calls from being</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Array Technologies, Inc.</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 xml:space="preserve">Notes to Condensed Consolidated Financial Statements </w:t>
      </w:r>
      <w:r>
        <w:rPr>
          <w:rFonts w:ascii="Arial" w:cs="Arial" w:eastAsia="Arial" w:hAnsi="Arial"/>
          <w:sz w:val="20"/>
          <w:szCs w:val="20"/>
          <w:b w:val="1"/>
          <w:bCs w:val="1"/>
          <w:i w:val="1"/>
          <w:i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indexed to its own stock because there is the possibility that the Capped Calls will settle at an amount that exceeds fair value and, therefore, prevents the Capped Calls from being classified as equity.</w:t>
      </w:r>
    </w:p>
    <w:p>
      <w:pPr>
        <w:spacing w:after="0" w:line="21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addition, the Side Letters also provide for certain adjustments to settlement amounts on the basis of holder-specific taxes which are impermissible inputs to the valuation that also prevents the Capped Calls from being indexed to the Company’s own stock, and therefore, prevents the Capped Calls from being classified as equity. As a result, for the three months ended March 31, 2023, the Company has concluded that the cash paid for the Capped Calls should have been recorded as an asset of $52.9 million with the asset being subsequently marked to market at the end of each accounting period.</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Closing Purchased Put Option</w:t>
      </w:r>
    </w:p>
    <w:p>
      <w:pPr>
        <w:spacing w:after="0" w:line="14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As discussed in Note 11 – Redeemable Perpetual Preferred Stock, of the Company’s consolidated financial statements for the fiscal year ended December 31, 2022, included in the Company’s Annual Report on Form 10-K filed with the SEC on March 22, 2023, in August 2021 the Company entered into a Securities Purchase Agreement (the “SPA”) with certain Purchasers (as defined below), which gives the Company the option to require the Purchasers to purchase up to an additional 150,000 shares of Series A Shares (as defined below) and up to 3,375,000 shares of common stock for $148.0 million until June 30, 2023 (the “Put Option”). Upon issuance of the Put Option, the Company recorded a reduction to additional paid-in-capital of approximately $12.4 million because the Company originally concluded that the Put Option should be classified as equity.</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first quarter of 2023, the Company reconsidered the provisions of this option. Because the Series A Shares underlying the Put Option could potentially require redemption under the Certificate of Designations governing the Series A Shares, the Put Option should not have been equity classified. As a result, during the three months ended March 31, 2023, the Company has concluded that the value of the Put Option at inception should have been recorded as an asset of $12.4 million, with the asset being subsequently marked to market at the end of each accounting period.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Correction of the Capped Calls and Put Option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adjustments to correct the Capped Calls and the Put Option at January 1, 2023 resulted in an increase in Derivative assets of $55.7 million, a decrease in Deferred income tax assets of $11.0 million, an increase in additional paid-in-capital of $52.9 million, and a decrease in net income of $8.1 million.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Goodwill</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connection with the acquisition of STI, the Company had understated goodwill by $2.0 million and overstated inventory by the same amount that was sold during fiscal 2022. The Company corrected the goodwill balance during the first quarter of fiscal year 2023, resulting in an increase in goodwill and a decrease in cost of goods sold.</w:t>
      </w:r>
    </w:p>
    <w:p>
      <w:pPr>
        <w:spacing w:after="0" w:line="196" w:lineRule="exact"/>
        <w:rPr>
          <w:sz w:val="20"/>
          <w:szCs w:val="20"/>
          <w:color w:val="auto"/>
        </w:rPr>
      </w:pPr>
    </w:p>
    <w:p>
      <w:pPr>
        <w:ind w:left="400" w:hanging="392"/>
        <w:spacing w:after="0"/>
        <w:tabs>
          <w:tab w:leader="none" w:pos="400" w:val="left"/>
        </w:tabs>
        <w:numPr>
          <w:ilvl w:val="0"/>
          <w:numId w:val="6"/>
        </w:numPr>
        <w:rPr>
          <w:rFonts w:ascii="Arial" w:cs="Arial" w:eastAsia="Arial" w:hAnsi="Arial"/>
          <w:sz w:val="20"/>
          <w:szCs w:val="20"/>
          <w:b w:val="1"/>
          <w:bCs w:val="1"/>
          <w:color w:val="auto"/>
        </w:rPr>
      </w:pPr>
      <w:r>
        <w:rPr>
          <w:rFonts w:ascii="Arial" w:cs="Arial" w:eastAsia="Arial" w:hAnsi="Arial"/>
          <w:sz w:val="20"/>
          <w:szCs w:val="20"/>
          <w:b w:val="1"/>
          <w:bCs w:val="1"/>
          <w:color w:val="auto"/>
        </w:rPr>
        <w:t>Summary of Significant Accounting Policies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 and Presentation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accompanying unaudited condensed consolidated financial statements have been prepared on the accrual basis of accounting in accordance with accounting principles generally accepted in the United States of America (“U.S. GAAP”), pursuant to the rules and regulations of the SEC. The unaudited interim financial statements have been prepared on the same basis as the audited annual financial statements and, in the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line="31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opinion of management, reflect all adjustments, which include only normal recurring adjustments, necessary for the fair statement of results for the interim periods reported. The results for the three and six months ended June 30, 2023, are not necessarily indicative of results to be expected for the year ending December 31, 2023, or any other interim periods, or any future year or period. The balance sheet as of December 31, 2022, included herein was derived from the audited financial statements as of that date. Certain disclosures have been condensed or omitted from the interim financial statements. These financial statements should be read in conjunction with the Company’s audited financial statements included in the 2022 Annual Report.</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Unless expressly stated or the context otherwise requires, the terms “the Company”, “we”, “us”, “our”, “Array”, and “Array Technologies” refer to Array Technologies, Inc. and its consolidated subsidiaries, and the term “condensed consolidated financial statements” refers to the accompanying unaudited condensed consolidated financial statements contained in this Quarterly Report.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Principles of Consolidation</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condensed consolidated financial statements include the accounts of the Company and its subsidiaries. All intercompany accounts and transactions have been eliminated upon consolidation.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and the reported amounts of revenues and expenses during the reporting period.</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Actual results may differ from previously estimated amounts, and such differences may be material to the condensed consolidated financial statements; however, management believes that these estimates and assumptions provide a reasonable basis for the fair presentation of the consolidated financial statements. Estimates and assumptions are reviewed periodically, and the effects of revisions are reflected in the period they occur.</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4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the ultimate severity or duration of the conflict in Ukraine, but we continue to monitor the situation and evaluate our procurement strategy and supply chain as to reduce any negative impact on our business,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Inflationary pressures, while somewhat moderating recently, are expected to persist, at least in the near-term, and may negatively impact our results of operations.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Combinations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Company accounts for its business acquisitions under the acquisition method of accounting in accordance with the Financial Accounting Standards Board’s (“FASB”) Accounting Standards Codification (“ASC”) Topic</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31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805 </w:t>
      </w:r>
      <w:r>
        <w:rPr>
          <w:rFonts w:ascii="Arial" w:cs="Arial" w:eastAsia="Arial" w:hAnsi="Arial"/>
          <w:sz w:val="20"/>
          <w:szCs w:val="20"/>
          <w:i w:val="1"/>
          <w:iCs w:val="1"/>
          <w:color w:val="auto"/>
        </w:rPr>
        <w:t>Business Combinations</w:t>
      </w:r>
      <w:r>
        <w:rPr>
          <w:rFonts w:ascii="Arial" w:cs="Arial" w:eastAsia="Arial" w:hAnsi="Arial"/>
          <w:sz w:val="20"/>
          <w:szCs w:val="20"/>
          <w:color w:val="auto"/>
        </w:rPr>
        <w:t xml:space="preserve"> (“ASC 805”). The excess of the purchase price over the estimated fair values of the net assets acquired is recorded as goodwill. Determining the fair value of assets acquired and liabilities assumed requires management’s judgment and often involves the use of significant estimates and assumptions, including assumptions with respect to future cash inflows and outflows, discount rates, asset lives, and market multiples, amongst other items.</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Translation Exposure</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functional currencies of certain of our foreign subsidiaries are their local currencies. Accordingly, we apply period-end exchange rates to translate their assets and liabilities, historical exchange rates to translate their retained earnings, and average exchange rates prevailing during the period to translate their revenues, expenses, gains, and losses into U.S. dollars. We include the associated translation adjustments as a separate component of “Accumulated other comprehensive income (loss)” within stockholders’ equity.</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Certain of our foreign subsidiaries have local currencies that are different than the subsidiaries functional currencies. When translating from the local currency to the functional currency, monetary assets and liabilities are translated at the current exchange rate resulting in foreign exchange gains or losses, and non-monetary assets are translated at historical exchange rates. Changes in the exchange rates between the functional currencies of our subsidiaries and the currencies in which monetary financial assets and liabilities are denominated in, will create fluctuations in our reported condensed consolidated statements of operations and cash flows.</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Financial Instruments</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Both the Capped Call and the Put Option are accounted for as assets that are recorded at fair value within Derivative assets on the condensed consolidated balance sheets. The changes in fair value to Derivative assets are recorded within change in fair value of derivative assets on the Condensed Consolidated Statements of Operations. See </w:t>
      </w:r>
      <w:r>
        <w:rPr>
          <w:rFonts w:ascii="Arial" w:cs="Arial" w:eastAsia="Arial" w:hAnsi="Arial"/>
          <w:sz w:val="20"/>
          <w:szCs w:val="20"/>
          <w:u w:val="single" w:color="auto"/>
          <w:color w:val="0000FF"/>
        </w:rPr>
        <w:t>Note 1 – Organization, Business and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Out-of-Period Adjustments</w:t>
      </w:r>
      <w:r>
        <w:rPr>
          <w:rFonts w:ascii="Arial" w:cs="Arial" w:eastAsia="Arial" w:hAnsi="Arial"/>
          <w:sz w:val="20"/>
          <w:szCs w:val="20"/>
          <w:color w:val="000000"/>
        </w:rPr>
        <w:t>, for further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Accounting Pronouncements</w:t>
      </w:r>
    </w:p>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 xml:space="preserve">In March 2020, the FASB issued Accounting Standards Update (“ASU”) 2020-04, </w:t>
      </w:r>
      <w:r>
        <w:rPr>
          <w:rFonts w:ascii="Arial" w:cs="Arial" w:eastAsia="Arial" w:hAnsi="Arial"/>
          <w:sz w:val="20"/>
          <w:szCs w:val="20"/>
          <w:i w:val="1"/>
          <w:iCs w:val="1"/>
          <w:color w:val="auto"/>
        </w:rPr>
        <w:t>Reference Rate Reform (Topic 848):</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Facilitation of the Effects of Reference Rate Reform on Financial Reporting </w:t>
      </w:r>
      <w:r>
        <w:rPr>
          <w:rFonts w:ascii="Arial" w:cs="Arial" w:eastAsia="Arial" w:hAnsi="Arial"/>
          <w:sz w:val="20"/>
          <w:szCs w:val="20"/>
          <w:color w:val="auto"/>
        </w:rPr>
        <w:t>(“ASU 2020-04”). ASU 2020-04 contains practical</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expedients for reference rate reform related activities that impact debt, leases, derivatives and other contracts. The guidance in ASU 2020-04 is optional and may be elected over time as reference rate reform activities occur. In December 2022, the FASB issued ASU 2022-06, </w:t>
      </w:r>
      <w:r>
        <w:rPr>
          <w:rFonts w:ascii="Arial" w:cs="Arial" w:eastAsia="Arial" w:hAnsi="Arial"/>
          <w:sz w:val="20"/>
          <w:szCs w:val="20"/>
          <w:i w:val="1"/>
          <w:iCs w:val="1"/>
          <w:color w:val="auto"/>
        </w:rPr>
        <w:t>Reference Rate Reform (Topic 848): Deferral of the Sunset Date of Topic 848</w:t>
      </w:r>
      <w:r>
        <w:rPr>
          <w:rFonts w:ascii="Arial" w:cs="Arial" w:eastAsia="Arial" w:hAnsi="Arial"/>
          <w:sz w:val="20"/>
          <w:szCs w:val="20"/>
          <w:color w:val="auto"/>
        </w:rPr>
        <w:t>, to provide entities with relief during the transition period by deferring the effective date of reference rate reform from December 31, 2022 to December 31, 2024. ASU 2022-06 is effective upon issuance. During the three months ended March 31, 2023, the Company adopted ASU 2020-04 and ASU 2022-06. Simultaneously, the Company elected to apply the debt accounting optional expedient, under which the reporting entity will account for amendments to debt agreements, which sole intent are the replacement of a discontinued reference rate(s), as being not substantial and thus a continuation of the existing contract</w:t>
      </w:r>
      <w:r>
        <w:rPr>
          <w:rFonts w:ascii="Arial" w:cs="Arial" w:eastAsia="Arial" w:hAnsi="Arial"/>
          <w:sz w:val="17"/>
          <w:szCs w:val="17"/>
          <w:color w:val="auto"/>
        </w:rPr>
        <w:t>.</w:t>
      </w:r>
      <w:r>
        <w:rPr>
          <w:rFonts w:ascii="Arial" w:cs="Arial" w:eastAsia="Arial" w:hAnsi="Arial"/>
          <w:sz w:val="20"/>
          <w:szCs w:val="20"/>
          <w:color w:val="auto"/>
        </w:rPr>
        <w:t xml:space="preserve"> There was no significant impact to the Company’s condensed consolidated financial statements related to the adoption of ASU 2020-04 and ASU 2022-06. The Company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continues to evaluate the impact of the ASU 2020-04 guidance and may apply other elections, as applicable, as additional changes in the market occur.</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In March 2023, the Company amended an existing debt agreement to replace the London Interbank Offered Rate (“LIBOR”) interest rate provisions with interest rate provisions based on a forward-looking term rate based on the secured overnight funding rate (“SOFR”) (see </w:t>
      </w:r>
      <w:r>
        <w:rPr>
          <w:rFonts w:ascii="Arial" w:cs="Arial" w:eastAsia="Arial" w:hAnsi="Arial"/>
          <w:sz w:val="20"/>
          <w:szCs w:val="20"/>
          <w:u w:val="single" w:color="auto"/>
          <w:color w:val="0000FF"/>
        </w:rPr>
        <w:t>Note 7 – Debt</w:t>
      </w:r>
      <w:r>
        <w:rPr>
          <w:rFonts w:ascii="Arial" w:cs="Arial" w:eastAsia="Arial" w:hAnsi="Arial"/>
          <w:sz w:val="20"/>
          <w:szCs w:val="20"/>
          <w:color w:val="auto"/>
        </w:rPr>
        <w:t>). There were no other changes to the agreement. There was no significant impact to the Company’s condensed consolidated financial statements.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4640" w:type="dxa"/>
            <w:vAlign w:val="bottom"/>
          </w:tcPr>
          <w:p>
            <w:pPr>
              <w:spacing w:after="0"/>
              <w:rPr>
                <w:sz w:val="20"/>
                <w:szCs w:val="20"/>
                <w:color w:val="auto"/>
              </w:rPr>
            </w:pPr>
            <w:r>
              <w:rPr>
                <w:rFonts w:ascii="Arial" w:cs="Arial" w:eastAsia="Arial" w:hAnsi="Arial"/>
                <w:sz w:val="20"/>
                <w:szCs w:val="20"/>
                <w:b w:val="1"/>
                <w:bCs w:val="1"/>
                <w:color w:val="auto"/>
              </w:rPr>
              <w:t>3.  Inventories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4640" w:type="dxa"/>
            <w:vAlign w:val="bottom"/>
          </w:tcPr>
          <w:p>
            <w:pPr>
              <w:spacing w:after="0"/>
              <w:rPr>
                <w:sz w:val="20"/>
                <w:szCs w:val="20"/>
                <w:color w:val="auto"/>
              </w:rPr>
            </w:pPr>
            <w:r>
              <w:rPr>
                <w:rFonts w:ascii="Arial" w:cs="Arial" w:eastAsia="Arial" w:hAnsi="Arial"/>
                <w:sz w:val="20"/>
                <w:szCs w:val="20"/>
                <w:color w:val="auto"/>
                <w:w w:val="99"/>
              </w:rPr>
              <w:t>Inventories consisted of the following (in thousands):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60"/>
              <w:spacing w:after="0"/>
              <w:rPr>
                <w:sz w:val="20"/>
                <w:szCs w:val="20"/>
                <w:color w:val="auto"/>
              </w:rPr>
            </w:pPr>
            <w:r>
              <w:rPr>
                <w:rFonts w:ascii="Arial" w:cs="Arial" w:eastAsia="Arial" w:hAnsi="Arial"/>
                <w:sz w:val="20"/>
                <w:szCs w:val="20"/>
                <w:b w:val="1"/>
                <w:bCs w:val="1"/>
                <w:color w:val="auto"/>
              </w:rPr>
              <w:t>June 30, 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ind w:right="201"/>
              <w:spacing w:after="0"/>
              <w:rPr>
                <w:sz w:val="20"/>
                <w:szCs w:val="20"/>
                <w:color w:val="auto"/>
              </w:rPr>
            </w:pPr>
            <w:r>
              <w:rPr>
                <w:rFonts w:ascii="Arial" w:cs="Arial" w:eastAsia="Arial" w:hAnsi="Arial"/>
                <w:sz w:val="20"/>
                <w:szCs w:val="20"/>
                <w:b w:val="1"/>
                <w:bCs w:val="1"/>
                <w:color w:val="auto"/>
                <w:w w:val="98"/>
              </w:rPr>
              <w:t>December 31, 2022</w:t>
            </w: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Raw materials</w:t>
            </w:r>
          </w:p>
        </w:tc>
        <w:tc>
          <w:tcPr>
            <w:tcW w:w="17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131,830</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66,574</w:t>
            </w:r>
          </w:p>
        </w:tc>
        <w:tc>
          <w:tcPr>
            <w:tcW w:w="0" w:type="dxa"/>
            <w:vAlign w:val="bottom"/>
          </w:tcPr>
          <w:p>
            <w:pPr>
              <w:spacing w:after="0"/>
              <w:rPr>
                <w:sz w:val="1"/>
                <w:szCs w:val="1"/>
                <w:color w:val="auto"/>
              </w:rPr>
            </w:pPr>
          </w:p>
        </w:tc>
      </w:tr>
      <w:tr>
        <w:trPr>
          <w:trHeight w:val="261"/>
        </w:trPr>
        <w:tc>
          <w:tcPr>
            <w:tcW w:w="4640" w:type="dxa"/>
            <w:vAlign w:val="bottom"/>
          </w:tcPr>
          <w:p>
            <w:pPr>
              <w:ind w:left="20"/>
              <w:spacing w:after="0"/>
              <w:rPr>
                <w:sz w:val="20"/>
                <w:szCs w:val="20"/>
                <w:color w:val="auto"/>
              </w:rPr>
            </w:pPr>
            <w:r>
              <w:rPr>
                <w:rFonts w:ascii="Arial" w:cs="Arial" w:eastAsia="Arial" w:hAnsi="Arial"/>
                <w:sz w:val="20"/>
                <w:szCs w:val="20"/>
                <w:color w:val="auto"/>
              </w:rPr>
              <w:t>Finished goods</w:t>
            </w: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75,027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166,585</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w:t>
            </w:r>
          </w:p>
        </w:tc>
        <w:tc>
          <w:tcPr>
            <w:tcW w:w="1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206,857</w:t>
            </w:r>
          </w:p>
        </w:tc>
        <w:tc>
          <w:tcPr>
            <w:tcW w:w="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233,159</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20"/>
                <w:szCs w:val="20"/>
                <w:b w:val="1"/>
                <w:bCs w:val="1"/>
                <w:color w:val="auto"/>
              </w:rPr>
              <w:t>4.  Property, Plant and Equipment, Net</w:t>
            </w:r>
          </w:p>
        </w:tc>
        <w:tc>
          <w:tcPr>
            <w:tcW w:w="17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464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0"/>
        </w:trPr>
        <w:tc>
          <w:tcPr>
            <w:tcW w:w="8780" w:type="dxa"/>
            <w:vAlign w:val="bottom"/>
            <w:gridSpan w:val="6"/>
          </w:tcPr>
          <w:p>
            <w:pPr>
              <w:spacing w:after="0"/>
              <w:rPr>
                <w:sz w:val="20"/>
                <w:szCs w:val="20"/>
                <w:color w:val="auto"/>
              </w:rPr>
            </w:pPr>
            <w:r>
              <w:rPr>
                <w:rFonts w:ascii="Arial" w:cs="Arial" w:eastAsia="Arial" w:hAnsi="Arial"/>
                <w:sz w:val="20"/>
                <w:szCs w:val="20"/>
                <w:color w:val="auto"/>
              </w:rPr>
              <w:t>Property, plant and equipment consisted of the following (in thousands, except useful lives):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40" w:type="dxa"/>
            <w:vAlign w:val="bottom"/>
          </w:tcPr>
          <w:p>
            <w:pPr>
              <w:spacing w:after="0"/>
              <w:rPr>
                <w:sz w:val="19"/>
                <w:szCs w:val="19"/>
                <w:color w:val="auto"/>
              </w:rPr>
            </w:pPr>
          </w:p>
        </w:tc>
        <w:tc>
          <w:tcPr>
            <w:tcW w:w="1760" w:type="dxa"/>
            <w:vAlign w:val="bottom"/>
            <w:gridSpan w:val="2"/>
          </w:tcPr>
          <w:p>
            <w:pPr>
              <w:jc w:val="center"/>
              <w:ind w:right="120"/>
              <w:spacing w:after="0" w:line="225" w:lineRule="exact"/>
              <w:rPr>
                <w:sz w:val="20"/>
                <w:szCs w:val="20"/>
                <w:color w:val="auto"/>
              </w:rPr>
            </w:pPr>
            <w:r>
              <w:rPr>
                <w:rFonts w:ascii="Arial" w:cs="Arial" w:eastAsia="Arial" w:hAnsi="Arial"/>
                <w:sz w:val="20"/>
                <w:szCs w:val="20"/>
                <w:b w:val="1"/>
                <w:bCs w:val="1"/>
                <w:color w:val="auto"/>
                <w:w w:val="98"/>
              </w:rPr>
              <w:t>Estimated Useful</w:t>
            </w:r>
          </w:p>
        </w:tc>
        <w:tc>
          <w:tcPr>
            <w:tcW w:w="400" w:type="dxa"/>
            <w:vAlign w:val="bottom"/>
          </w:tcPr>
          <w:p>
            <w:pPr>
              <w:spacing w:after="0"/>
              <w:rPr>
                <w:sz w:val="19"/>
                <w:szCs w:val="19"/>
                <w:color w:val="auto"/>
              </w:rPr>
            </w:pPr>
          </w:p>
        </w:tc>
        <w:tc>
          <w:tcPr>
            <w:tcW w:w="1960" w:type="dxa"/>
            <w:vAlign w:val="bottom"/>
            <w:vMerge w:val="restart"/>
          </w:tcPr>
          <w:p>
            <w:pPr>
              <w:jc w:val="right"/>
              <w:ind w:right="461"/>
              <w:spacing w:after="0"/>
              <w:rPr>
                <w:sz w:val="20"/>
                <w:szCs w:val="20"/>
                <w:color w:val="auto"/>
              </w:rPr>
            </w:pPr>
            <w:r>
              <w:rPr>
                <w:rFonts w:ascii="Arial" w:cs="Arial" w:eastAsia="Arial" w:hAnsi="Arial"/>
                <w:sz w:val="20"/>
                <w:szCs w:val="20"/>
                <w:b w:val="1"/>
                <w:bCs w:val="1"/>
                <w:color w:val="auto"/>
              </w:rPr>
              <w:t>June 30, 2023</w:t>
            </w:r>
          </w:p>
        </w:tc>
        <w:tc>
          <w:tcPr>
            <w:tcW w:w="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w w:val="98"/>
              </w:rPr>
              <w:t>December 31, 2022</w:t>
            </w:r>
          </w:p>
        </w:tc>
        <w:tc>
          <w:tcPr>
            <w:tcW w:w="0" w:type="dxa"/>
            <w:vAlign w:val="bottom"/>
          </w:tcPr>
          <w:p>
            <w:pPr>
              <w:spacing w:after="0"/>
              <w:rPr>
                <w:sz w:val="1"/>
                <w:szCs w:val="1"/>
                <w:color w:val="auto"/>
              </w:rPr>
            </w:pPr>
          </w:p>
        </w:tc>
      </w:tr>
      <w:tr>
        <w:trPr>
          <w:trHeight w:val="271"/>
        </w:trPr>
        <w:tc>
          <w:tcPr>
            <w:tcW w:w="4640" w:type="dxa"/>
            <w:vAlign w:val="bottom"/>
          </w:tcPr>
          <w:p>
            <w:pPr>
              <w:spacing w:after="0"/>
              <w:rPr>
                <w:sz w:val="23"/>
                <w:szCs w:val="23"/>
                <w:color w:val="auto"/>
              </w:rPr>
            </w:pPr>
          </w:p>
        </w:tc>
        <w:tc>
          <w:tcPr>
            <w:tcW w:w="1740" w:type="dxa"/>
            <w:vAlign w:val="bottom"/>
          </w:tcPr>
          <w:p>
            <w:pPr>
              <w:jc w:val="center"/>
              <w:ind w:right="21"/>
              <w:spacing w:after="0"/>
              <w:rPr>
                <w:sz w:val="20"/>
                <w:szCs w:val="20"/>
                <w:color w:val="auto"/>
              </w:rPr>
            </w:pPr>
            <w:r>
              <w:rPr>
                <w:rFonts w:ascii="Arial" w:cs="Arial" w:eastAsia="Arial" w:hAnsi="Arial"/>
                <w:sz w:val="20"/>
                <w:szCs w:val="20"/>
                <w:b w:val="1"/>
                <w:bCs w:val="1"/>
                <w:color w:val="auto"/>
                <w:w w:val="97"/>
              </w:rPr>
              <w:t>Lives (Years)</w:t>
            </w:r>
          </w:p>
        </w:tc>
        <w:tc>
          <w:tcPr>
            <w:tcW w:w="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vMerge w:val="continue"/>
          </w:tcPr>
          <w:p>
            <w:pPr>
              <w:spacing w:after="0"/>
              <w:rPr>
                <w:sz w:val="23"/>
                <w:szCs w:val="23"/>
                <w:color w:val="auto"/>
              </w:rPr>
            </w:pPr>
          </w:p>
        </w:tc>
        <w:tc>
          <w:tcPr>
            <w:tcW w:w="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Land</w:t>
            </w:r>
          </w:p>
        </w:tc>
        <w:tc>
          <w:tcPr>
            <w:tcW w:w="17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5"/>
              </w:rPr>
              <w:t>N/A</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1,588</w:t>
            </w: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1,583</w:t>
            </w:r>
          </w:p>
        </w:tc>
        <w:tc>
          <w:tcPr>
            <w:tcW w:w="0" w:type="dxa"/>
            <w:vAlign w:val="bottom"/>
          </w:tcPr>
          <w:p>
            <w:pPr>
              <w:spacing w:after="0"/>
              <w:rPr>
                <w:sz w:val="1"/>
                <w:szCs w:val="1"/>
                <w:color w:val="auto"/>
              </w:rPr>
            </w:pPr>
          </w:p>
        </w:tc>
      </w:tr>
      <w:tr>
        <w:trPr>
          <w:trHeight w:val="260"/>
        </w:trPr>
        <w:tc>
          <w:tcPr>
            <w:tcW w:w="4640" w:type="dxa"/>
            <w:vAlign w:val="bottom"/>
          </w:tcPr>
          <w:p>
            <w:pPr>
              <w:ind w:left="20"/>
              <w:spacing w:after="0"/>
              <w:rPr>
                <w:sz w:val="20"/>
                <w:szCs w:val="20"/>
                <w:color w:val="auto"/>
              </w:rPr>
            </w:pPr>
            <w:r>
              <w:rPr>
                <w:rFonts w:ascii="Arial" w:cs="Arial" w:eastAsia="Arial" w:hAnsi="Arial"/>
                <w:sz w:val="20"/>
                <w:szCs w:val="20"/>
                <w:color w:val="auto"/>
              </w:rPr>
              <w:t>Buildings and land improvements</w:t>
            </w:r>
          </w:p>
        </w:tc>
        <w:tc>
          <w:tcPr>
            <w:tcW w:w="1740" w:type="dxa"/>
            <w:vAlign w:val="bottom"/>
          </w:tcPr>
          <w:p>
            <w:pPr>
              <w:jc w:val="center"/>
              <w:ind w:right="1"/>
              <w:spacing w:after="0"/>
              <w:rPr>
                <w:sz w:val="20"/>
                <w:szCs w:val="20"/>
                <w:color w:val="auto"/>
              </w:rPr>
            </w:pPr>
            <w:r>
              <w:rPr>
                <w:rFonts w:ascii="Arial" w:cs="Arial" w:eastAsia="Arial" w:hAnsi="Arial"/>
                <w:sz w:val="20"/>
                <w:szCs w:val="20"/>
                <w:color w:val="auto"/>
              </w:rPr>
              <w:t>15-39</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7,160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7,411</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Manufacturing equipment</w:t>
            </w:r>
          </w:p>
        </w:tc>
        <w:tc>
          <w:tcPr>
            <w:tcW w:w="1740" w:type="dxa"/>
            <w:vAlign w:val="bottom"/>
            <w:tcBorders>
              <w:bottom w:val="single" w:sz="8" w:color="CCEEFF"/>
            </w:tcBorders>
            <w:shd w:val="clear" w:color="auto" w:fill="CCEEFF"/>
          </w:tcPr>
          <w:p>
            <w:pPr>
              <w:jc w:val="center"/>
              <w:ind w:right="1"/>
              <w:spacing w:after="0"/>
              <w:rPr>
                <w:sz w:val="20"/>
                <w:szCs w:val="20"/>
                <w:color w:val="auto"/>
              </w:rPr>
            </w:pPr>
            <w:r>
              <w:rPr>
                <w:rFonts w:ascii="Arial" w:cs="Arial" w:eastAsia="Arial" w:hAnsi="Arial"/>
                <w:sz w:val="20"/>
                <w:szCs w:val="20"/>
                <w:color w:val="auto"/>
              </w:rPr>
              <w:t>7</w:t>
            </w: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21,072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18,983</w:t>
            </w:r>
          </w:p>
        </w:tc>
        <w:tc>
          <w:tcPr>
            <w:tcW w:w="0" w:type="dxa"/>
            <w:vAlign w:val="bottom"/>
          </w:tcPr>
          <w:p>
            <w:pPr>
              <w:spacing w:after="0"/>
              <w:rPr>
                <w:sz w:val="1"/>
                <w:szCs w:val="1"/>
                <w:color w:val="auto"/>
              </w:rPr>
            </w:pPr>
          </w:p>
        </w:tc>
      </w:tr>
      <w:tr>
        <w:trPr>
          <w:trHeight w:val="260"/>
        </w:trPr>
        <w:tc>
          <w:tcPr>
            <w:tcW w:w="4640" w:type="dxa"/>
            <w:vAlign w:val="bottom"/>
          </w:tcPr>
          <w:p>
            <w:pPr>
              <w:ind w:left="20"/>
              <w:spacing w:after="0"/>
              <w:rPr>
                <w:sz w:val="20"/>
                <w:szCs w:val="20"/>
                <w:color w:val="auto"/>
              </w:rPr>
            </w:pPr>
            <w:r>
              <w:rPr>
                <w:rFonts w:ascii="Arial" w:cs="Arial" w:eastAsia="Arial" w:hAnsi="Arial"/>
                <w:sz w:val="20"/>
                <w:szCs w:val="20"/>
                <w:color w:val="auto"/>
              </w:rPr>
              <w:t>Furniture, fixtures and equipment</w:t>
            </w:r>
          </w:p>
        </w:tc>
        <w:tc>
          <w:tcPr>
            <w:tcW w:w="1740" w:type="dxa"/>
            <w:vAlign w:val="bottom"/>
          </w:tcPr>
          <w:p>
            <w:pPr>
              <w:jc w:val="center"/>
              <w:ind w:right="1"/>
              <w:spacing w:after="0"/>
              <w:rPr>
                <w:sz w:val="20"/>
                <w:szCs w:val="20"/>
                <w:color w:val="auto"/>
              </w:rPr>
            </w:pPr>
            <w:r>
              <w:rPr>
                <w:rFonts w:ascii="Arial" w:cs="Arial" w:eastAsia="Arial" w:hAnsi="Arial"/>
                <w:sz w:val="20"/>
                <w:szCs w:val="20"/>
                <w:color w:val="auto"/>
                <w:w w:val="96"/>
              </w:rPr>
              <w:t>5-7</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3,545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3,583</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Vehicles</w:t>
            </w:r>
          </w:p>
        </w:tc>
        <w:tc>
          <w:tcPr>
            <w:tcW w:w="1740" w:type="dxa"/>
            <w:vAlign w:val="bottom"/>
            <w:shd w:val="clear" w:color="auto" w:fill="CCEEFF"/>
          </w:tcPr>
          <w:p>
            <w:pPr>
              <w:jc w:val="center"/>
              <w:ind w:right="1"/>
              <w:spacing w:after="0"/>
              <w:rPr>
                <w:sz w:val="20"/>
                <w:szCs w:val="20"/>
                <w:color w:val="auto"/>
              </w:rPr>
            </w:pPr>
            <w:r>
              <w:rPr>
                <w:rFonts w:ascii="Arial" w:cs="Arial" w:eastAsia="Arial" w:hAnsi="Arial"/>
                <w:sz w:val="20"/>
                <w:szCs w:val="20"/>
                <w:color w:val="auto"/>
              </w:rPr>
              <w:t>5</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621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585</w:t>
            </w:r>
          </w:p>
        </w:tc>
        <w:tc>
          <w:tcPr>
            <w:tcW w:w="0" w:type="dxa"/>
            <w:vAlign w:val="bottom"/>
          </w:tcPr>
          <w:p>
            <w:pPr>
              <w:spacing w:after="0"/>
              <w:rPr>
                <w:sz w:val="1"/>
                <w:szCs w:val="1"/>
                <w:color w:val="auto"/>
              </w:rPr>
            </w:pPr>
          </w:p>
        </w:tc>
      </w:tr>
      <w:tr>
        <w:trPr>
          <w:trHeight w:val="260"/>
        </w:trPr>
        <w:tc>
          <w:tcPr>
            <w:tcW w:w="4640" w:type="dxa"/>
            <w:vAlign w:val="bottom"/>
          </w:tcPr>
          <w:p>
            <w:pPr>
              <w:ind w:left="20"/>
              <w:spacing w:after="0"/>
              <w:rPr>
                <w:sz w:val="20"/>
                <w:szCs w:val="20"/>
                <w:color w:val="auto"/>
              </w:rPr>
            </w:pPr>
            <w:r>
              <w:rPr>
                <w:rFonts w:ascii="Arial" w:cs="Arial" w:eastAsia="Arial" w:hAnsi="Arial"/>
                <w:sz w:val="20"/>
                <w:szCs w:val="20"/>
                <w:color w:val="auto"/>
              </w:rPr>
              <w:t>Hardware and software</w:t>
            </w:r>
          </w:p>
        </w:tc>
        <w:tc>
          <w:tcPr>
            <w:tcW w:w="1740" w:type="dxa"/>
            <w:vAlign w:val="bottom"/>
          </w:tcPr>
          <w:p>
            <w:pPr>
              <w:jc w:val="center"/>
              <w:ind w:right="1"/>
              <w:spacing w:after="0"/>
              <w:rPr>
                <w:sz w:val="20"/>
                <w:szCs w:val="20"/>
                <w:color w:val="auto"/>
              </w:rPr>
            </w:pPr>
            <w:r>
              <w:rPr>
                <w:rFonts w:ascii="Arial" w:cs="Arial" w:eastAsia="Arial" w:hAnsi="Arial"/>
                <w:sz w:val="20"/>
                <w:szCs w:val="20"/>
                <w:color w:val="auto"/>
                <w:w w:val="96"/>
              </w:rPr>
              <w:t>3-5</w:t>
            </w: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4,275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3,706</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640" w:type="dxa"/>
            <w:vAlign w:val="bottom"/>
            <w:shd w:val="clear" w:color="auto" w:fill="CCEEFF"/>
          </w:tcPr>
          <w:p>
            <w:pPr>
              <w:ind w:left="20"/>
              <w:spacing w:after="0"/>
              <w:rPr>
                <w:sz w:val="20"/>
                <w:szCs w:val="20"/>
                <w:color w:val="auto"/>
              </w:rPr>
            </w:pPr>
            <w:r>
              <w:rPr>
                <w:rFonts w:ascii="Arial" w:cs="Arial" w:eastAsia="Arial" w:hAnsi="Arial"/>
                <w:sz w:val="20"/>
                <w:szCs w:val="20"/>
                <w:color w:val="auto"/>
              </w:rPr>
              <w:t>Assets in progress</w:t>
            </w:r>
          </w:p>
        </w:tc>
        <w:tc>
          <w:tcPr>
            <w:tcW w:w="1760" w:type="dxa"/>
            <w:vAlign w:val="bottom"/>
            <w:gridSpan w:val="2"/>
            <w:shd w:val="clear" w:color="auto" w:fill="CCEEFF"/>
          </w:tcPr>
          <w:p>
            <w:pPr>
              <w:jc w:val="center"/>
              <w:ind w:right="120"/>
              <w:spacing w:after="0"/>
              <w:rPr>
                <w:sz w:val="20"/>
                <w:szCs w:val="20"/>
                <w:color w:val="auto"/>
              </w:rPr>
            </w:pPr>
            <w:r>
              <w:rPr>
                <w:rFonts w:ascii="Arial" w:cs="Arial" w:eastAsia="Arial" w:hAnsi="Arial"/>
                <w:sz w:val="20"/>
                <w:szCs w:val="20"/>
                <w:color w:val="auto"/>
                <w:w w:val="95"/>
              </w:rPr>
              <w:t>N/A</w:t>
            </w:r>
          </w:p>
        </w:tc>
        <w:tc>
          <w:tcPr>
            <w:tcW w:w="400" w:type="dxa"/>
            <w:vAlign w:val="bottom"/>
            <w:shd w:val="clear" w:color="auto" w:fill="CCEEFF"/>
          </w:tcPr>
          <w:p>
            <w:pPr>
              <w:spacing w:after="0"/>
              <w:rPr>
                <w:sz w:val="24"/>
                <w:szCs w:val="24"/>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12,092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5,142</w:t>
            </w:r>
          </w:p>
        </w:tc>
        <w:tc>
          <w:tcPr>
            <w:tcW w:w="0" w:type="dxa"/>
            <w:vAlign w:val="bottom"/>
          </w:tcPr>
          <w:p>
            <w:pPr>
              <w:spacing w:after="0"/>
              <w:rPr>
                <w:sz w:val="1"/>
                <w:szCs w:val="1"/>
                <w:color w:val="auto"/>
              </w:rPr>
            </w:pPr>
          </w:p>
        </w:tc>
      </w:tr>
      <w:tr>
        <w:trPr>
          <w:trHeight w:val="259"/>
        </w:trPr>
        <w:tc>
          <w:tcPr>
            <w:tcW w:w="4640" w:type="dxa"/>
            <w:vAlign w:val="bottom"/>
          </w:tcPr>
          <w:p>
            <w:pPr>
              <w:ind w:left="240"/>
              <w:spacing w:after="0"/>
              <w:rPr>
                <w:sz w:val="20"/>
                <w:szCs w:val="20"/>
                <w:color w:val="auto"/>
              </w:rPr>
            </w:pPr>
            <w:r>
              <w:rPr>
                <w:rFonts w:ascii="Arial" w:cs="Arial" w:eastAsia="Arial" w:hAnsi="Arial"/>
                <w:sz w:val="20"/>
                <w:szCs w:val="20"/>
                <w:color w:val="auto"/>
              </w:rPr>
              <w:t>Total</w:t>
            </w:r>
          </w:p>
        </w:tc>
        <w:tc>
          <w:tcPr>
            <w:tcW w:w="17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50,353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40,993</w:t>
            </w:r>
          </w:p>
        </w:tc>
        <w:tc>
          <w:tcPr>
            <w:tcW w:w="0" w:type="dxa"/>
            <w:vAlign w:val="bottom"/>
          </w:tcPr>
          <w:p>
            <w:pPr>
              <w:spacing w:after="0"/>
              <w:rPr>
                <w:sz w:val="1"/>
                <w:szCs w:val="1"/>
                <w:color w:val="auto"/>
              </w:rPr>
            </w:pPr>
          </w:p>
        </w:tc>
      </w:tr>
      <w:tr>
        <w:trPr>
          <w:trHeight w:val="28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Less: accumulated depreciation</w:t>
            </w:r>
          </w:p>
        </w:tc>
        <w:tc>
          <w:tcPr>
            <w:tcW w:w="17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(19,679)</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(17,819)</w:t>
            </w:r>
          </w:p>
        </w:tc>
        <w:tc>
          <w:tcPr>
            <w:tcW w:w="0" w:type="dxa"/>
            <w:vAlign w:val="bottom"/>
          </w:tcPr>
          <w:p>
            <w:pPr>
              <w:spacing w:after="0"/>
              <w:rPr>
                <w:sz w:val="1"/>
                <w:szCs w:val="1"/>
                <w:color w:val="auto"/>
              </w:rPr>
            </w:pPr>
          </w:p>
        </w:tc>
      </w:tr>
      <w:tr>
        <w:trPr>
          <w:trHeight w:val="254"/>
        </w:trPr>
        <w:tc>
          <w:tcPr>
            <w:tcW w:w="4640" w:type="dxa"/>
            <w:vAlign w:val="bottom"/>
          </w:tcPr>
          <w:p>
            <w:pPr>
              <w:ind w:left="20"/>
              <w:spacing w:after="0"/>
              <w:rPr>
                <w:sz w:val="20"/>
                <w:szCs w:val="20"/>
                <w:color w:val="auto"/>
              </w:rPr>
            </w:pPr>
            <w:r>
              <w:rPr>
                <w:rFonts w:ascii="Arial" w:cs="Arial" w:eastAsia="Arial" w:hAnsi="Arial"/>
                <w:sz w:val="20"/>
                <w:szCs w:val="20"/>
                <w:color w:val="auto"/>
              </w:rPr>
              <w:t>Property, plant and equipment, net</w:t>
            </w:r>
          </w:p>
        </w:tc>
        <w:tc>
          <w:tcPr>
            <w:tcW w:w="17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jc w:val="right"/>
              <w:ind w:right="101"/>
              <w:spacing w:after="0"/>
              <w:rPr>
                <w:sz w:val="20"/>
                <w:szCs w:val="20"/>
                <w:color w:val="auto"/>
              </w:rPr>
            </w:pPr>
            <w:r>
              <w:rPr>
                <w:rFonts w:ascii="Arial" w:cs="Arial" w:eastAsia="Arial" w:hAnsi="Arial"/>
                <w:sz w:val="20"/>
                <w:szCs w:val="20"/>
                <w:color w:val="auto"/>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30,674</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20"/>
                <w:szCs w:val="20"/>
                <w:color w:val="auto"/>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23,174</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Depreciation expense was $0.8 million and $0.6 million for the three months ended June 30, 2023 and 2022, respectively, of which $0.3 million and $0.4 million was allocated to cost of revenue and $0.5 million and $0.2 million was included in depreciation and amortization, on the accompanying condensed consolidated statements of operations for the three months ended June 30, 2023 and 2022.</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Depreciation expense was $1.5 million and $1.2 million for the six months ended June 30, 2023 and 2022, respectively, of which $0.6 million and $0.9 million was allocated to cost of revenue and $0.9 million and $0.3 million was included in depreciation and amortization on the accompanying condensed consolidated statements of operations for the six months ended June 30, 2023 and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306" w:lineRule="exact"/>
        <w:rPr>
          <w:sz w:val="20"/>
          <w:szCs w:val="20"/>
          <w:color w:val="auto"/>
        </w:rPr>
      </w:pPr>
    </w:p>
    <w:p>
      <w:pPr>
        <w:ind w:left="400" w:hanging="392"/>
        <w:spacing w:after="0"/>
        <w:tabs>
          <w:tab w:leader="none" w:pos="400" w:val="left"/>
        </w:tabs>
        <w:numPr>
          <w:ilvl w:val="0"/>
          <w:numId w:val="7"/>
        </w:numPr>
        <w:rPr>
          <w:rFonts w:ascii="Arial" w:cs="Arial" w:eastAsia="Arial" w:hAnsi="Arial"/>
          <w:sz w:val="20"/>
          <w:szCs w:val="20"/>
          <w:b w:val="1"/>
          <w:bCs w:val="1"/>
          <w:color w:val="auto"/>
        </w:rPr>
      </w:pPr>
      <w:r>
        <w:rPr>
          <w:rFonts w:ascii="Arial" w:cs="Arial" w:eastAsia="Arial" w:hAnsi="Arial"/>
          <w:sz w:val="20"/>
          <w:szCs w:val="20"/>
          <w:b w:val="1"/>
          <w:bCs w:val="1"/>
          <w:color w:val="auto"/>
        </w:rPr>
        <w:t>Goodwill and Other Intangible Assets, Net</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Goodwill</w:t>
      </w:r>
    </w:p>
    <w:p>
      <w:pPr>
        <w:spacing w:after="0" w:line="145" w:lineRule="exact"/>
        <w:rPr>
          <w:sz w:val="20"/>
          <w:szCs w:val="20"/>
          <w:color w:val="auto"/>
        </w:rPr>
      </w:pPr>
    </w:p>
    <w:p>
      <w:pPr>
        <w:spacing w:after="0" w:line="269" w:lineRule="auto"/>
        <w:rPr>
          <w:sz w:val="20"/>
          <w:szCs w:val="20"/>
          <w:color w:val="auto"/>
        </w:rPr>
      </w:pPr>
      <w:r>
        <w:rPr>
          <w:rFonts w:ascii="Arial" w:cs="Arial" w:eastAsia="Arial" w:hAnsi="Arial"/>
          <w:sz w:val="20"/>
          <w:szCs w:val="20"/>
          <w:color w:val="auto"/>
        </w:rPr>
        <w:t>Changes in the carrying amount of goodwill by operating segment during the six months ended June 30, 2023, consisted of the following (in thousands):</w:t>
      </w: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0" w:type="dxa"/>
            <w:vAlign w:val="bottom"/>
          </w:tcPr>
          <w:p>
            <w:pPr>
              <w:jc w:val="right"/>
              <w:ind w:right="441"/>
              <w:spacing w:after="0"/>
              <w:rPr>
                <w:sz w:val="20"/>
                <w:szCs w:val="20"/>
                <w:color w:val="auto"/>
              </w:rPr>
            </w:pPr>
            <w:r>
              <w:rPr>
                <w:rFonts w:ascii="Arial" w:cs="Arial" w:eastAsia="Arial" w:hAnsi="Arial"/>
                <w:sz w:val="20"/>
                <w:szCs w:val="20"/>
                <w:b w:val="1"/>
                <w:bCs w:val="1"/>
                <w:color w:val="auto"/>
              </w:rPr>
              <w:t>Array Legacy</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71"/>
        </w:trPr>
        <w:tc>
          <w:tcPr>
            <w:tcW w:w="41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461"/>
              <w:spacing w:after="0" w:line="270" w:lineRule="exact"/>
              <w:rPr>
                <w:sz w:val="20"/>
                <w:szCs w:val="20"/>
                <w:color w:val="auto"/>
              </w:rPr>
            </w:pPr>
            <w:r>
              <w:rPr>
                <w:rFonts w:ascii="Arial" w:cs="Arial" w:eastAsia="Arial" w:hAnsi="Arial"/>
                <w:sz w:val="20"/>
                <w:szCs w:val="20"/>
                <w:b w:val="1"/>
                <w:bCs w:val="1"/>
                <w:color w:val="auto"/>
              </w:rPr>
              <w:t>Operations</w:t>
            </w:r>
            <w:r>
              <w:rPr>
                <w:rFonts w:ascii="Arial" w:cs="Arial" w:eastAsia="Arial" w:hAnsi="Arial"/>
                <w:sz w:val="25"/>
                <w:szCs w:val="25"/>
                <w:b w:val="1"/>
                <w:bCs w:val="1"/>
                <w:color w:val="auto"/>
                <w:vertAlign w:val="superscript"/>
              </w:rPr>
              <w:t>(1)</w:t>
            </w: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00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b w:val="1"/>
                <w:bCs w:val="1"/>
                <w:color w:val="auto"/>
              </w:rPr>
              <w:t>STI Operations</w:t>
            </w:r>
          </w:p>
        </w:tc>
        <w:tc>
          <w:tcPr>
            <w:tcW w:w="10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821"/>
              <w:spacing w:after="0"/>
              <w:rPr>
                <w:sz w:val="20"/>
                <w:szCs w:val="20"/>
                <w:color w:val="auto"/>
              </w:rPr>
            </w:pPr>
            <w:r>
              <w:rPr>
                <w:rFonts w:ascii="Arial" w:cs="Arial" w:eastAsia="Arial" w:hAnsi="Arial"/>
                <w:sz w:val="20"/>
                <w:szCs w:val="20"/>
                <w:b w:val="1"/>
                <w:bCs w:val="1"/>
                <w:color w:val="auto"/>
              </w:rPr>
              <w:t>Total</w:t>
            </w:r>
          </w:p>
        </w:tc>
      </w:tr>
      <w:tr>
        <w:trPr>
          <w:trHeight w:val="257"/>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32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20"/>
                <w:szCs w:val="20"/>
                <w:color w:val="auto"/>
                <w:w w:val="89"/>
              </w:rPr>
              <w:t>$</w:t>
            </w:r>
          </w:p>
        </w:tc>
        <w:tc>
          <w:tcPr>
            <w:tcW w:w="2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69,727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346,457</w:t>
            </w:r>
          </w:p>
        </w:tc>
        <w:tc>
          <w:tcPr>
            <w:tcW w:w="62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416,184</w:t>
            </w:r>
          </w:p>
        </w:tc>
      </w:tr>
      <w:tr>
        <w:trPr>
          <w:trHeight w:val="265"/>
        </w:trPr>
        <w:tc>
          <w:tcPr>
            <w:tcW w:w="4160" w:type="dxa"/>
            <w:vAlign w:val="bottom"/>
          </w:tcPr>
          <w:p>
            <w:pPr>
              <w:ind w:left="20"/>
              <w:spacing w:after="0"/>
              <w:rPr>
                <w:sz w:val="20"/>
                <w:szCs w:val="20"/>
                <w:color w:val="auto"/>
              </w:rPr>
            </w:pPr>
            <w:r>
              <w:rPr>
                <w:rFonts w:ascii="Arial" w:cs="Arial" w:eastAsia="Arial" w:hAnsi="Arial"/>
                <w:sz w:val="20"/>
                <w:szCs w:val="20"/>
                <w:color w:val="auto"/>
              </w:rPr>
              <w:t>Adjustment to goodwill (see Note 1)</w:t>
            </w:r>
          </w:p>
        </w:tc>
        <w:tc>
          <w:tcPr>
            <w:tcW w:w="320" w:type="dxa"/>
            <w:vAlign w:val="bottom"/>
          </w:tcPr>
          <w:p>
            <w:pPr>
              <w:spacing w:after="0"/>
              <w:rPr>
                <w:sz w:val="23"/>
                <w:szCs w:val="23"/>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2,000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760" w:type="dxa"/>
            <w:vAlign w:val="bottom"/>
          </w:tcPr>
          <w:p>
            <w:pPr>
              <w:jc w:val="right"/>
              <w:spacing w:after="0"/>
              <w:rPr>
                <w:sz w:val="20"/>
                <w:szCs w:val="20"/>
                <w:color w:val="auto"/>
              </w:rPr>
            </w:pPr>
            <w:r>
              <w:rPr>
                <w:rFonts w:ascii="Arial" w:cs="Arial" w:eastAsia="Arial" w:hAnsi="Arial"/>
                <w:sz w:val="20"/>
                <w:szCs w:val="20"/>
                <w:color w:val="auto"/>
              </w:rPr>
              <w:t>2,000</w:t>
            </w:r>
          </w:p>
        </w:tc>
      </w:tr>
      <w:tr>
        <w:trPr>
          <w:trHeight w:val="270"/>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Foreign currency translation</w:t>
            </w:r>
          </w:p>
        </w:tc>
        <w:tc>
          <w:tcPr>
            <w:tcW w:w="32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23,071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23,071</w:t>
            </w:r>
          </w:p>
        </w:tc>
      </w:tr>
      <w:tr>
        <w:trPr>
          <w:trHeight w:val="259"/>
        </w:trPr>
        <w:tc>
          <w:tcPr>
            <w:tcW w:w="416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320" w:type="dxa"/>
            <w:vAlign w:val="bottom"/>
          </w:tcPr>
          <w:p>
            <w:pPr>
              <w:jc w:val="right"/>
              <w:ind w:right="101"/>
              <w:spacing w:after="0"/>
              <w:rPr>
                <w:sz w:val="20"/>
                <w:szCs w:val="20"/>
                <w:color w:val="auto"/>
              </w:rPr>
            </w:pPr>
            <w:r>
              <w:rPr>
                <w:rFonts w:ascii="Arial" w:cs="Arial" w:eastAsia="Arial" w:hAnsi="Arial"/>
                <w:sz w:val="20"/>
                <w:szCs w:val="20"/>
                <w:color w:val="auto"/>
                <w:w w:val="89"/>
              </w:rPr>
              <w:t>$</w:t>
            </w: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69,727</w:t>
            </w:r>
          </w:p>
        </w:tc>
        <w:tc>
          <w:tcPr>
            <w:tcW w:w="380" w:type="dxa"/>
            <w:vAlign w:val="bottom"/>
            <w:gridSpan w:val="2"/>
          </w:tcPr>
          <w:p>
            <w:pPr>
              <w:jc w:val="right"/>
              <w:ind w:right="160"/>
              <w:spacing w:after="0"/>
              <w:rPr>
                <w:sz w:val="20"/>
                <w:szCs w:val="20"/>
                <w:color w:val="auto"/>
              </w:rPr>
            </w:pPr>
            <w:r>
              <w:rPr>
                <w:rFonts w:ascii="Arial" w:cs="Arial" w:eastAsia="Arial" w:hAnsi="Arial"/>
                <w:sz w:val="20"/>
                <w:szCs w:val="20"/>
                <w:color w:val="auto"/>
              </w:rPr>
              <w:t>$</w:t>
            </w:r>
          </w:p>
        </w:tc>
        <w:tc>
          <w:tcPr>
            <w:tcW w:w="2000" w:type="dxa"/>
            <w:vAlign w:val="bottom"/>
          </w:tcPr>
          <w:p>
            <w:pPr>
              <w:jc w:val="right"/>
              <w:spacing w:after="0"/>
              <w:rPr>
                <w:sz w:val="20"/>
                <w:szCs w:val="20"/>
                <w:color w:val="auto"/>
              </w:rPr>
            </w:pPr>
            <w:r>
              <w:rPr>
                <w:rFonts w:ascii="Arial" w:cs="Arial" w:eastAsia="Arial" w:hAnsi="Arial"/>
                <w:sz w:val="20"/>
                <w:szCs w:val="20"/>
                <w:color w:val="auto"/>
              </w:rPr>
              <w:t>371,528</w:t>
            </w:r>
          </w:p>
        </w:tc>
        <w:tc>
          <w:tcPr>
            <w:tcW w:w="620" w:type="dxa"/>
            <w:vAlign w:val="bottom"/>
            <w:gridSpan w:val="2"/>
          </w:tcPr>
          <w:p>
            <w:pPr>
              <w:jc w:val="right"/>
              <w:ind w:right="400"/>
              <w:spacing w:after="0"/>
              <w:rPr>
                <w:sz w:val="20"/>
                <w:szCs w:val="20"/>
                <w:color w:val="auto"/>
              </w:rPr>
            </w:pPr>
            <w:r>
              <w:rPr>
                <w:rFonts w:ascii="Arial" w:cs="Arial" w:eastAsia="Arial" w:hAnsi="Arial"/>
                <w:sz w:val="20"/>
                <w:szCs w:val="20"/>
                <w:color w:val="auto"/>
              </w:rPr>
              <w:t>$</w:t>
            </w:r>
          </w:p>
        </w:tc>
        <w:tc>
          <w:tcPr>
            <w:tcW w:w="1760" w:type="dxa"/>
            <w:vAlign w:val="bottom"/>
          </w:tcPr>
          <w:p>
            <w:pPr>
              <w:jc w:val="right"/>
              <w:spacing w:after="0"/>
              <w:rPr>
                <w:sz w:val="20"/>
                <w:szCs w:val="20"/>
                <w:color w:val="auto"/>
              </w:rPr>
            </w:pPr>
            <w:r>
              <w:rPr>
                <w:rFonts w:ascii="Arial" w:cs="Arial" w:eastAsia="Arial" w:hAnsi="Arial"/>
                <w:sz w:val="20"/>
                <w:szCs w:val="20"/>
                <w:color w:val="auto"/>
              </w:rPr>
              <w:t>441,255</w:t>
            </w:r>
          </w:p>
        </w:tc>
      </w:tr>
      <w:tr>
        <w:trPr>
          <w:trHeight w:val="23"/>
        </w:trPr>
        <w:tc>
          <w:tcPr>
            <w:tcW w:w="4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ind w:left="220" w:hanging="212"/>
        <w:spacing w:after="0" w:line="233" w:lineRule="auto"/>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Goodwill attributable to Array Legacy Operations is net of impairment of $51.9 million.</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Each quarter the Company evaluates if facts and circumstances indicate that it is more-likely-than-not that the fair value of its reporting units is less than their carrying value, which would require the Company to perform an interim goodwill impairment test. During our most recent evaluation, we concluded there were no indicators of impairment as of June 30, 2023.</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Intangible Assets, Net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Other intangible assets consisted of the following (in thousands, except useful lives):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19"/>
                <w:szCs w:val="19"/>
                <w:color w:val="auto"/>
              </w:rPr>
            </w:pPr>
          </w:p>
        </w:tc>
        <w:tc>
          <w:tcPr>
            <w:tcW w:w="2580" w:type="dxa"/>
            <w:vAlign w:val="bottom"/>
          </w:tcPr>
          <w:p>
            <w:pPr>
              <w:jc w:val="center"/>
              <w:ind w:left="361"/>
              <w:spacing w:after="0"/>
              <w:rPr>
                <w:sz w:val="20"/>
                <w:szCs w:val="20"/>
                <w:color w:val="auto"/>
              </w:rPr>
            </w:pPr>
            <w:r>
              <w:rPr>
                <w:rFonts w:ascii="Arial" w:cs="Arial" w:eastAsia="Arial" w:hAnsi="Arial"/>
                <w:sz w:val="20"/>
                <w:szCs w:val="20"/>
                <w:b w:val="1"/>
                <w:bCs w:val="1"/>
                <w:color w:val="auto"/>
                <w:w w:val="98"/>
              </w:rPr>
              <w:t>Estimated Useful</w:t>
            </w:r>
          </w:p>
        </w:tc>
        <w:tc>
          <w:tcPr>
            <w:tcW w:w="380" w:type="dxa"/>
            <w:vAlign w:val="bottom"/>
          </w:tcPr>
          <w:p>
            <w:pPr>
              <w:spacing w:after="0"/>
              <w:rPr>
                <w:sz w:val="19"/>
                <w:szCs w:val="19"/>
                <w:color w:val="auto"/>
              </w:rPr>
            </w:pPr>
          </w:p>
        </w:tc>
        <w:tc>
          <w:tcPr>
            <w:tcW w:w="1960" w:type="dxa"/>
            <w:vAlign w:val="bottom"/>
            <w:vMerge w:val="restart"/>
          </w:tcPr>
          <w:p>
            <w:pPr>
              <w:jc w:val="right"/>
              <w:ind w:right="421"/>
              <w:spacing w:after="0"/>
              <w:rPr>
                <w:sz w:val="20"/>
                <w:szCs w:val="20"/>
                <w:color w:val="auto"/>
              </w:rPr>
            </w:pPr>
            <w:r>
              <w:rPr>
                <w:rFonts w:ascii="Arial" w:cs="Arial" w:eastAsia="Arial" w:hAnsi="Arial"/>
                <w:sz w:val="20"/>
                <w:szCs w:val="20"/>
                <w:b w:val="1"/>
                <w:bCs w:val="1"/>
                <w:color w:val="auto"/>
              </w:rPr>
              <w:t>June 30, 2023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vMerge w:val="restart"/>
          </w:tcPr>
          <w:p>
            <w:pPr>
              <w:jc w:val="right"/>
              <w:ind w:right="181"/>
              <w:spacing w:after="0"/>
              <w:rPr>
                <w:sz w:val="20"/>
                <w:szCs w:val="20"/>
                <w:color w:val="auto"/>
              </w:rPr>
            </w:pPr>
            <w:r>
              <w:rPr>
                <w:rFonts w:ascii="Arial" w:cs="Arial" w:eastAsia="Arial" w:hAnsi="Arial"/>
                <w:sz w:val="20"/>
                <w:szCs w:val="20"/>
                <w:b w:val="1"/>
                <w:bCs w:val="1"/>
                <w:color w:val="auto"/>
                <w:w w:val="99"/>
              </w:rPr>
              <w:t>December 31, 2022</w:t>
            </w:r>
          </w:p>
        </w:tc>
        <w:tc>
          <w:tcPr>
            <w:tcW w:w="0" w:type="dxa"/>
            <w:vAlign w:val="bottom"/>
          </w:tcPr>
          <w:p>
            <w:pPr>
              <w:spacing w:after="0"/>
              <w:rPr>
                <w:sz w:val="1"/>
                <w:szCs w:val="1"/>
                <w:color w:val="auto"/>
              </w:rPr>
            </w:pPr>
          </w:p>
        </w:tc>
      </w:tr>
      <w:tr>
        <w:trPr>
          <w:trHeight w:val="271"/>
        </w:trPr>
        <w:tc>
          <w:tcPr>
            <w:tcW w:w="3880" w:type="dxa"/>
            <w:vAlign w:val="bottom"/>
          </w:tcPr>
          <w:p>
            <w:pPr>
              <w:spacing w:after="0"/>
              <w:rPr>
                <w:sz w:val="23"/>
                <w:szCs w:val="23"/>
                <w:color w:val="auto"/>
              </w:rPr>
            </w:pPr>
          </w:p>
        </w:tc>
        <w:tc>
          <w:tcPr>
            <w:tcW w:w="2580" w:type="dxa"/>
            <w:vAlign w:val="bottom"/>
          </w:tcPr>
          <w:p>
            <w:pPr>
              <w:jc w:val="center"/>
              <w:ind w:left="341"/>
              <w:spacing w:after="0"/>
              <w:rPr>
                <w:sz w:val="20"/>
                <w:szCs w:val="20"/>
                <w:color w:val="auto"/>
              </w:rPr>
            </w:pPr>
            <w:r>
              <w:rPr>
                <w:rFonts w:ascii="Arial" w:cs="Arial" w:eastAsia="Arial" w:hAnsi="Arial"/>
                <w:sz w:val="20"/>
                <w:szCs w:val="20"/>
                <w:b w:val="1"/>
                <w:bCs w:val="1"/>
                <w:color w:val="auto"/>
                <w:w w:val="97"/>
              </w:rPr>
              <w:t>Lives (Years)</w:t>
            </w:r>
          </w:p>
        </w:tc>
        <w:tc>
          <w:tcPr>
            <w:tcW w:w="38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vMerge w:val="continue"/>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3880" w:type="dxa"/>
            <w:vAlign w:val="bottom"/>
            <w:shd w:val="clear" w:color="auto" w:fill="CCEEFF"/>
          </w:tcPr>
          <w:p>
            <w:pPr>
              <w:ind w:left="20"/>
              <w:spacing w:after="0"/>
              <w:rPr>
                <w:sz w:val="20"/>
                <w:szCs w:val="20"/>
                <w:color w:val="auto"/>
              </w:rPr>
            </w:pPr>
            <w:r>
              <w:rPr>
                <w:rFonts w:ascii="Arial" w:cs="Arial" w:eastAsia="Arial" w:hAnsi="Arial"/>
                <w:sz w:val="20"/>
                <w:szCs w:val="20"/>
                <w:color w:val="auto"/>
              </w:rPr>
              <w:t>Amortizable:</w:t>
            </w:r>
          </w:p>
        </w:tc>
        <w:tc>
          <w:tcPr>
            <w:tcW w:w="25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880" w:type="dxa"/>
            <w:vAlign w:val="bottom"/>
          </w:tcPr>
          <w:p>
            <w:pPr>
              <w:ind w:left="240"/>
              <w:spacing w:after="0"/>
              <w:rPr>
                <w:sz w:val="20"/>
                <w:szCs w:val="20"/>
                <w:color w:val="auto"/>
              </w:rPr>
            </w:pPr>
            <w:r>
              <w:rPr>
                <w:rFonts w:ascii="Arial" w:cs="Arial" w:eastAsia="Arial" w:hAnsi="Arial"/>
                <w:sz w:val="20"/>
                <w:szCs w:val="20"/>
                <w:color w:val="auto"/>
              </w:rPr>
              <w:t>Costs:</w:t>
            </w:r>
          </w:p>
        </w:tc>
        <w:tc>
          <w:tcPr>
            <w:tcW w:w="2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580" w:type="dxa"/>
            <w:vAlign w:val="bottom"/>
            <w:tcBorders>
              <w:bottom w:val="single" w:sz="8" w:color="CCEEFF"/>
            </w:tcBorders>
            <w:shd w:val="clear" w:color="auto" w:fill="CCEEFF"/>
          </w:tcPr>
          <w:p>
            <w:pPr>
              <w:jc w:val="center"/>
              <w:ind w:left="341"/>
              <w:spacing w:after="0"/>
              <w:rPr>
                <w:sz w:val="20"/>
                <w:szCs w:val="20"/>
                <w:color w:val="auto"/>
              </w:rPr>
            </w:pPr>
            <w:r>
              <w:rPr>
                <w:rFonts w:ascii="Arial" w:cs="Arial" w:eastAsia="Arial" w:hAnsi="Arial"/>
                <w:sz w:val="20"/>
                <w:szCs w:val="20"/>
                <w:color w:val="auto"/>
                <w:w w:val="98"/>
              </w:rPr>
              <w:t>14</w:t>
            </w:r>
          </w:p>
        </w:tc>
        <w:tc>
          <w:tcPr>
            <w:tcW w:w="3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204,441</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203,800</w:t>
            </w:r>
          </w:p>
        </w:tc>
        <w:tc>
          <w:tcPr>
            <w:tcW w:w="0" w:type="dxa"/>
            <w:vAlign w:val="bottom"/>
          </w:tcPr>
          <w:p>
            <w:pPr>
              <w:spacing w:after="0"/>
              <w:rPr>
                <w:sz w:val="1"/>
                <w:szCs w:val="1"/>
                <w:color w:val="auto"/>
              </w:rPr>
            </w:pPr>
          </w:p>
        </w:tc>
      </w:tr>
      <w:tr>
        <w:trPr>
          <w:trHeight w:val="260"/>
        </w:trPr>
        <w:tc>
          <w:tcPr>
            <w:tcW w:w="388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580" w:type="dxa"/>
            <w:vAlign w:val="bottom"/>
          </w:tcPr>
          <w:p>
            <w:pPr>
              <w:jc w:val="center"/>
              <w:ind w:left="341"/>
              <w:spacing w:after="0"/>
              <w:rPr>
                <w:sz w:val="20"/>
                <w:szCs w:val="20"/>
                <w:color w:val="auto"/>
              </w:rPr>
            </w:pPr>
            <w:r>
              <w:rPr>
                <w:rFonts w:ascii="Arial" w:cs="Arial" w:eastAsia="Arial" w:hAnsi="Arial"/>
                <w:sz w:val="20"/>
                <w:szCs w:val="20"/>
                <w:color w:val="auto"/>
                <w:w w:val="98"/>
              </w:rPr>
              <w:t>10</w:t>
            </w:r>
          </w:p>
        </w:tc>
        <w:tc>
          <w:tcPr>
            <w:tcW w:w="3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336,305</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321,935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580" w:type="dxa"/>
            <w:vAlign w:val="bottom"/>
            <w:tcBorders>
              <w:bottom w:val="single" w:sz="8" w:color="CCEEFF"/>
            </w:tcBorders>
            <w:shd w:val="clear" w:color="auto" w:fill="CCEEFF"/>
          </w:tcPr>
          <w:p>
            <w:pPr>
              <w:jc w:val="center"/>
              <w:ind w:left="341"/>
              <w:spacing w:after="0"/>
              <w:rPr>
                <w:sz w:val="20"/>
                <w:szCs w:val="20"/>
                <w:color w:val="auto"/>
              </w:rPr>
            </w:pPr>
            <w:r>
              <w:rPr>
                <w:rFonts w:ascii="Arial" w:cs="Arial" w:eastAsia="Arial" w:hAnsi="Arial"/>
                <w:sz w:val="20"/>
                <w:szCs w:val="20"/>
                <w:color w:val="auto"/>
                <w:w w:val="89"/>
              </w:rPr>
              <w:t>1</w:t>
            </w:r>
          </w:p>
        </w:tc>
        <w:tc>
          <w:tcPr>
            <w:tcW w:w="3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54,676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51,015</w:t>
            </w:r>
          </w:p>
        </w:tc>
        <w:tc>
          <w:tcPr>
            <w:tcW w:w="0" w:type="dxa"/>
            <w:vAlign w:val="bottom"/>
          </w:tcPr>
          <w:p>
            <w:pPr>
              <w:spacing w:after="0"/>
              <w:rPr>
                <w:sz w:val="1"/>
                <w:szCs w:val="1"/>
                <w:color w:val="auto"/>
              </w:rPr>
            </w:pPr>
          </w:p>
        </w:tc>
      </w:tr>
      <w:tr>
        <w:trPr>
          <w:trHeight w:val="260"/>
        </w:trPr>
        <w:tc>
          <w:tcPr>
            <w:tcW w:w="3880" w:type="dxa"/>
            <w:vAlign w:val="bottom"/>
          </w:tcPr>
          <w:p>
            <w:pPr>
              <w:ind w:left="560"/>
              <w:spacing w:after="0"/>
              <w:rPr>
                <w:sz w:val="20"/>
                <w:szCs w:val="20"/>
                <w:color w:val="auto"/>
              </w:rPr>
            </w:pPr>
            <w:r>
              <w:rPr>
                <w:rFonts w:ascii="Arial" w:cs="Arial" w:eastAsia="Arial" w:hAnsi="Arial"/>
                <w:sz w:val="20"/>
                <w:szCs w:val="20"/>
                <w:color w:val="auto"/>
              </w:rPr>
              <w:t>Trade name</w:t>
            </w:r>
          </w:p>
        </w:tc>
        <w:tc>
          <w:tcPr>
            <w:tcW w:w="2580" w:type="dxa"/>
            <w:vAlign w:val="bottom"/>
          </w:tcPr>
          <w:p>
            <w:pPr>
              <w:jc w:val="center"/>
              <w:ind w:left="341"/>
              <w:spacing w:after="0"/>
              <w:rPr>
                <w:sz w:val="20"/>
                <w:szCs w:val="20"/>
                <w:color w:val="auto"/>
              </w:rPr>
            </w:pPr>
            <w:r>
              <w:rPr>
                <w:rFonts w:ascii="Arial" w:cs="Arial" w:eastAsia="Arial" w:hAnsi="Arial"/>
                <w:sz w:val="20"/>
                <w:szCs w:val="20"/>
                <w:color w:val="auto"/>
                <w:w w:val="98"/>
              </w:rPr>
              <w:t>20</w:t>
            </w:r>
          </w:p>
        </w:tc>
        <w:tc>
          <w:tcPr>
            <w:tcW w:w="3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27,009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25,682</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amortizable intangibles</w:t>
            </w:r>
          </w:p>
        </w:tc>
        <w:tc>
          <w:tcPr>
            <w:tcW w:w="25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622,431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602,432</w:t>
            </w:r>
          </w:p>
        </w:tc>
        <w:tc>
          <w:tcPr>
            <w:tcW w:w="0" w:type="dxa"/>
            <w:vAlign w:val="bottom"/>
          </w:tcPr>
          <w:p>
            <w:pPr>
              <w:spacing w:after="0"/>
              <w:rPr>
                <w:sz w:val="1"/>
                <w:szCs w:val="1"/>
                <w:color w:val="auto"/>
              </w:rPr>
            </w:pPr>
          </w:p>
        </w:tc>
      </w:tr>
      <w:tr>
        <w:trPr>
          <w:trHeight w:val="240"/>
        </w:trPr>
        <w:tc>
          <w:tcPr>
            <w:tcW w:w="3880" w:type="dxa"/>
            <w:vAlign w:val="bottom"/>
          </w:tcPr>
          <w:p>
            <w:pPr>
              <w:ind w:left="240"/>
              <w:spacing w:after="0"/>
              <w:rPr>
                <w:sz w:val="20"/>
                <w:szCs w:val="20"/>
                <w:color w:val="auto"/>
              </w:rPr>
            </w:pPr>
            <w:r>
              <w:rPr>
                <w:rFonts w:ascii="Arial" w:cs="Arial" w:eastAsia="Arial" w:hAnsi="Arial"/>
                <w:sz w:val="20"/>
                <w:szCs w:val="20"/>
                <w:color w:val="auto"/>
              </w:rPr>
              <w:t>Accumulated amortization:</w:t>
            </w:r>
          </w:p>
        </w:tc>
        <w:tc>
          <w:tcPr>
            <w:tcW w:w="25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88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20"/>
                <w:szCs w:val="20"/>
                <w:color w:val="auto"/>
              </w:rPr>
              <w:t>Developed technology</w:t>
            </w:r>
          </w:p>
        </w:tc>
        <w:tc>
          <w:tcPr>
            <w:tcW w:w="25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101,769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94,347</w:t>
            </w:r>
          </w:p>
        </w:tc>
        <w:tc>
          <w:tcPr>
            <w:tcW w:w="0" w:type="dxa"/>
            <w:vAlign w:val="bottom"/>
          </w:tcPr>
          <w:p>
            <w:pPr>
              <w:spacing w:after="0"/>
              <w:rPr>
                <w:sz w:val="1"/>
                <w:szCs w:val="1"/>
                <w:color w:val="auto"/>
              </w:rPr>
            </w:pPr>
          </w:p>
        </w:tc>
      </w:tr>
      <w:tr>
        <w:trPr>
          <w:trHeight w:val="260"/>
        </w:trPr>
        <w:tc>
          <w:tcPr>
            <w:tcW w:w="3880" w:type="dxa"/>
            <w:vAlign w:val="bottom"/>
          </w:tcPr>
          <w:p>
            <w:pPr>
              <w:ind w:left="560"/>
              <w:spacing w:after="0"/>
              <w:rPr>
                <w:sz w:val="20"/>
                <w:szCs w:val="20"/>
                <w:color w:val="auto"/>
              </w:rPr>
            </w:pPr>
            <w:r>
              <w:rPr>
                <w:rFonts w:ascii="Arial" w:cs="Arial" w:eastAsia="Arial" w:hAnsi="Arial"/>
                <w:sz w:val="20"/>
                <w:szCs w:val="20"/>
                <w:color w:val="auto"/>
              </w:rPr>
              <w:t>Customer relationships</w:t>
            </w:r>
          </w:p>
        </w:tc>
        <w:tc>
          <w:tcPr>
            <w:tcW w:w="2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tcPr>
          <w:p>
            <w:pPr>
              <w:jc w:val="right"/>
              <w:spacing w:after="0"/>
              <w:rPr>
                <w:sz w:val="20"/>
                <w:szCs w:val="20"/>
                <w:color w:val="auto"/>
              </w:rPr>
            </w:pPr>
            <w:r>
              <w:rPr>
                <w:rFonts w:ascii="Arial" w:cs="Arial" w:eastAsia="Arial" w:hAnsi="Arial"/>
                <w:sz w:val="20"/>
                <w:szCs w:val="20"/>
                <w:color w:val="auto"/>
              </w:rPr>
              <w:t>98,773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jc w:val="right"/>
              <w:spacing w:after="0"/>
              <w:rPr>
                <w:sz w:val="20"/>
                <w:szCs w:val="20"/>
                <w:color w:val="auto"/>
              </w:rPr>
            </w:pPr>
            <w:r>
              <w:rPr>
                <w:rFonts w:ascii="Arial" w:cs="Arial" w:eastAsia="Arial" w:hAnsi="Arial"/>
                <w:sz w:val="20"/>
                <w:szCs w:val="20"/>
                <w:color w:val="auto"/>
              </w:rPr>
              <w:t>81,268</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80" w:type="dxa"/>
            <w:vAlign w:val="bottom"/>
            <w:shd w:val="clear" w:color="auto" w:fill="CCEEFF"/>
          </w:tcPr>
          <w:p>
            <w:pPr>
              <w:ind w:left="560"/>
              <w:spacing w:after="0"/>
              <w:rPr>
                <w:sz w:val="20"/>
                <w:szCs w:val="20"/>
                <w:color w:val="auto"/>
              </w:rPr>
            </w:pPr>
            <w:r>
              <w:rPr>
                <w:rFonts w:ascii="Arial" w:cs="Arial" w:eastAsia="Arial" w:hAnsi="Arial"/>
                <w:sz w:val="20"/>
                <w:szCs w:val="20"/>
                <w:color w:val="auto"/>
              </w:rPr>
              <w:t>Backlog</w:t>
            </w:r>
          </w:p>
        </w:tc>
        <w:tc>
          <w:tcPr>
            <w:tcW w:w="25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54,677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49,507</w:t>
            </w:r>
          </w:p>
        </w:tc>
        <w:tc>
          <w:tcPr>
            <w:tcW w:w="0" w:type="dxa"/>
            <w:vAlign w:val="bottom"/>
          </w:tcPr>
          <w:p>
            <w:pPr>
              <w:spacing w:after="0"/>
              <w:rPr>
                <w:sz w:val="1"/>
                <w:szCs w:val="1"/>
                <w:color w:val="auto"/>
              </w:rPr>
            </w:pPr>
          </w:p>
        </w:tc>
      </w:tr>
      <w:tr>
        <w:trPr>
          <w:trHeight w:val="279"/>
        </w:trPr>
        <w:tc>
          <w:tcPr>
            <w:tcW w:w="3880" w:type="dxa"/>
            <w:vAlign w:val="bottom"/>
            <w:tcBorders>
              <w:bottom w:val="single" w:sz="8" w:color="CCEEFF"/>
            </w:tcBorders>
          </w:tcPr>
          <w:p>
            <w:pPr>
              <w:ind w:left="560"/>
              <w:spacing w:after="0"/>
              <w:rPr>
                <w:sz w:val="20"/>
                <w:szCs w:val="20"/>
                <w:color w:val="auto"/>
              </w:rPr>
            </w:pPr>
            <w:r>
              <w:rPr>
                <w:rFonts w:ascii="Arial" w:cs="Arial" w:eastAsia="Arial" w:hAnsi="Arial"/>
                <w:sz w:val="20"/>
                <w:szCs w:val="20"/>
                <w:color w:val="auto"/>
              </w:rPr>
              <w:t>Trade name</w:t>
            </w:r>
          </w:p>
        </w:tc>
        <w:tc>
          <w:tcPr>
            <w:tcW w:w="2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1,246</w:t>
            </w:r>
          </w:p>
        </w:tc>
        <w:tc>
          <w:tcPr>
            <w:tcW w:w="0" w:type="dxa"/>
            <w:vAlign w:val="bottom"/>
          </w:tcPr>
          <w:p>
            <w:pPr>
              <w:spacing w:after="0"/>
              <w:rPr>
                <w:sz w:val="1"/>
                <w:szCs w:val="1"/>
                <w:color w:val="auto"/>
              </w:rPr>
            </w:pPr>
          </w:p>
        </w:tc>
      </w:tr>
      <w:tr>
        <w:trPr>
          <w:trHeight w:val="282"/>
        </w:trPr>
        <w:tc>
          <w:tcPr>
            <w:tcW w:w="38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20"/>
                <w:szCs w:val="20"/>
                <w:color w:val="auto"/>
              </w:rPr>
              <w:t>Total accumulated amortization</w:t>
            </w:r>
          </w:p>
        </w:tc>
        <w:tc>
          <w:tcPr>
            <w:tcW w:w="25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257,204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226,368</w:t>
            </w:r>
          </w:p>
        </w:tc>
        <w:tc>
          <w:tcPr>
            <w:tcW w:w="0" w:type="dxa"/>
            <w:vAlign w:val="bottom"/>
          </w:tcPr>
          <w:p>
            <w:pPr>
              <w:spacing w:after="0"/>
              <w:rPr>
                <w:sz w:val="1"/>
                <w:szCs w:val="1"/>
                <w:color w:val="auto"/>
              </w:rPr>
            </w:pPr>
          </w:p>
        </w:tc>
      </w:tr>
      <w:tr>
        <w:trPr>
          <w:trHeight w:val="254"/>
        </w:trPr>
        <w:tc>
          <w:tcPr>
            <w:tcW w:w="3880" w:type="dxa"/>
            <w:vAlign w:val="bottom"/>
          </w:tcPr>
          <w:p>
            <w:pPr>
              <w:ind w:left="20"/>
              <w:spacing w:after="0"/>
              <w:rPr>
                <w:sz w:val="20"/>
                <w:szCs w:val="20"/>
                <w:color w:val="auto"/>
              </w:rPr>
            </w:pPr>
            <w:r>
              <w:rPr>
                <w:rFonts w:ascii="Arial" w:cs="Arial" w:eastAsia="Arial" w:hAnsi="Arial"/>
                <w:sz w:val="20"/>
                <w:szCs w:val="20"/>
                <w:color w:val="auto"/>
              </w:rPr>
              <w:t>Total amortizable intangibles, net</w:t>
            </w:r>
          </w:p>
        </w:tc>
        <w:tc>
          <w:tcPr>
            <w:tcW w:w="258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365,227</w:t>
            </w: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376,064</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3880" w:type="dxa"/>
            <w:vAlign w:val="bottom"/>
          </w:tcPr>
          <w:p>
            <w:pPr>
              <w:ind w:left="20"/>
              <w:spacing w:after="0"/>
              <w:rPr>
                <w:sz w:val="20"/>
                <w:szCs w:val="20"/>
                <w:color w:val="auto"/>
              </w:rPr>
            </w:pPr>
            <w:r>
              <w:rPr>
                <w:rFonts w:ascii="Arial" w:cs="Arial" w:eastAsia="Arial" w:hAnsi="Arial"/>
                <w:sz w:val="20"/>
                <w:szCs w:val="20"/>
                <w:color w:val="auto"/>
              </w:rPr>
              <w:t>Non-amortizable costs:</w:t>
            </w:r>
          </w:p>
        </w:tc>
        <w:tc>
          <w:tcPr>
            <w:tcW w:w="25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38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Trade name</w:t>
            </w:r>
          </w:p>
        </w:tc>
        <w:tc>
          <w:tcPr>
            <w:tcW w:w="25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10,300</w:t>
            </w:r>
          </w:p>
        </w:tc>
        <w:tc>
          <w:tcPr>
            <w:tcW w:w="0" w:type="dxa"/>
            <w:vAlign w:val="bottom"/>
          </w:tcPr>
          <w:p>
            <w:pPr>
              <w:spacing w:after="0"/>
              <w:rPr>
                <w:sz w:val="1"/>
                <w:szCs w:val="1"/>
                <w:color w:val="auto"/>
              </w:rPr>
            </w:pPr>
          </w:p>
        </w:tc>
      </w:tr>
      <w:tr>
        <w:trPr>
          <w:trHeight w:val="254"/>
        </w:trPr>
        <w:tc>
          <w:tcPr>
            <w:tcW w:w="3880" w:type="dxa"/>
            <w:vAlign w:val="bottom"/>
          </w:tcPr>
          <w:p>
            <w:pPr>
              <w:ind w:left="20"/>
              <w:spacing w:after="0"/>
              <w:rPr>
                <w:sz w:val="20"/>
                <w:szCs w:val="20"/>
                <w:color w:val="auto"/>
              </w:rPr>
            </w:pPr>
            <w:r>
              <w:rPr>
                <w:rFonts w:ascii="Arial" w:cs="Arial" w:eastAsia="Arial" w:hAnsi="Arial"/>
                <w:sz w:val="20"/>
                <w:szCs w:val="20"/>
                <w:color w:val="auto"/>
              </w:rPr>
              <w:t>Total other intangible assets, net</w:t>
            </w:r>
          </w:p>
        </w:tc>
        <w:tc>
          <w:tcPr>
            <w:tcW w:w="2580" w:type="dxa"/>
            <w:vAlign w:val="bottom"/>
          </w:tcPr>
          <w:p>
            <w:pPr>
              <w:spacing w:after="0"/>
              <w:rPr>
                <w:sz w:val="22"/>
                <w:szCs w:val="22"/>
                <w:color w:val="auto"/>
              </w:rPr>
            </w:pPr>
          </w:p>
        </w:tc>
        <w:tc>
          <w:tcPr>
            <w:tcW w:w="38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375,527</w:t>
            </w:r>
          </w:p>
        </w:tc>
        <w:tc>
          <w:tcPr>
            <w:tcW w:w="100" w:type="dxa"/>
            <w:vAlign w:val="bottom"/>
          </w:tcPr>
          <w:p>
            <w:pPr>
              <w:spacing w:after="0"/>
              <w:rPr>
                <w:sz w:val="22"/>
                <w:szCs w:val="22"/>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386,364</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8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31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Amortization expense related to intangible assets was $12.4 million and $25.8 million for the three months ended June 30, 2023 and 2022, respectively, and $26.2 million and $48.9 million for the six months ended June 30, 2023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color w:val="auto"/>
        </w:rPr>
        <w:t>Estimated future amortization expense of intangible assets as of June 30, 2023, is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6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721"/>
              <w:spacing w:after="0"/>
              <w:rPr>
                <w:sz w:val="20"/>
                <w:szCs w:val="20"/>
                <w:color w:val="auto"/>
              </w:rPr>
            </w:pPr>
            <w:r>
              <w:rPr>
                <w:rFonts w:ascii="Arial" w:cs="Arial" w:eastAsia="Arial" w:hAnsi="Arial"/>
                <w:sz w:val="20"/>
                <w:szCs w:val="20"/>
                <w:b w:val="1"/>
                <w:bCs w:val="1"/>
                <w:color w:val="auto"/>
              </w:rPr>
              <w:t>Amount</w:t>
            </w:r>
          </w:p>
        </w:tc>
      </w:tr>
      <w:tr>
        <w:trPr>
          <w:trHeight w:val="281"/>
        </w:trPr>
        <w:tc>
          <w:tcPr>
            <w:tcW w:w="8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Remainder of 2023</w:t>
            </w:r>
          </w:p>
        </w:tc>
        <w:tc>
          <w:tcPr>
            <w:tcW w:w="50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24,769</w:t>
            </w:r>
          </w:p>
        </w:tc>
      </w:tr>
      <w:tr>
        <w:trPr>
          <w:trHeight w:val="270"/>
        </w:trPr>
        <w:tc>
          <w:tcPr>
            <w:tcW w:w="8860" w:type="dxa"/>
            <w:vAlign w:val="bottom"/>
          </w:tcPr>
          <w:p>
            <w:pPr>
              <w:ind w:left="20"/>
              <w:spacing w:after="0"/>
              <w:rPr>
                <w:sz w:val="20"/>
                <w:szCs w:val="20"/>
                <w:color w:val="auto"/>
              </w:rPr>
            </w:pPr>
            <w:r>
              <w:rPr>
                <w:rFonts w:ascii="Arial" w:cs="Arial" w:eastAsia="Arial" w:hAnsi="Arial"/>
                <w:sz w:val="20"/>
                <w:szCs w:val="20"/>
                <w:color w:val="auto"/>
              </w:rPr>
              <w:t>2024</w:t>
            </w:r>
          </w:p>
        </w:tc>
        <w:tc>
          <w:tcPr>
            <w:tcW w:w="500" w:type="dxa"/>
            <w:vAlign w:val="bottom"/>
          </w:tcPr>
          <w:p>
            <w:pPr>
              <w:spacing w:after="0"/>
              <w:rPr>
                <w:sz w:val="23"/>
                <w:szCs w:val="23"/>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49,538</w:t>
            </w:r>
          </w:p>
        </w:tc>
      </w:tr>
      <w:tr>
        <w:trPr>
          <w:trHeight w:val="283"/>
        </w:trPr>
        <w:tc>
          <w:tcPr>
            <w:tcW w:w="8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2025</w:t>
            </w:r>
          </w:p>
        </w:tc>
        <w:tc>
          <w:tcPr>
            <w:tcW w:w="5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49,538</w:t>
            </w:r>
          </w:p>
        </w:tc>
      </w:tr>
      <w:tr>
        <w:trPr>
          <w:trHeight w:val="279"/>
        </w:trPr>
        <w:tc>
          <w:tcPr>
            <w:tcW w:w="8860" w:type="dxa"/>
            <w:vAlign w:val="bottom"/>
          </w:tcPr>
          <w:p>
            <w:pPr>
              <w:ind w:left="20"/>
              <w:spacing w:after="0"/>
              <w:rPr>
                <w:sz w:val="20"/>
                <w:szCs w:val="20"/>
                <w:color w:val="auto"/>
              </w:rPr>
            </w:pPr>
            <w:r>
              <w:rPr>
                <w:rFonts w:ascii="Arial" w:cs="Arial" w:eastAsia="Arial" w:hAnsi="Arial"/>
                <w:sz w:val="20"/>
                <w:szCs w:val="20"/>
                <w:color w:val="auto"/>
              </w:rPr>
              <w:t>2026</w:t>
            </w:r>
          </w:p>
        </w:tc>
        <w:tc>
          <w:tcPr>
            <w:tcW w:w="5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20"/>
                <w:szCs w:val="20"/>
                <w:color w:val="auto"/>
              </w:rPr>
              <w:t>45,232</w:t>
            </w:r>
          </w:p>
        </w:tc>
      </w:tr>
      <w:tr>
        <w:trPr>
          <w:trHeight w:val="288"/>
        </w:trPr>
        <w:tc>
          <w:tcPr>
            <w:tcW w:w="8860" w:type="dxa"/>
            <w:vAlign w:val="bottom"/>
            <w:shd w:val="clear" w:color="auto" w:fill="CCEEFF"/>
          </w:tcPr>
          <w:p>
            <w:pPr>
              <w:ind w:left="20"/>
              <w:spacing w:after="0"/>
              <w:rPr>
                <w:sz w:val="20"/>
                <w:szCs w:val="20"/>
                <w:color w:val="auto"/>
              </w:rPr>
            </w:pPr>
            <w:r>
              <w:rPr>
                <w:rFonts w:ascii="Arial" w:cs="Arial" w:eastAsia="Arial" w:hAnsi="Arial"/>
                <w:sz w:val="20"/>
                <w:szCs w:val="20"/>
                <w:color w:val="auto"/>
              </w:rPr>
              <w:t>2027</w:t>
            </w:r>
          </w:p>
        </w:tc>
        <w:tc>
          <w:tcPr>
            <w:tcW w:w="50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40,588</w:t>
            </w:r>
          </w:p>
        </w:tc>
      </w:tr>
      <w:tr>
        <w:trPr>
          <w:trHeight w:val="284"/>
        </w:trPr>
        <w:tc>
          <w:tcPr>
            <w:tcW w:w="88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Thereafter</w:t>
            </w:r>
          </w:p>
        </w:tc>
        <w:tc>
          <w:tcPr>
            <w:tcW w:w="5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155,562</w:t>
            </w:r>
          </w:p>
        </w:tc>
      </w:tr>
      <w:tr>
        <w:trPr>
          <w:trHeight w:val="302"/>
        </w:trPr>
        <w:tc>
          <w:tcPr>
            <w:tcW w:w="886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20"/>
                <w:szCs w:val="20"/>
                <w:color w:val="auto"/>
              </w:rPr>
              <w:t>$</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365,227</w:t>
            </w: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Long-lived assets, including intangible assets, are reviewed for impairment whenever events or changes in circumstances indicate the carrying amount of an asset group may not be recoverable. As of June 30, 2023, no events or circumstances were noted that would indicate the carrying amount of any of our asset groups may not be recoverable.</w:t>
      </w:r>
    </w:p>
    <w:p>
      <w:pPr>
        <w:spacing w:after="0" w:line="196" w:lineRule="exact"/>
        <w:rPr>
          <w:sz w:val="20"/>
          <w:szCs w:val="20"/>
          <w:color w:val="auto"/>
        </w:rPr>
      </w:pPr>
    </w:p>
    <w:p>
      <w:pPr>
        <w:ind w:left="400" w:hanging="392"/>
        <w:spacing w:after="0"/>
        <w:tabs>
          <w:tab w:leader="none" w:pos="400" w:val="left"/>
        </w:tabs>
        <w:numPr>
          <w:ilvl w:val="0"/>
          <w:numId w:val="9"/>
        </w:numPr>
        <w:rPr>
          <w:rFonts w:ascii="Arial" w:cs="Arial" w:eastAsia="Arial" w:hAnsi="Arial"/>
          <w:sz w:val="20"/>
          <w:szCs w:val="20"/>
          <w:b w:val="1"/>
          <w:bCs w:val="1"/>
          <w:color w:val="auto"/>
        </w:rPr>
      </w:pPr>
      <w:r>
        <w:rPr>
          <w:rFonts w:ascii="Arial" w:cs="Arial" w:eastAsia="Arial" w:hAnsi="Arial"/>
          <w:sz w:val="20"/>
          <w:szCs w:val="20"/>
          <w:b w:val="1"/>
          <w:bCs w:val="1"/>
          <w:color w:val="auto"/>
        </w:rPr>
        <w:t>Income Taxes</w:t>
      </w:r>
    </w:p>
    <w:p>
      <w:pPr>
        <w:spacing w:after="0" w:line="274"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 xml:space="preserve">The Company follows guidance under ASC Topic 740-270 </w:t>
      </w:r>
      <w:r>
        <w:rPr>
          <w:rFonts w:ascii="Arial" w:cs="Arial" w:eastAsia="Arial" w:hAnsi="Arial"/>
          <w:sz w:val="20"/>
          <w:szCs w:val="20"/>
          <w:i w:val="1"/>
          <w:iCs w:val="1"/>
          <w:color w:val="auto"/>
        </w:rPr>
        <w:t>Income Taxes</w:t>
      </w:r>
      <w:r>
        <w:rPr>
          <w:rFonts w:ascii="Arial" w:cs="Arial" w:eastAsia="Arial" w:hAnsi="Arial"/>
          <w:sz w:val="20"/>
          <w:szCs w:val="20"/>
          <w:color w:val="auto"/>
        </w:rPr>
        <w:t>, which requires that an estimated annual effective tax rate is applied to year-to-date ordinary income (loss). At the end of each interim period, the Company estimates the effective tax rate expected to be applicable for the full fiscal year. The tax effect of discrete items is recorded in the quarter in which the discrete events occur.</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recorded income tax expense of $22.4 million and a benefit of $18.4 million for the three months ended June 30, 2023 and 2022, respectively, and an expense of $32.3 million and a benefit of $33.2 million for the six months ended June 30, 2023 and 2022, respectively. The tax expense for the six months ended June 30, 2023 was unfavorably impacted by higher income reported in non-U.S. jurisdictions and an increase in income tax expense related to the Put Option (see </w:t>
      </w:r>
      <w:r>
        <w:rPr>
          <w:rFonts w:ascii="Arial" w:cs="Arial" w:eastAsia="Arial" w:hAnsi="Arial"/>
          <w:sz w:val="20"/>
          <w:szCs w:val="20"/>
          <w:u w:val="single" w:color="auto"/>
          <w:color w:val="0000FF"/>
        </w:rPr>
        <w:t>Note 1 –</w:t>
      </w:r>
      <w:r>
        <w:rPr>
          <w:rFonts w:ascii="Arial" w:cs="Arial" w:eastAsia="Arial" w:hAnsi="Arial"/>
          <w:sz w:val="20"/>
          <w:szCs w:val="20"/>
          <w:color w:val="auto"/>
        </w:rPr>
        <w:t xml:space="preserve"> </w:t>
      </w:r>
      <w:r>
        <w:rPr>
          <w:rFonts w:ascii="Arial" w:cs="Arial" w:eastAsia="Arial" w:hAnsi="Arial"/>
          <w:sz w:val="20"/>
          <w:szCs w:val="20"/>
          <w:u w:val="single" w:color="auto"/>
          <w:color w:val="0000FF"/>
        </w:rPr>
        <w:t>Organization, Business and Out-of-Period Adjustments</w:t>
      </w:r>
      <w:r>
        <w:rPr>
          <w:rFonts w:ascii="Arial" w:cs="Arial" w:eastAsia="Arial" w:hAnsi="Arial"/>
          <w:sz w:val="20"/>
          <w:szCs w:val="20"/>
          <w:color w:val="000000"/>
        </w:rPr>
        <w:t>), partially offset by benefits related to excess equity-based compensation</w:t>
      </w:r>
      <w:r>
        <w:rPr>
          <w:rFonts w:ascii="Arial" w:cs="Arial" w:eastAsia="Arial" w:hAnsi="Arial"/>
          <w:sz w:val="20"/>
          <w:szCs w:val="20"/>
          <w:color w:val="0000FF"/>
        </w:rPr>
        <w:t xml:space="preserve"> </w:t>
      </w:r>
      <w:r>
        <w:rPr>
          <w:rFonts w:ascii="Arial" w:cs="Arial" w:eastAsia="Arial" w:hAnsi="Arial"/>
          <w:sz w:val="20"/>
          <w:szCs w:val="20"/>
          <w:color w:val="000000"/>
        </w:rPr>
        <w:t>deductions recorded discretely during the quarter. The tax benefit for the six months ended June 30, 2022 was favorably impacted by losses in non-U.S. jurisdictions which have higher tax rates than the U.S., partially offset by non-deductible expenses.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For the six months ended June 30, 2023 and 2022, no reserves for uncertain tax positions have been recorded. The Company will continue to monitor this position each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460" w:type="dxa"/>
            <w:vAlign w:val="bottom"/>
          </w:tcPr>
          <w:p>
            <w:pPr>
              <w:spacing w:after="0"/>
              <w:rPr>
                <w:sz w:val="20"/>
                <w:szCs w:val="20"/>
                <w:color w:val="auto"/>
              </w:rPr>
            </w:pPr>
            <w:r>
              <w:rPr>
                <w:rFonts w:ascii="Arial" w:cs="Arial" w:eastAsia="Arial" w:hAnsi="Arial"/>
                <w:sz w:val="20"/>
                <w:szCs w:val="20"/>
                <w:b w:val="1"/>
                <w:bCs w:val="1"/>
                <w:color w:val="auto"/>
              </w:rPr>
              <w:t>7.  Debt</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470"/>
        </w:trPr>
        <w:tc>
          <w:tcPr>
            <w:tcW w:w="6460" w:type="dxa"/>
            <w:vAlign w:val="bottom"/>
          </w:tcPr>
          <w:p>
            <w:pPr>
              <w:spacing w:after="0"/>
              <w:rPr>
                <w:sz w:val="20"/>
                <w:szCs w:val="20"/>
                <w:color w:val="auto"/>
              </w:rPr>
            </w:pPr>
            <w:r>
              <w:rPr>
                <w:rFonts w:ascii="Arial" w:cs="Arial" w:eastAsia="Arial" w:hAnsi="Arial"/>
                <w:sz w:val="20"/>
                <w:szCs w:val="20"/>
                <w:color w:val="auto"/>
                <w:w w:val="99"/>
              </w:rPr>
              <w:t>The following table summarizes the Company’s total debt (in thousands):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93"/>
        </w:trPr>
        <w:tc>
          <w:tcPr>
            <w:tcW w:w="6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June 30, 2023</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2022</w:t>
            </w:r>
          </w:p>
        </w:tc>
      </w:tr>
      <w:tr>
        <w:trPr>
          <w:trHeight w:val="277"/>
        </w:trPr>
        <w:tc>
          <w:tcPr>
            <w:tcW w:w="646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Senior Secured Credit Facility:</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61"/>
        </w:trPr>
        <w:tc>
          <w:tcPr>
            <w:tcW w:w="6460" w:type="dxa"/>
            <w:vAlign w:val="bottom"/>
          </w:tcPr>
          <w:p>
            <w:pPr>
              <w:ind w:left="240"/>
              <w:spacing w:after="0"/>
              <w:rPr>
                <w:sz w:val="20"/>
                <w:szCs w:val="20"/>
                <w:color w:val="auto"/>
              </w:rPr>
            </w:pPr>
            <w:r>
              <w:rPr>
                <w:rFonts w:ascii="Arial" w:cs="Arial" w:eastAsia="Arial" w:hAnsi="Arial"/>
                <w:sz w:val="20"/>
                <w:szCs w:val="20"/>
                <w:color w:val="auto"/>
              </w:rPr>
              <w:t>Term loan facility</w:t>
            </w:r>
          </w:p>
        </w:tc>
        <w:tc>
          <w:tcPr>
            <w:tcW w:w="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290,325</w:t>
            </w:r>
          </w:p>
        </w:tc>
        <w:tc>
          <w:tcPr>
            <w:tcW w:w="260" w:type="dxa"/>
            <w:vAlign w:val="bottom"/>
            <w:gridSpan w:val="2"/>
          </w:tcPr>
          <w:p>
            <w:pPr>
              <w:jc w:val="right"/>
              <w:ind w:right="60"/>
              <w:spacing w:after="0"/>
              <w:rPr>
                <w:sz w:val="20"/>
                <w:szCs w:val="20"/>
                <w:color w:val="auto"/>
              </w:rPr>
            </w:pPr>
            <w:r>
              <w:rPr>
                <w:rFonts w:ascii="Arial" w:cs="Arial" w:eastAsia="Arial" w:hAnsi="Arial"/>
                <w:sz w:val="20"/>
                <w:szCs w:val="20"/>
                <w:color w:val="auto"/>
              </w:rPr>
              <w:t>$</w:t>
            </w:r>
          </w:p>
        </w:tc>
        <w:tc>
          <w:tcPr>
            <w:tcW w:w="2120" w:type="dxa"/>
            <w:vAlign w:val="bottom"/>
          </w:tcPr>
          <w:p>
            <w:pPr>
              <w:jc w:val="right"/>
              <w:spacing w:after="0"/>
              <w:rPr>
                <w:sz w:val="20"/>
                <w:szCs w:val="20"/>
                <w:color w:val="auto"/>
              </w:rPr>
            </w:pPr>
            <w:r>
              <w:rPr>
                <w:rFonts w:ascii="Arial" w:cs="Arial" w:eastAsia="Arial" w:hAnsi="Arial"/>
                <w:sz w:val="20"/>
                <w:szCs w:val="20"/>
                <w:color w:val="auto"/>
              </w:rPr>
              <w:t>312,475</w:t>
            </w:r>
          </w:p>
        </w:tc>
      </w:tr>
      <w:tr>
        <w:trPr>
          <w:trHeight w:val="2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65"/>
        </w:trPr>
        <w:tc>
          <w:tcPr>
            <w:tcW w:w="6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Revolving credit facility</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20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59"/>
        </w:trPr>
        <w:tc>
          <w:tcPr>
            <w:tcW w:w="6460" w:type="dxa"/>
            <w:vAlign w:val="bottom"/>
          </w:tcPr>
          <w:p>
            <w:pPr>
              <w:ind w:left="460"/>
              <w:spacing w:after="0"/>
              <w:rPr>
                <w:sz w:val="20"/>
                <w:szCs w:val="20"/>
                <w:color w:val="auto"/>
              </w:rPr>
            </w:pPr>
            <w:r>
              <w:rPr>
                <w:rFonts w:ascii="Arial" w:cs="Arial" w:eastAsia="Arial" w:hAnsi="Arial"/>
                <w:sz w:val="20"/>
                <w:szCs w:val="20"/>
                <w:color w:val="auto"/>
              </w:rPr>
              <w:t>Total secured credit facility</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290,325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312,475</w:t>
            </w:r>
          </w:p>
        </w:tc>
      </w:tr>
      <w:tr>
        <w:trPr>
          <w:trHeight w:val="2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3"/>
        </w:trPr>
        <w:tc>
          <w:tcPr>
            <w:tcW w:w="6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2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120" w:type="dxa"/>
            <w:vAlign w:val="bottom"/>
            <w:shd w:val="clear" w:color="auto" w:fill="CCEEFF"/>
          </w:tcPr>
          <w:p>
            <w:pPr>
              <w:spacing w:after="0"/>
              <w:rPr>
                <w:sz w:val="22"/>
                <w:szCs w:val="22"/>
                <w:color w:val="auto"/>
              </w:rPr>
            </w:pPr>
          </w:p>
        </w:tc>
      </w:tr>
      <w:tr>
        <w:trPr>
          <w:trHeight w:val="261"/>
        </w:trPr>
        <w:tc>
          <w:tcPr>
            <w:tcW w:w="6460" w:type="dxa"/>
            <w:vAlign w:val="bottom"/>
          </w:tcPr>
          <w:p>
            <w:pPr>
              <w:ind w:left="20"/>
              <w:spacing w:after="0"/>
              <w:rPr>
                <w:sz w:val="20"/>
                <w:szCs w:val="20"/>
                <w:color w:val="auto"/>
              </w:rPr>
            </w:pPr>
            <w:r>
              <w:rPr>
                <w:rFonts w:ascii="Arial" w:cs="Arial" w:eastAsia="Arial" w:hAnsi="Arial"/>
                <w:sz w:val="20"/>
                <w:szCs w:val="20"/>
                <w:color w:val="auto"/>
              </w:rPr>
              <w:t>Convertible notes</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jc w:val="right"/>
              <w:ind w:right="1"/>
              <w:spacing w:after="0"/>
              <w:rPr>
                <w:sz w:val="20"/>
                <w:szCs w:val="20"/>
                <w:color w:val="auto"/>
              </w:rPr>
            </w:pPr>
            <w:r>
              <w:rPr>
                <w:rFonts w:ascii="Arial" w:cs="Arial" w:eastAsia="Arial" w:hAnsi="Arial"/>
                <w:sz w:val="20"/>
                <w:szCs w:val="20"/>
                <w:color w:val="auto"/>
              </w:rPr>
              <w:t>425,000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425,000</w:t>
            </w:r>
          </w:p>
        </w:tc>
      </w:tr>
      <w:tr>
        <w:trPr>
          <w:trHeight w:val="2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83"/>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Other debt</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2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50,411</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51,951</w:t>
            </w:r>
          </w:p>
        </w:tc>
      </w:tr>
      <w:tr>
        <w:trPr>
          <w:trHeight w:val="259"/>
        </w:trPr>
        <w:tc>
          <w:tcPr>
            <w:tcW w:w="6460" w:type="dxa"/>
            <w:vAlign w:val="bottom"/>
          </w:tcPr>
          <w:p>
            <w:pPr>
              <w:ind w:left="20"/>
              <w:spacing w:after="0"/>
              <w:rPr>
                <w:sz w:val="20"/>
                <w:szCs w:val="20"/>
                <w:color w:val="auto"/>
              </w:rPr>
            </w:pPr>
            <w:r>
              <w:rPr>
                <w:rFonts w:ascii="Arial" w:cs="Arial" w:eastAsia="Arial" w:hAnsi="Arial"/>
                <w:sz w:val="20"/>
                <w:szCs w:val="20"/>
                <w:color w:val="auto"/>
              </w:rPr>
              <w:t>Total principal</w:t>
            </w: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2000" w:type="dxa"/>
            <w:vAlign w:val="bottom"/>
            <w:tcBorders>
              <w:top w:val="single" w:sz="8" w:color="auto"/>
            </w:tcBorders>
          </w:tcPr>
          <w:p>
            <w:pPr>
              <w:jc w:val="right"/>
              <w:ind w:right="1"/>
              <w:spacing w:after="0"/>
              <w:rPr>
                <w:sz w:val="20"/>
                <w:szCs w:val="20"/>
                <w:color w:val="auto"/>
              </w:rPr>
            </w:pPr>
            <w:r>
              <w:rPr>
                <w:rFonts w:ascii="Arial" w:cs="Arial" w:eastAsia="Arial" w:hAnsi="Arial"/>
                <w:sz w:val="20"/>
                <w:szCs w:val="20"/>
                <w:color w:val="auto"/>
              </w:rPr>
              <w:t>765,736</w:t>
            </w: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21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789,426</w:t>
            </w:r>
          </w:p>
        </w:tc>
      </w:tr>
      <w:tr>
        <w:trPr>
          <w:trHeight w:val="268"/>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Unamortized discount and issuance costs, total</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(25,801)</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(30,383)</w:t>
            </w:r>
          </w:p>
        </w:tc>
      </w:tr>
      <w:tr>
        <w:trPr>
          <w:trHeight w:val="261"/>
        </w:trPr>
        <w:tc>
          <w:tcPr>
            <w:tcW w:w="6460" w:type="dxa"/>
            <w:vAlign w:val="bottom"/>
          </w:tcPr>
          <w:p>
            <w:pPr>
              <w:ind w:left="20"/>
              <w:spacing w:after="0"/>
              <w:rPr>
                <w:sz w:val="20"/>
                <w:szCs w:val="20"/>
                <w:color w:val="auto"/>
              </w:rPr>
            </w:pPr>
            <w:r>
              <w:rPr>
                <w:rFonts w:ascii="Arial" w:cs="Arial" w:eastAsia="Arial" w:hAnsi="Arial"/>
                <w:sz w:val="20"/>
                <w:szCs w:val="20"/>
                <w:color w:val="auto"/>
              </w:rPr>
              <w:t>Current portion of debt</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0" w:type="dxa"/>
            <w:vAlign w:val="bottom"/>
          </w:tcPr>
          <w:p>
            <w:pPr>
              <w:jc w:val="right"/>
              <w:spacing w:after="0"/>
              <w:rPr>
                <w:sz w:val="20"/>
                <w:szCs w:val="20"/>
                <w:color w:val="auto"/>
              </w:rPr>
            </w:pPr>
            <w:r>
              <w:rPr>
                <w:rFonts w:ascii="Arial" w:cs="Arial" w:eastAsia="Arial" w:hAnsi="Arial"/>
                <w:sz w:val="20"/>
                <w:szCs w:val="20"/>
                <w:color w:val="auto"/>
              </w:rPr>
              <w:t>(37,450)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20"/>
                <w:szCs w:val="20"/>
                <w:color w:val="auto"/>
              </w:rPr>
              <w:t>(38,691)</w:t>
            </w:r>
          </w:p>
        </w:tc>
      </w:tr>
      <w:tr>
        <w:trPr>
          <w:trHeight w:val="23"/>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302"/>
        </w:trPr>
        <w:tc>
          <w:tcPr>
            <w:tcW w:w="6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long-term debt, net of current portion</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20"/>
                <w:szCs w:val="20"/>
                <w:color w:val="auto"/>
              </w:rPr>
              <w:t>702,485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720,352</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Senior Secured Credit Facility</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October 14, 2020, the Company entered into a credit agreement (as amended, the “Credit Agreement”) governing the Company’s senior secured credit facility, consisting of (i) a $575 million senior secured 7-year term loan facility (the “Term Loan Facility”) and (ii) a $200 million senior secured 5-year revolving credit facility (the “Revolving Credit Facility” and, together with the Term Loan Facility, the “Senior Secured Credit Facility”). The Credit Agreement was amended on February 23, 2021 (the “First Amendment”), on February 26, 2021 (the “Second Amendment”) and again on March 2, 2023 (the “Third Amendment”). The single purpose of the Third Amendment in March 2023 was to replace the former discontinued Senior Secured Credit Facility reference rate of LIBOR, with the comparable active reference rate, SOFR. There were no other changes as a result of the Third Amendment.</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Revolving Credit Facility</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Under the Revolving Credit Facility, the Company had no outstanding balance as of both June 30, 2023 and December 31, 2022, $26.7 million and $38.8 million in standby letters of credit at June 30, 2023 and December 31, 2022, respectively, and availability of $173.3 million and $161.2 million at June 30, 2023 and December 31, 2022, respectively. In accordance with the Third Amendment, the Revolving Credit Facility pays interest at the Company’s election, at either (x) for SOFR Loans at Adjusted Term SOFR (as defined in the Credit Agreement) plus 3.25% or (y) for Base Rate Loans at the higher of the Prime Rate, one half of 1.00% above the Federal Funds Rate or the Adjusted Term SOFR for one month interest period, after giving effect to any floor plus 1.00%, plus 2.25%.</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 Loan Facility</w:t>
      </w:r>
    </w:p>
    <w:p>
      <w:pPr>
        <w:spacing w:after="0" w:line="145"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 Term Loan Facility had a balance of $290.3 million and $312.5 million as of June 30, 2023 and December 31, 2022, respectively. The balance of the Term Loan Facility is presented in the accompanying condensed consolidated balance sheets, net of debt discount and issuance costs of $15.5 million and $19.1 million as of June 30, 2023 and December 31, 2022, respectively. In accordance with the Third Amendment, the Term Loan Facility pays interest at the Company’s election, at either</w:t>
      </w:r>
    </w:p>
    <w:p>
      <w:pPr>
        <w:spacing w:after="0" w:line="2" w:lineRule="exact"/>
        <w:rPr>
          <w:sz w:val="20"/>
          <w:szCs w:val="20"/>
          <w:color w:val="auto"/>
        </w:rPr>
      </w:pPr>
    </w:p>
    <w:p>
      <w:pPr>
        <w:ind w:firstLine="8"/>
        <w:spacing w:after="0" w:line="275" w:lineRule="auto"/>
        <w:tabs>
          <w:tab w:leader="none" w:pos="291" w:val="left"/>
        </w:tabs>
        <w:numPr>
          <w:ilvl w:val="0"/>
          <w:numId w:val="10"/>
        </w:numPr>
        <w:rPr>
          <w:rFonts w:ascii="Arial" w:cs="Arial" w:eastAsia="Arial" w:hAnsi="Arial"/>
          <w:sz w:val="20"/>
          <w:szCs w:val="20"/>
          <w:color w:val="auto"/>
        </w:rPr>
      </w:pPr>
      <w:r>
        <w:rPr>
          <w:rFonts w:ascii="Arial" w:cs="Arial" w:eastAsia="Arial" w:hAnsi="Arial"/>
          <w:sz w:val="20"/>
          <w:szCs w:val="20"/>
          <w:color w:val="auto"/>
        </w:rPr>
        <w:t>for SOFR Loans at Adjusted Term SOFR (subject to a floor of 0.50%) plus 3.25% or (y) for Base Rate Loans at the higher of the Prime Rate, one half of 1.00%</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329"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above the Federal Funds Rate or the Adjusted Term SOFR for one-month interest period, after giving effect to any floor plus 1.00%, plus 2.25%. The debt discount and issuance costs are being amortized using the effective interest method and the effective interest rate of the Term Loan Facility as of June 30, 2023, was 9.41%. The Term Loan Facility has an annual excess cash flow calculation, for which the prescribed formula did not result in requiring the Company to make an advance principal payment for the year ended December 31, 2022.</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Convertible Notes</w:t>
      </w:r>
    </w:p>
    <w:p>
      <w:pPr>
        <w:spacing w:after="0" w:line="1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December 3, 2021 and December 9, 2021, the Company completed a $425.0 million private offering ($375 million and $50 million, respectively), of its 1.00% Convertible Senior Notes due 2028 (the “Convertible Notes”), resulting in proceeds of $413.3 million ($364.7 million and $48.6 million, respectively), after deducting the original issue discount of 2.75%. The Convertible Notes were issued pursuant to an indenture, dated December 3, 2021, between the Company and U.S. Bank National Association, as trustee.</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Convertible Notes are senior unsecured obligations of the Company and will mature on December 1, 2028, unless earlier converted, redeemed, or repurchased. The Convertible Notes bear interest at a rate of 1.00% per year, payable semiannually in arrears on June 1 and December 1 of each year, beginning on June 1, 2022.</w:t>
      </w:r>
    </w:p>
    <w:p>
      <w:pPr>
        <w:spacing w:after="0" w:line="206"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conversion rate for the Notes was initially 41.9054 shares of the Company’s common stock per $1,000 principal amount of Notes, which was equivalent to an initial conversion price of approximately $23.86 per share of common stock or 10.1 million shares of common stock. The Convertible Notes were not convertible during the six months ended June 30, 2023, and none have been converted to date. Also, given that the average market price of the Company’s common stock has not exceeded the exercise price since inception, there was no dilutive impact for the three and six months ended June 30, 2023.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Capped Calls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the issuances of the Convertible Notes, the Company paid $52.9 million, in aggregate, to enter into capped call option agreements to reduce the potential dilution to holders of the Company’s common stock after a conversion of the Convertible Notes. Specifically, upon the exercise of the Capped Call instruments issued pursuant to the agreements (the “Capped Calls”), the Company would receive shares of its common stock equal to approximately $17.8 million shares (a) multiplied by (i) the lower of $36.0200 or the then-current market price of its common stock, less (ii) the applicable exercise price, $23.86, and (b) divided by the then-current market price of its common stock. The results of this formula are that the Company would receive more shares as the market price of its common stock exceeds the exercise price and approaches the cap, which was initially $36.02 per share.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Consequently, if the Convertible Notes are converted, then the number of shares to be issued by the Company would be effectively partially offset by the shares of common stock received by the Company under the Capped Calls as they are exercised. The formula above would be adjusted in the event of certain specified extraordinary events affecting the Company, including a merger; a tender offer; nationalization, insolvency or delisting of the Company’s common stock; changes in law; failure to deliver; insolvency filing; stock splits, combinations, dividends, repurchases or similar events; or an announcement of certain of the preceding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3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Company can also elect to receive the equivalent value of cash in lieu of shares of common stock upon settlement, except in certain circumstances. The Capped Calls expire on December 1, 2028, and terminate upon the occurrence of certain extraordinary events such as a merger, tender offer, nationalization, insolvency, delisting, event of default, a change in law, failure to deliver, an announcement of certain of these events, or an early conversion of the Convertible Notes. Although intended to reduce the net number of shares of common stock issued after a conversion of the Convertible Notes, the Capped Calls were separately negotiated transactions, are not a part of the terms of the Convertible Notes, and do not affect the rights of the holders of the Convertible Notes. See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for information regarding the accounting for the Capped Calls.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Debt</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Other debt consists of the debt obligations of STI. Interest rates on other debt range from 0.55% to 4.52% annually. Of the $50.4 million other debt balance, approximately $10.3 million is denominated in Euros and $40.1 million is denominated in Brazilian Real.</w:t>
      </w:r>
    </w:p>
    <w:p>
      <w:pPr>
        <w:spacing w:after="0" w:line="196"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Redeemable Perpetual Preferred Stock</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entered into a Securities Purchase Agreement (the “SPA”) with certain investors (the “Purchasers”) pursuant to which, on August 11, 2021, the Company issued 350,000 shares of its newly designated Series A Redeemable Perpetual Preferred Stock (the “Series A Shares”) and 7,098,765 shares of the Company’s common stock for an aggregate purchase price of $346.0 million (the “Initial Closing”). Further, pursuant to the SPA, on September 27, 2021, the Company issued and sold to the Purchasers 776,235 shares of common stock for an aggregate purchase price of $0.01 million (the “Prepaid Forward Contract”). The Company used the net proceeds from the initial Closing to repay the $102.0 million outstanding balance under its existing Revolving Credit Facility and prepay $100.0 million of the Company’s Term Loan Facility. The Series A Shares have no maturity date.</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The Put Option included in the SPA required the Purchasers to purchase, up to an additional 150,000 shares of Series A Shares and up to 3,375,000 shares of common stock (or up to 6,100,000 shares of common stock in the event of certain price-related adjustments) until June 30, 2023, subject to certain equitable adjustments pursuant to any stock dividend, stock split, stock combination, reclassification or similar transaction, for an aggregate purchase price up to $148.0 million (the “Delayed Draw Commitment” or the “Put Option”). The Put Option expired effective June 30, 2023.</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January 7, 2022, pursuant to the Put Option, the Company issued and sold to the Purchasers, 50,000 shares of Series A Shares and 1,125,000 shares of the Company’s common stock in an additional closing for an aggregate purchase price of $49.4 million (the “Additional Closing”).</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 xml:space="preserve">The Company has classified the Series A Shares as temporary equity and is accreting the carrying amount to its full redemption amount from the date of issuance to the earliest redemption date using the effective interest method. Such accretion totaled $12.4 million and $11.1 million for the six months ended June 30, 2023 and 2022, respectively. Refer to </w:t>
      </w:r>
      <w:r>
        <w:rPr>
          <w:rFonts w:ascii="Arial" w:cs="Arial" w:eastAsia="Arial" w:hAnsi="Arial"/>
          <w:sz w:val="20"/>
          <w:szCs w:val="20"/>
          <w:u w:val="single" w:color="auto"/>
          <w:color w:val="0000FF"/>
        </w:rPr>
        <w:t>Note 2 – Summary of</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Significant Accounting Policies</w:t>
      </w:r>
      <w:r>
        <w:rPr>
          <w:rFonts w:ascii="Arial" w:cs="Arial" w:eastAsia="Arial" w:hAnsi="Arial"/>
          <w:sz w:val="20"/>
          <w:szCs w:val="20"/>
          <w:color w:val="0000FF"/>
        </w:rPr>
        <w:t xml:space="preserve"> </w:t>
      </w:r>
      <w:r>
        <w:rPr>
          <w:rFonts w:ascii="Arial" w:cs="Arial" w:eastAsia="Arial" w:hAnsi="Arial"/>
          <w:sz w:val="20"/>
          <w:szCs w:val="20"/>
          <w:color w:val="000000"/>
        </w:rPr>
        <w:t>for information regarding the accounting for the Put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1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Dividends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or prior to the fifth anniversary of the Initial Closing, the Company may pay dividends on the Series A Shares either in (i) cash at the then-applicable Cash Regular Dividend Rate (as defined below), (ii) through accrual to the Liquidation Preference at the Accrued Regular Dividend Rate of 6.25% (the “Permitted Accrued Dividends”), or (iii) a combination thereof. Following the fifth anniversary of the Initial Closing, dividends are payable only in cash. To the extent the Company does not declare such dividends and pay in cash following the fifth anniversary of the Initial Closing, the dividends accrue to the Liquidation Preference (“Default Accrued Dividends”) at the then-applicable Cash Regular Dividend Rate plus 200 basis points. In the event there are Default Accrued Dividends outstanding for six consecutive quarters, the Company, at the option of the holders of the Series A Shares, will pay 100% of the amount of Default Accrued Dividends by delivering to such holder a number of shares of the Company’s common stock equal to the quotient of (i) the amount of Default Accrued Dividends divided by (ii) 95% of the 30-day VWAP of the Company’s common stock (“Non-Cash Dividend”).</w:t>
      </w:r>
    </w:p>
    <w:p>
      <w:pPr>
        <w:spacing w:after="0" w:line="23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“Cash Regular Dividend Rate” of the Series A Shares means (i) initially, 5.75% per annum on the Liquidation Preference and (ii) increased by (a) 50 basis points on each of the fifth, sixth and seventh anniversaries of the Initial Closing and (b) 100 basis points on each of the eighth, ninth and tenth anniversaries of the Initial Closing. The “Accrued Regular Dividend Rate” on the Series A Shares means 6.25% per annum on the Liquidation Preference.</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used herein, “Liquidation Preference” means, with respect to the Series A Shares, the initial liquidation preference of $1,000 per share, plus accrued dividends of such share at the time of the determination.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During the six months ended June 30, 2023, the Company accrued dividends on the Series A Shares at the Accrued Regular Dividend rate of 6.25% totaling $12.9 million. As of June 30, 2023, the Company has accrued and unpaid dividends of $19.3 million.</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The Series A Shares have similar characteristics of an “Increasing Rate Security” as described by SEC Staff Accounting Bulletin Topic 5Q, </w:t>
      </w:r>
      <w:r>
        <w:rPr>
          <w:rFonts w:ascii="Arial" w:cs="Arial" w:eastAsia="Arial" w:hAnsi="Arial"/>
          <w:sz w:val="20"/>
          <w:szCs w:val="20"/>
          <w:i w:val="1"/>
          <w:iCs w:val="1"/>
          <w:color w:val="auto"/>
        </w:rPr>
        <w:t>Increasing Rate Preferred Stock</w:t>
      </w:r>
      <w:r>
        <w:rPr>
          <w:rFonts w:ascii="Arial" w:cs="Arial" w:eastAsia="Arial" w:hAnsi="Arial"/>
          <w:sz w:val="20"/>
          <w:szCs w:val="20"/>
          <w:color w:val="auto"/>
        </w:rPr>
        <w:t>. As a result, the discount on Series A Shares is considered an unstated dividend cost that is amortized over the period preceding commencement of the perpetual dividend using the effective interest method, by charging imputed dividend cost against retained earnings, or additional paid in capital in the absence of retained earnings, and increasing the carrying amount of the Series A Shares by a corresponding amount. Accordingly, the discount is amortized over five years using the effective yield method.</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Fees</w:t>
      </w:r>
    </w:p>
    <w:p>
      <w:pPr>
        <w:spacing w:after="0" w:line="1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During the six months ended June 30, 2023, the Company paid the Purchasers a 3% per annum cash commitment fee totaling $1,508 on the unpurchased portion of Put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0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Revenue</w:t>
      </w:r>
    </w:p>
    <w:p>
      <w:pPr>
        <w:spacing w:after="0" w:line="266" w:lineRule="exact"/>
        <w:rPr>
          <w:sz w:val="20"/>
          <w:szCs w:val="20"/>
          <w:color w:val="auto"/>
        </w:rPr>
      </w:pPr>
    </w:p>
    <w:p>
      <w:pPr>
        <w:jc w:val="both"/>
        <w:spacing w:after="0" w:line="269" w:lineRule="auto"/>
        <w:rPr>
          <w:sz w:val="20"/>
          <w:szCs w:val="20"/>
          <w:color w:val="auto"/>
        </w:rPr>
      </w:pPr>
      <w:r>
        <w:rPr>
          <w:rFonts w:ascii="Arial" w:cs="Arial" w:eastAsia="Arial" w:hAnsi="Arial"/>
          <w:sz w:val="20"/>
          <w:szCs w:val="20"/>
          <w:color w:val="auto"/>
        </w:rPr>
        <w:t>The Company disaggregates its revenue from contracts with customers by sales recorded over time and sales recorded at a point in time. The following table presents the Company’s disaggregated revenues (in thousands):</w:t>
      </w: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80" w:type="dxa"/>
            <w:vAlign w:val="bottom"/>
            <w:gridSpan w:val="4"/>
          </w:tcPr>
          <w:p>
            <w:pPr>
              <w:jc w:val="right"/>
              <w:ind w:right="981"/>
              <w:spacing w:after="0" w:line="204" w:lineRule="exact"/>
              <w:rPr>
                <w:sz w:val="20"/>
                <w:szCs w:val="20"/>
                <w:color w:val="auto"/>
              </w:rPr>
            </w:pPr>
            <w:r>
              <w:rPr>
                <w:rFonts w:ascii="Arial" w:cs="Arial" w:eastAsia="Arial" w:hAnsi="Arial"/>
                <w:sz w:val="20"/>
                <w:szCs w:val="20"/>
                <w:b w:val="1"/>
                <w:bCs w:val="1"/>
                <w:color w:val="auto"/>
              </w:rPr>
              <w:t>Three Months Ended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80" w:type="dxa"/>
            <w:vAlign w:val="bottom"/>
            <w:gridSpan w:val="4"/>
          </w:tcPr>
          <w:p>
            <w:pPr>
              <w:ind w:left="760"/>
              <w:spacing w:after="0" w:line="204" w:lineRule="exact"/>
              <w:rPr>
                <w:sz w:val="20"/>
                <w:szCs w:val="20"/>
                <w:color w:val="auto"/>
              </w:rPr>
            </w:pPr>
            <w:r>
              <w:rPr>
                <w:rFonts w:ascii="Arial" w:cs="Arial" w:eastAsia="Arial" w:hAnsi="Arial"/>
                <w:sz w:val="20"/>
                <w:szCs w:val="20"/>
                <w:b w:val="1"/>
                <w:bCs w:val="1"/>
                <w:color w:val="auto"/>
              </w:rPr>
              <w:t>Six Months Ended</w:t>
            </w:r>
          </w:p>
        </w:tc>
      </w:tr>
      <w:tr>
        <w:trPr>
          <w:trHeight w:val="257"/>
        </w:trPr>
        <w:tc>
          <w:tcPr>
            <w:tcW w:w="29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20"/>
                <w:szCs w:val="20"/>
                <w:b w:val="1"/>
                <w:bCs w:val="1"/>
                <w:color w:val="auto"/>
              </w:rPr>
              <w:t>June 30,</w:t>
            </w:r>
          </w:p>
        </w:tc>
        <w:tc>
          <w:tcPr>
            <w:tcW w:w="1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gridSpan w:val="3"/>
          </w:tcPr>
          <w:p>
            <w:pPr>
              <w:ind w:left="1220"/>
              <w:spacing w:after="0"/>
              <w:rPr>
                <w:sz w:val="20"/>
                <w:szCs w:val="20"/>
                <w:color w:val="auto"/>
              </w:rPr>
            </w:pPr>
            <w:r>
              <w:rPr>
                <w:rFonts w:ascii="Arial" w:cs="Arial" w:eastAsia="Arial" w:hAnsi="Arial"/>
                <w:sz w:val="20"/>
                <w:szCs w:val="20"/>
                <w:b w:val="1"/>
                <w:bCs w:val="1"/>
                <w:color w:val="auto"/>
              </w:rPr>
              <w:t>June 30,</w:t>
            </w:r>
          </w:p>
        </w:tc>
        <w:tc>
          <w:tcPr>
            <w:tcW w:w="1440" w:type="dxa"/>
            <w:vAlign w:val="bottom"/>
            <w:tcBorders>
              <w:bottom w:val="single" w:sz="8" w:color="auto"/>
            </w:tcBorders>
          </w:tcPr>
          <w:p>
            <w:pPr>
              <w:spacing w:after="0"/>
              <w:rPr>
                <w:sz w:val="22"/>
                <w:szCs w:val="22"/>
                <w:color w:val="auto"/>
              </w:rPr>
            </w:pPr>
          </w:p>
        </w:tc>
      </w:tr>
      <w:tr>
        <w:trPr>
          <w:trHeight w:val="263"/>
        </w:trPr>
        <w:tc>
          <w:tcPr>
            <w:tcW w:w="29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701"/>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340"/>
              <w:spacing w:after="0"/>
              <w:rPr>
                <w:sz w:val="20"/>
                <w:szCs w:val="20"/>
                <w:color w:val="auto"/>
              </w:rPr>
            </w:pPr>
            <w:r>
              <w:rPr>
                <w:rFonts w:ascii="Arial" w:cs="Arial" w:eastAsia="Arial" w:hAnsi="Arial"/>
                <w:sz w:val="20"/>
                <w:szCs w:val="20"/>
                <w:b w:val="1"/>
                <w:bCs w:val="1"/>
                <w:color w:val="auto"/>
              </w:rPr>
              <w:t>2023</w:t>
            </w:r>
          </w:p>
        </w:tc>
        <w:tc>
          <w:tcPr>
            <w:tcW w:w="8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81"/>
              <w:spacing w:after="0"/>
              <w:rPr>
                <w:sz w:val="20"/>
                <w:szCs w:val="20"/>
                <w:color w:val="auto"/>
              </w:rPr>
            </w:pPr>
            <w:r>
              <w:rPr>
                <w:rFonts w:ascii="Arial" w:cs="Arial" w:eastAsia="Arial" w:hAnsi="Arial"/>
                <w:sz w:val="20"/>
                <w:szCs w:val="20"/>
                <w:b w:val="1"/>
                <w:bCs w:val="1"/>
                <w:color w:val="auto"/>
              </w:rPr>
              <w:t>2022</w:t>
            </w:r>
          </w:p>
        </w:tc>
      </w:tr>
      <w:tr>
        <w:trPr>
          <w:trHeight w:val="257"/>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Over time revenue</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417,448</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242424"/>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242424"/>
              </w:rPr>
              <w:t>324,851</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20"/>
                <w:szCs w:val="20"/>
                <w:color w:val="auto"/>
              </w:rPr>
              <w:t>703,759</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532,922</w:t>
            </w:r>
          </w:p>
        </w:tc>
      </w:tr>
      <w:tr>
        <w:trPr>
          <w:trHeight w:val="261"/>
        </w:trPr>
        <w:tc>
          <w:tcPr>
            <w:tcW w:w="2900" w:type="dxa"/>
            <w:vAlign w:val="bottom"/>
          </w:tcPr>
          <w:p>
            <w:pPr>
              <w:ind w:left="20"/>
              <w:spacing w:after="0"/>
              <w:rPr>
                <w:sz w:val="20"/>
                <w:szCs w:val="20"/>
                <w:color w:val="auto"/>
              </w:rPr>
            </w:pPr>
            <w:r>
              <w:rPr>
                <w:rFonts w:ascii="Arial" w:cs="Arial" w:eastAsia="Arial" w:hAnsi="Arial"/>
                <w:sz w:val="20"/>
                <w:szCs w:val="20"/>
                <w:color w:val="auto"/>
              </w:rPr>
              <w:t>Point in time revenue</w:t>
            </w:r>
          </w:p>
        </w:tc>
        <w:tc>
          <w:tcPr>
            <w:tcW w:w="44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20"/>
                <w:szCs w:val="20"/>
                <w:color w:val="auto"/>
              </w:rPr>
              <w:t>90,277</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242424"/>
              </w:rPr>
              <w:t>95,014</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80" w:type="dxa"/>
            <w:vAlign w:val="bottom"/>
          </w:tcPr>
          <w:p>
            <w:pPr>
              <w:ind w:left="780"/>
              <w:spacing w:after="0"/>
              <w:rPr>
                <w:sz w:val="20"/>
                <w:szCs w:val="20"/>
                <w:color w:val="auto"/>
              </w:rPr>
            </w:pPr>
            <w:r>
              <w:rPr>
                <w:rFonts w:ascii="Arial" w:cs="Arial" w:eastAsia="Arial" w:hAnsi="Arial"/>
                <w:sz w:val="20"/>
                <w:szCs w:val="20"/>
                <w:color w:val="auto"/>
              </w:rPr>
              <w:t>180,739</w:t>
            </w: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187,529</w:t>
            </w:r>
          </w:p>
        </w:tc>
      </w:tr>
      <w:tr>
        <w:trPr>
          <w:trHeight w:val="23"/>
        </w:trPr>
        <w:tc>
          <w:tcPr>
            <w:tcW w:w="29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02"/>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Total revenue</w:t>
            </w:r>
          </w:p>
        </w:tc>
        <w:tc>
          <w:tcPr>
            <w:tcW w:w="44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20"/>
                <w:szCs w:val="20"/>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507,725</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242424"/>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242424"/>
              </w:rPr>
              <w:t>419,865</w:t>
            </w:r>
          </w:p>
        </w:tc>
        <w:tc>
          <w:tcPr>
            <w:tcW w:w="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w:t>
            </w:r>
          </w:p>
        </w:tc>
        <w:tc>
          <w:tcPr>
            <w:tcW w:w="158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20"/>
                <w:szCs w:val="20"/>
                <w:color w:val="auto"/>
              </w:rPr>
              <w:t>884,498</w:t>
            </w:r>
          </w:p>
        </w:tc>
        <w:tc>
          <w:tcPr>
            <w:tcW w:w="660" w:type="dxa"/>
            <w:vAlign w:val="bottom"/>
            <w:tcBorders>
              <w:bottom w:val="single" w:sz="8" w:color="CCEEFF"/>
            </w:tcBorders>
            <w:gridSpan w:val="2"/>
            <w:shd w:val="clear" w:color="auto" w:fill="CCEEFF"/>
          </w:tcPr>
          <w:p>
            <w:pPr>
              <w:jc w:val="right"/>
              <w:ind w:right="460"/>
              <w:spacing w:after="0"/>
              <w:rPr>
                <w:sz w:val="20"/>
                <w:szCs w:val="20"/>
                <w:color w:val="auto"/>
              </w:rPr>
            </w:pPr>
            <w:r>
              <w:rPr>
                <w:rFonts w:ascii="Arial" w:cs="Arial" w:eastAsia="Arial" w:hAnsi="Arial"/>
                <w:sz w:val="20"/>
                <w:szCs w:val="20"/>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720,451</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Contract Balances</w:t>
      </w:r>
    </w:p>
    <w:p>
      <w:pPr>
        <w:spacing w:after="0" w:line="14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timing of revenue recognition, billings and cash collections results in billed accounts receivable, unbilled receivables (“contract assets”), and deferred revenue (“contract liabilities”) on the condensed consolidated balance sheets. The majority of the Company’s contract amounts are billed as work progresses, in accordance with agreed-upon contractual terms, which generally coincide with the shipment of one or more phases of the project. Billing sometimes occurs subsequent to revenue recognition, resulting in contract assets. The changes in contract assets and the corresponding amounts recorded in revenue relate to fluctuations in the timing and volume of billings.</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Contract assets are recorded within accounts receivable, net on the condensed consolidated balance sheets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June 30, 2023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2022</w:t>
            </w:r>
          </w:p>
        </w:tc>
      </w:tr>
      <w:tr>
        <w:trPr>
          <w:trHeight w:val="279"/>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Unbilled receivables</w:t>
            </w:r>
          </w:p>
        </w:tc>
        <w:tc>
          <w:tcPr>
            <w:tcW w:w="3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141,636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101,513</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The Company also receives advances or deposits from its customers, before revenue is recognized, resulting in contract liabilities. The changes in contract liabilities relate to advanced orders and payments received by the Company.</w:t>
      </w:r>
    </w:p>
    <w:p>
      <w:pPr>
        <w:spacing w:after="0" w:line="18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Contract liabilities are recorded on a contract-by-contract basis and consisted of the following at the end of each reporting period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6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421"/>
              <w:spacing w:after="0"/>
              <w:rPr>
                <w:sz w:val="20"/>
                <w:szCs w:val="20"/>
                <w:color w:val="auto"/>
              </w:rPr>
            </w:pPr>
            <w:r>
              <w:rPr>
                <w:rFonts w:ascii="Arial" w:cs="Arial" w:eastAsia="Arial" w:hAnsi="Arial"/>
                <w:sz w:val="20"/>
                <w:szCs w:val="20"/>
                <w:b w:val="1"/>
                <w:bCs w:val="1"/>
                <w:color w:val="auto"/>
              </w:rPr>
              <w:t>June 30, 2023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jc w:val="right"/>
              <w:ind w:right="161"/>
              <w:spacing w:after="0"/>
              <w:rPr>
                <w:sz w:val="20"/>
                <w:szCs w:val="20"/>
                <w:color w:val="auto"/>
              </w:rPr>
            </w:pPr>
            <w:r>
              <w:rPr>
                <w:rFonts w:ascii="Arial" w:cs="Arial" w:eastAsia="Arial" w:hAnsi="Arial"/>
                <w:sz w:val="20"/>
                <w:szCs w:val="20"/>
                <w:b w:val="1"/>
                <w:bCs w:val="1"/>
                <w:color w:val="auto"/>
              </w:rPr>
              <w:t>December 31, 2022</w:t>
            </w:r>
          </w:p>
        </w:tc>
      </w:tr>
      <w:tr>
        <w:trPr>
          <w:trHeight w:val="270"/>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Deferred revenue</w:t>
            </w: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114,810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w:t>
            </w:r>
          </w:p>
        </w:tc>
        <w:tc>
          <w:tcPr>
            <w:tcW w:w="2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178,922</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During the six months ended June 30, 2023, the Company converted $160.0 million in deferred revenue to revenue, which represented 89% of the prior year’s deferred revenue balance.</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Bill-and-Hold Arrangements</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Revenue recognized for the Company’s federal investment tax credit (“ITC”) contracts and standalone system component sales is recorded at a point in time and recognized when obligations under the terms of the contract with the Company’s customer are satisfied. Generally, this occurs with the transfer of control of the asset, which is typically upon delivery to the customer in line with shipping terms.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200" w:lineRule="exact"/>
        <w:rPr>
          <w:sz w:val="20"/>
          <w:szCs w:val="20"/>
          <w:color w:val="auto"/>
        </w:rPr>
      </w:pPr>
    </w:p>
    <w:p>
      <w:pPr>
        <w:spacing w:after="0" w:line="35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In certain situations, the Company recognizes revenue under a bill-and-hold arrangement with its customers. An example of such a situation is when customers purchase material prior to the start of construction of a solar project in order to meet the Five Percent Safe Harbor test to qualify for the ITC. Because the customers lack sufficient storage capacity to accept a large amount of material prior to the start of construction, they request that the Company keep the product in its custody. All bill-and-hold inventory is bundled or palletized in the Company’s warehouses, separately identified as not belonging to the Company and ready for immediate transport to the customer project upon request. Additionally, title and risk of loss has passed to the customer and the Company does not have the ability to use the product or direct it to another customer. During the three and six months ended June 30, 2023, the Company recognized $3.5 million and $22.8 million, respectively, in revenue from a single customer for the sale of goods and services that contained bill-and-hold obligations such as storage, handling and other custodial duties.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Remaining Performance Obligations</w:t>
      </w:r>
    </w:p>
    <w:p>
      <w:pPr>
        <w:spacing w:after="0" w:line="14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of June 30, 2023, the Company had $452.7 million of remaining performance obligations. The Company expects to recognize revenue on 100% of these performance obligations in the next twelve months.</w:t>
      </w:r>
    </w:p>
    <w:p>
      <w:pPr>
        <w:spacing w:after="0" w:line="192"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Earnings Per Share</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table sets forth the computation of basic and diluted income (loss) per share (in thousands, except per share amounts):</w:t>
      </w: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gridSpan w:val="4"/>
          </w:tcPr>
          <w:p>
            <w:pPr>
              <w:jc w:val="right"/>
              <w:ind w:right="821"/>
              <w:spacing w:after="0" w:line="204" w:lineRule="exact"/>
              <w:rPr>
                <w:sz w:val="20"/>
                <w:szCs w:val="20"/>
                <w:color w:val="auto"/>
              </w:rPr>
            </w:pPr>
            <w:r>
              <w:rPr>
                <w:rFonts w:ascii="Arial" w:cs="Arial" w:eastAsia="Arial" w:hAnsi="Arial"/>
                <w:sz w:val="20"/>
                <w:szCs w:val="20"/>
                <w:b w:val="1"/>
                <w:bCs w:val="1"/>
                <w:color w:val="auto"/>
              </w:rPr>
              <w:t>Three Months Ended</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80" w:type="dxa"/>
            <w:vAlign w:val="bottom"/>
            <w:gridSpan w:val="4"/>
          </w:tcPr>
          <w:p>
            <w:pPr>
              <w:jc w:val="right"/>
              <w:ind w:right="941"/>
              <w:spacing w:after="0" w:line="204" w:lineRule="exact"/>
              <w:rPr>
                <w:sz w:val="20"/>
                <w:szCs w:val="20"/>
                <w:color w:val="auto"/>
              </w:rPr>
            </w:pPr>
            <w:r>
              <w:rPr>
                <w:rFonts w:ascii="Arial" w:cs="Arial" w:eastAsia="Arial" w:hAnsi="Arial"/>
                <w:sz w:val="20"/>
                <w:szCs w:val="20"/>
                <w:b w:val="1"/>
                <w:bCs w:val="1"/>
                <w:color w:val="auto"/>
              </w:rPr>
              <w:t>Six Months Ended</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0"/>
                <w:szCs w:val="20"/>
                <w:b w:val="1"/>
                <w:bCs w:val="1"/>
                <w:color w:val="auto"/>
              </w:rPr>
              <w:t>June 30,</w:t>
            </w:r>
          </w:p>
        </w:tc>
        <w:tc>
          <w:tcPr>
            <w:tcW w:w="132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20"/>
                <w:szCs w:val="20"/>
                <w:b w:val="1"/>
                <w:bCs w:val="1"/>
                <w:color w:val="auto"/>
              </w:rPr>
              <w:t>June 30,</w:t>
            </w: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5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2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77"/>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64,808</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(5,024)</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90,940</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(30,961)</w:t>
            </w:r>
          </w:p>
        </w:tc>
        <w:tc>
          <w:tcPr>
            <w:tcW w:w="0" w:type="dxa"/>
            <w:vAlign w:val="bottom"/>
          </w:tcPr>
          <w:p>
            <w:pPr>
              <w:spacing w:after="0"/>
              <w:rPr>
                <w:sz w:val="1"/>
                <w:szCs w:val="1"/>
                <w:color w:val="auto"/>
              </w:rPr>
            </w:pPr>
          </w:p>
        </w:tc>
      </w:tr>
      <w:tr>
        <w:trPr>
          <w:trHeight w:val="265"/>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Preferred dividends and accretion</w:t>
            </w:r>
          </w:p>
        </w:tc>
        <w:tc>
          <w:tcPr>
            <w:tcW w:w="4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12,784</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12,182</w:t>
            </w:r>
          </w:p>
        </w:tc>
        <w:tc>
          <w:tcPr>
            <w:tcW w:w="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25,268</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23,788</w:t>
            </w:r>
          </w:p>
        </w:tc>
        <w:tc>
          <w:tcPr>
            <w:tcW w:w="0" w:type="dxa"/>
            <w:vAlign w:val="bottom"/>
          </w:tcPr>
          <w:p>
            <w:pPr>
              <w:spacing w:after="0"/>
              <w:rPr>
                <w:sz w:val="1"/>
                <w:szCs w:val="1"/>
                <w:color w:val="auto"/>
              </w:rPr>
            </w:pPr>
          </w:p>
        </w:tc>
      </w:tr>
      <w:tr>
        <w:trPr>
          <w:trHeight w:val="224"/>
        </w:trPr>
        <w:tc>
          <w:tcPr>
            <w:tcW w:w="3560" w:type="dxa"/>
            <w:vAlign w:val="bottom"/>
            <w:shd w:val="clear" w:color="auto" w:fill="CCEEFF"/>
          </w:tcPr>
          <w:p>
            <w:pPr>
              <w:ind w:left="20"/>
              <w:spacing w:after="0" w:line="224" w:lineRule="exact"/>
              <w:rPr>
                <w:sz w:val="20"/>
                <w:szCs w:val="20"/>
                <w:color w:val="auto"/>
              </w:rPr>
            </w:pPr>
            <w:r>
              <w:rPr>
                <w:rFonts w:ascii="Arial" w:cs="Arial" w:eastAsia="Arial" w:hAnsi="Arial"/>
                <w:sz w:val="20"/>
                <w:szCs w:val="20"/>
                <w:color w:val="auto"/>
              </w:rPr>
              <w:t>Net income (loss) to common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3560" w:type="dxa"/>
            <w:vAlign w:val="bottom"/>
            <w:shd w:val="clear" w:color="auto" w:fill="CCEEFF"/>
          </w:tcPr>
          <w:p>
            <w:pPr>
              <w:ind w:left="20"/>
              <w:spacing w:after="0"/>
              <w:rPr>
                <w:sz w:val="20"/>
                <w:szCs w:val="20"/>
                <w:color w:val="auto"/>
              </w:rPr>
            </w:pPr>
            <w:r>
              <w:rPr>
                <w:rFonts w:ascii="Arial" w:cs="Arial" w:eastAsia="Arial" w:hAnsi="Arial"/>
                <w:sz w:val="20"/>
                <w:szCs w:val="20"/>
                <w:color w:val="auto"/>
              </w:rPr>
              <w:t>shareholders</w:t>
            </w:r>
          </w:p>
        </w:tc>
        <w:tc>
          <w:tcPr>
            <w:tcW w:w="420" w:type="dxa"/>
            <w:vAlign w:val="bottom"/>
            <w:shd w:val="clear" w:color="auto" w:fill="CCEEFF"/>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52,024</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(17,206)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65,672</w:t>
            </w:r>
          </w:p>
        </w:tc>
        <w:tc>
          <w:tcPr>
            <w:tcW w:w="62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(54,749)</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Basic: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6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1"/>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150,919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150,763</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149,246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60" w:type="dxa"/>
            <w:vAlign w:val="bottom"/>
          </w:tcPr>
          <w:p>
            <w:pPr>
              <w:ind w:left="240"/>
              <w:spacing w:after="0"/>
              <w:rPr>
                <w:sz w:val="20"/>
                <w:szCs w:val="20"/>
                <w:color w:val="auto"/>
              </w:rPr>
            </w:pPr>
            <w:r>
              <w:rPr>
                <w:rFonts w:ascii="Arial" w:cs="Arial" w:eastAsia="Arial" w:hAnsi="Arial"/>
                <w:sz w:val="20"/>
                <w:szCs w:val="20"/>
                <w:color w:val="auto"/>
              </w:rPr>
              <w:t>Income (loss) per share</w:t>
            </w: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0.34</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(0.11)</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0.44</w:t>
            </w:r>
          </w:p>
        </w:tc>
        <w:tc>
          <w:tcPr>
            <w:tcW w:w="62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0"/>
        </w:trPr>
        <w:tc>
          <w:tcPr>
            <w:tcW w:w="356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60" w:type="dxa"/>
            <w:vAlign w:val="bottom"/>
            <w:tcBorders>
              <w:bottom w:val="single" w:sz="8" w:color="CCEEFF"/>
            </w:tcBorders>
            <w:shd w:val="clear" w:color="auto" w:fill="CCEEFF"/>
          </w:tcPr>
          <w:p>
            <w:pPr>
              <w:ind w:left="20"/>
              <w:spacing w:after="0" w:line="228" w:lineRule="exact"/>
              <w:rPr>
                <w:sz w:val="20"/>
                <w:szCs w:val="20"/>
                <w:color w:val="auto"/>
              </w:rPr>
            </w:pPr>
            <w:r>
              <w:rPr>
                <w:rFonts w:ascii="Arial" w:cs="Arial" w:eastAsia="Arial" w:hAnsi="Arial"/>
                <w:sz w:val="20"/>
                <w:szCs w:val="20"/>
                <w:color w:val="auto"/>
              </w:rPr>
              <w:t>Diluted:</w:t>
            </w:r>
          </w:p>
        </w:tc>
        <w:tc>
          <w:tcPr>
            <w:tcW w:w="4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60" w:type="dxa"/>
            <w:vAlign w:val="bottom"/>
          </w:tcPr>
          <w:p>
            <w:pPr>
              <w:ind w:left="240"/>
              <w:spacing w:after="0" w:line="226" w:lineRule="exact"/>
              <w:rPr>
                <w:sz w:val="20"/>
                <w:szCs w:val="20"/>
                <w:color w:val="auto"/>
              </w:rPr>
            </w:pPr>
            <w:r>
              <w:rPr>
                <w:rFonts w:ascii="Arial" w:cs="Arial" w:eastAsia="Arial" w:hAnsi="Arial"/>
                <w:sz w:val="20"/>
                <w:szCs w:val="20"/>
                <w:color w:val="auto"/>
              </w:rPr>
              <w:t>Effect of restricted stock and</w:t>
            </w:r>
          </w:p>
        </w:tc>
        <w:tc>
          <w:tcPr>
            <w:tcW w:w="4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4"/>
        </w:trPr>
        <w:tc>
          <w:tcPr>
            <w:tcW w:w="3560" w:type="dxa"/>
            <w:vAlign w:val="bottom"/>
          </w:tcPr>
          <w:p>
            <w:pPr>
              <w:ind w:left="240"/>
              <w:spacing w:after="0"/>
              <w:rPr>
                <w:sz w:val="20"/>
                <w:szCs w:val="20"/>
                <w:color w:val="auto"/>
              </w:rPr>
            </w:pPr>
            <w:r>
              <w:rPr>
                <w:rFonts w:ascii="Arial" w:cs="Arial" w:eastAsia="Arial" w:hAnsi="Arial"/>
                <w:sz w:val="20"/>
                <w:szCs w:val="20"/>
                <w:color w:val="auto"/>
              </w:rPr>
              <w:t>performance awards</w:t>
            </w:r>
          </w:p>
        </w:tc>
        <w:tc>
          <w:tcPr>
            <w:tcW w:w="4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20"/>
                <w:szCs w:val="20"/>
                <w:color w:val="auto"/>
              </w:rPr>
              <w:t>1,210</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Arial" w:cs="Arial" w:eastAsia="Arial" w:hAnsi="Arial"/>
                <w:sz w:val="20"/>
                <w:szCs w:val="20"/>
                <w:color w:val="auto"/>
              </w:rPr>
              <w:t>1,207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2"/>
        </w:trPr>
        <w:tc>
          <w:tcPr>
            <w:tcW w:w="3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Weighted average shares</w:t>
            </w:r>
          </w:p>
        </w:tc>
        <w:tc>
          <w:tcPr>
            <w:tcW w:w="4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152,129</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150,203</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151,970</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149,246</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3560" w:type="dxa"/>
            <w:vAlign w:val="bottom"/>
          </w:tcPr>
          <w:p>
            <w:pPr>
              <w:ind w:left="240"/>
              <w:spacing w:after="0"/>
              <w:rPr>
                <w:sz w:val="20"/>
                <w:szCs w:val="20"/>
                <w:color w:val="auto"/>
              </w:rPr>
            </w:pPr>
            <w:r>
              <w:rPr>
                <w:rFonts w:ascii="Arial" w:cs="Arial" w:eastAsia="Arial" w:hAnsi="Arial"/>
                <w:sz w:val="20"/>
                <w:szCs w:val="20"/>
                <w:color w:val="auto"/>
              </w:rPr>
              <w:t>Income (loss) per share</w:t>
            </w:r>
          </w:p>
        </w:tc>
        <w:tc>
          <w:tcPr>
            <w:tcW w:w="420" w:type="dxa"/>
            <w:vAlign w:val="bottom"/>
          </w:tcPr>
          <w:p>
            <w:pPr>
              <w:jc w:val="right"/>
              <w:ind w:right="201"/>
              <w:spacing w:after="0"/>
              <w:rPr>
                <w:sz w:val="20"/>
                <w:szCs w:val="20"/>
                <w:color w:val="auto"/>
              </w:rPr>
            </w:pPr>
            <w:r>
              <w:rPr>
                <w:rFonts w:ascii="Arial" w:cs="Arial" w:eastAsia="Arial" w:hAnsi="Arial"/>
                <w:sz w:val="20"/>
                <w:szCs w:val="20"/>
                <w:color w:val="auto"/>
                <w:w w:val="89"/>
              </w:rPr>
              <w:t>$</w:t>
            </w:r>
          </w:p>
        </w:tc>
        <w:tc>
          <w:tcPr>
            <w:tcW w:w="1420" w:type="dxa"/>
            <w:vAlign w:val="bottom"/>
          </w:tcPr>
          <w:p>
            <w:pPr>
              <w:jc w:val="right"/>
              <w:spacing w:after="0"/>
              <w:rPr>
                <w:sz w:val="20"/>
                <w:szCs w:val="20"/>
                <w:color w:val="auto"/>
              </w:rPr>
            </w:pPr>
            <w:r>
              <w:rPr>
                <w:rFonts w:ascii="Arial" w:cs="Arial" w:eastAsia="Arial" w:hAnsi="Arial"/>
                <w:sz w:val="20"/>
                <w:szCs w:val="20"/>
                <w:color w:val="auto"/>
              </w:rPr>
              <w:t>0.34</w:t>
            </w:r>
          </w:p>
        </w:tc>
        <w:tc>
          <w:tcPr>
            <w:tcW w:w="64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(0.11)</w:t>
            </w:r>
          </w:p>
        </w:tc>
        <w:tc>
          <w:tcPr>
            <w:tcW w:w="500" w:type="dxa"/>
            <w:vAlign w:val="bottom"/>
            <w:gridSpan w:val="2"/>
          </w:tcPr>
          <w:p>
            <w:pPr>
              <w:jc w:val="right"/>
              <w:ind w:right="300"/>
              <w:spacing w:after="0"/>
              <w:rPr>
                <w:sz w:val="20"/>
                <w:szCs w:val="20"/>
                <w:color w:val="auto"/>
              </w:rPr>
            </w:pPr>
            <w:r>
              <w:rPr>
                <w:rFonts w:ascii="Arial" w:cs="Arial" w:eastAsia="Arial" w:hAnsi="Arial"/>
                <w:sz w:val="20"/>
                <w:szCs w:val="20"/>
                <w:color w:val="auto"/>
              </w:rPr>
              <w:t>$</w:t>
            </w:r>
          </w:p>
        </w:tc>
        <w:tc>
          <w:tcPr>
            <w:tcW w:w="1440" w:type="dxa"/>
            <w:vAlign w:val="bottom"/>
          </w:tcPr>
          <w:p>
            <w:pPr>
              <w:jc w:val="right"/>
              <w:spacing w:after="0"/>
              <w:rPr>
                <w:sz w:val="20"/>
                <w:szCs w:val="20"/>
                <w:color w:val="auto"/>
              </w:rPr>
            </w:pPr>
            <w:r>
              <w:rPr>
                <w:rFonts w:ascii="Arial" w:cs="Arial" w:eastAsia="Arial" w:hAnsi="Arial"/>
                <w:sz w:val="20"/>
                <w:szCs w:val="20"/>
                <w:color w:val="auto"/>
              </w:rPr>
              <w:t>0.43</w:t>
            </w:r>
          </w:p>
        </w:tc>
        <w:tc>
          <w:tcPr>
            <w:tcW w:w="620" w:type="dxa"/>
            <w:vAlign w:val="bottom"/>
            <w:gridSpan w:val="2"/>
          </w:tcPr>
          <w:p>
            <w:pPr>
              <w:jc w:val="right"/>
              <w:ind w:right="420"/>
              <w:spacing w:after="0"/>
              <w:rPr>
                <w:sz w:val="20"/>
                <w:szCs w:val="20"/>
                <w:color w:val="auto"/>
              </w:rPr>
            </w:pPr>
            <w:r>
              <w:rPr>
                <w:rFonts w:ascii="Arial" w:cs="Arial" w:eastAsia="Arial" w:hAnsi="Arial"/>
                <w:sz w:val="20"/>
                <w:szCs w:val="20"/>
                <w:color w:val="auto"/>
              </w:rPr>
              <w:t>$</w:t>
            </w:r>
          </w:p>
        </w:tc>
        <w:tc>
          <w:tcPr>
            <w:tcW w:w="1320" w:type="dxa"/>
            <w:vAlign w:val="bottom"/>
          </w:tcPr>
          <w:p>
            <w:pPr>
              <w:jc w:val="right"/>
              <w:spacing w:after="0"/>
              <w:rPr>
                <w:sz w:val="20"/>
                <w:szCs w:val="20"/>
                <w:color w:val="auto"/>
              </w:rPr>
            </w:pPr>
            <w:r>
              <w:rPr>
                <w:rFonts w:ascii="Arial" w:cs="Arial" w:eastAsia="Arial" w:hAnsi="Arial"/>
                <w:sz w:val="20"/>
                <w:szCs w:val="20"/>
                <w:color w:val="auto"/>
              </w:rPr>
              <w:t>(0.37)</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Potentially dilutive common shares issuable pursuant to equity-based awards of 2,413 were not included for the six months ended June 30, 2022, as their potential effect was anti-dilutive given the Company generated a net loss to common shareholders.</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There were no potentially dilutive common shares issuable pursuant to the Convertible Notes for both the six months ended June 30, 2023 and 2022, as the average market price of the Company’s common stock has not exceeded the exercise price since their issuance.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306"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Legal Proceedings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Company, in the normal course of business, is subject to claims and litigation. The Company reviews the status of each matter and assesses its potential financial exposure. If the potential loss from any claim or legal proceeding is considered probable and the amount can be reasonably estimated, the Company would accrue a liability for the estimated loss.</w:t>
      </w:r>
    </w:p>
    <w:p>
      <w:pPr>
        <w:spacing w:after="0" w:line="2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May 14, 2021, a putative class action was filed in the U.S. District Court for the Southern District of New York (the “Southern District of New York” or the “Court”) against the Company and certain officers and directors alleging violations of Sections 10(b) and 20(a) of the Securities Exchange Act of 1934, and Rule 10b-5, promulgated thereunder, and Sections 11, 12(a)(2) and 15 of the Securities Exchange Act of 1933 (“Plymouth Action”). The Plymouth Action alleges misstatements and/or omissions in the Company’s registration statements and prospectuses related to the Company’s October 2020 initial public offering (“IPO”), the Company’s December 2020 offering (the “2020 Follow-On Offering”), and the Company’s March 2021 offering (the “2021 Follow-On Offering”) during the putative class period of October 14, 2020 through May 11, 2021.</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On June 30, 2021, a second putative class action was filed in the Southern District of New York against the Company and certain officers and directors alleging violations of Sections 10(b) and 20(a) of the Securities Exchange Act of 1934, and Rule 10b-5, promulgated thereunder, and Sections 11 and 15 of the Securities Exchange Act of 1933 (“Keippel Action”). The Keippel Action similarly alleged misstatements and/or omissions in certain of the Company’s registration statements and prospectuses related to the Company’s IPO, the Company’s 2020 Follow-On Offering, and the Company’s 2021 Follow-On Offering during the putative class period of October 14, 2020 through May 11, 2021. On July 6, 2021, the Court entered an order that the Keippel Action was in all material respects substantially similar to the Plymouth Action that both actions arise out of the same or similar operative facts, and that the parties are substantially the same parties. The Court accordingly consolidated the Keippel Action with the Plymouth Action for all pretrial purposes and, ordered all filings to be made in the Plymouth Action.</w:t>
      </w:r>
    </w:p>
    <w:p>
      <w:pPr>
        <w:spacing w:after="0" w:line="209"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On July 16, 2021, a verified derivative complaint was filed in the Southern District of New York against certain officers and directors of the Company (“First SDNY Derivative Action”). The complaint alleges: (1) violations of Section 14(a) of the Securities Exchange Act of 1934 for misleading proxy statements, (2) breach of fiduciary duty, (3) unjust enrichment, (4) abuse of control,</w:t>
      </w:r>
    </w:p>
    <w:p>
      <w:pPr>
        <w:spacing w:after="0" w:line="2" w:lineRule="exact"/>
        <w:rPr>
          <w:sz w:val="20"/>
          <w:szCs w:val="20"/>
          <w:color w:val="auto"/>
        </w:rPr>
      </w:pPr>
    </w:p>
    <w:p>
      <w:pPr>
        <w:ind w:firstLine="8"/>
        <w:spacing w:after="0" w:line="267" w:lineRule="auto"/>
        <w:tabs>
          <w:tab w:leader="none" w:pos="331" w:val="left"/>
        </w:tabs>
        <w:numPr>
          <w:ilvl w:val="0"/>
          <w:numId w:val="15"/>
        </w:numPr>
        <w:rPr>
          <w:rFonts w:ascii="Arial" w:cs="Arial" w:eastAsia="Arial" w:hAnsi="Arial"/>
          <w:sz w:val="20"/>
          <w:szCs w:val="20"/>
          <w:color w:val="auto"/>
        </w:rPr>
      </w:pPr>
      <w:r>
        <w:rPr>
          <w:rFonts w:ascii="Arial" w:cs="Arial" w:eastAsia="Arial" w:hAnsi="Arial"/>
          <w:sz w:val="20"/>
          <w:szCs w:val="20"/>
          <w:color w:val="auto"/>
        </w:rPr>
        <w:t>gross mismanagement, (6) corporate waste, (7) aiding and abetting breach of fiduciary duty, and (8) contribution under sections 10(b) and 21D of the Securities Exchange Act of 1934.</w:t>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July 30, 2021, a second and related verified derivative complaint was filed in the Southern District of New York against certain officers and directors of the Company (“Second SDNY Derivative Action”). The complaint alleges: (1) violations of Section 14(a) of the Securities Exchange Act of 1934 for causing the issuance of a false/misleading proxy statement, (2) breach of fiduciary duty, and (3) aiding and abetting breaches of fiduciary duty. On August 24, 2021, the Second SDNY Derivative Action was consolidated with the First SDNY Derivative Action, the Court appointed co-lead counsel, and the case was temporarily stayed pending the entry of an order on all motions to dismiss directed at the pleadings filed in the Plymouth Action. The stay shall remain in effect until the later of (a) the entry of an order on any motions to dismiss the Plymouth Action or, (b) to the extent the complaint in the Plymouth Action is amended, the entry of an order on any motions to dismiss any such amended complaints in the Plymouth Action.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200" w:lineRule="exact"/>
        <w:rPr>
          <w:sz w:val="20"/>
          <w:szCs w:val="20"/>
          <w:color w:val="auto"/>
        </w:rPr>
      </w:pPr>
    </w:p>
    <w:p>
      <w:pPr>
        <w:spacing w:after="0" w:line="35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September 21, 2021, the Court in the Plymouth Action appointed a group comprised of institutional investors Plymouth County Retirement Association and Carpenters Pension Trust Fund for Northern California as lead plaintiff.</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On December 7, 2021, an amended class action complaint was filed by lead plaintiff in the Plymouth Action against the Company and certain officers and directors alleging violations of Sections 10(b) and 20(a) of the Securities Exchange Act of 1934, and Rule 10b-5, promulgated thereunder, and Sections 11, 12(a)(2), and 15 of the Securities Exchange Act of 1933, on behalf of a putative class of persons and entities that purchased or otherwise acquired the Company’s securities during the period from October 14, 2020 through May 11, 2021 (the “Consolidated Amended Complaint”). The Consolidated Amended Complaint alleges misstatements and/or omissions in: (1) certain of the Company’s registration statements and prospectuses related to the Company’s IPO, the Company’s 2020 Follow-On Offering, and the Company’s 2021 Follow-On Offering; (2) in the Company’s Annual Report on Form 10-K and associated press release announcing results for the fourth quarter and full fiscal year 2020; and (3) in the Company’s November 5, 2020 and March 9, 2021 earnings calls.</w:t>
      </w:r>
    </w:p>
    <w:p>
      <w:pPr>
        <w:spacing w:after="0" w:line="23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On August 17, 2022, the Court in the Plymouth Action set a briefing schedule for any motion to dismiss with the opening motion and supporting memorandum to be filed on or before October 17, 2022, any opposition to be filed on or before December 16, 2022, and any reply in support of the motion to be filed on or before January 16, 2023. The Company and other defendants in the Plymouth Action filed a joint motion to dismiss (the “Motion to Dismiss”) the Consolidated Amended Complaint on October 17, 2022. The lead plaintiff filed a motion opposing the Motion to Dismiss on December 16, 2022, and the Company and other defendants filed a reply in support of the motion to dismiss on January 17, 2023.</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On May 19, 2023, the Court in the Plymouth Action granted the Company’s Motion to Dismiss. On July 5, 2023, the Court denied the lead plaintiffs’ request for leave to amend the Consolidated Amended Complaint and dismissed the Plymouth Action with prejudice.</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On August 4, 2023, the lead plaintiffs filed a notice of appeal of the Court’s dismissal of the Consolidated Amended Complaint.</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August 3, 2022, a verified derivative complaint was filed in the Court of Chancery of the State of Delaware (the “Court of Chancery”) against certain officers and directors of the Company, asserting claims for: (1) breach of fiduciary duty and (2) unjust enrichment (“First Delaware Derivative Action”).</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On August 11, 2022, a second verified derivative complaint was filed against certain officers and directors of the Company Court of Chancery, asserting claims for: (1) breach of fiduciary duty; (2) aiding and abetting breaches of fiduciary duty; (3) waste of corporate assets; (4) unjust enrichment; (5) insider selling; and (6) aiding and abetting insider selling (“Second Delaware Derivative Action”).</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On September 2, 2022, the Second Delaware Derivative Action was consolidated with the First Delaware Derivative Action, the Court of Chancery appointed co-lead counsel, and the case was temporarily stayed pending the entry of an order on all motions to dismiss directed at the pleadings filed in the Plymouth Action. The stay shall remain in effect until the later of (a) the entry of an order on the pending motion to dismiss the Consolidated Amended Complaint in the Plymouth Action, (b) to the extent the Consolidated Amended Complaint in the Plymouth Action is further amended, the entry of an order on any motions to dismiss any such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amended complaints in the Plymouth Action, or (c) the public announcement of a settlement of the Plymouth Action.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At this time the Company believes that the likelihood of any material loss related to these matters is remote given the preliminary stage of the claims and strength of the Company’s defenses. The Company has not recorded any material loss contingency in the condensed consolidated balance sheets as of June 30,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Contingent Consideration</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Tax Receivable Agreement</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Concurrent with the Former Parent’s acquisition of Array Technologies Patent Holdings Co., LLC on July 8, 2016, the Company’s operating subsidiary, Array Tech, Inc. (f/k/a Array Technologies, Inc.), entered into a Tax Receivable Agreement (the “TRA”) with the former majority shareholder of Array. The TRA is valued based on the future expected payments under the agreement. The TRA provides for the payment by Array Tech, Inc., to the former owners for certain federal, state, local and non-U.S. tax benefits deemed realized in post-closing taxable periods by Array Tech, Inc., from the use of certain deductions generated by the increase in the tax value of the developed technology. The TRA is accounted for as contingent consideration and subsequent changes in fair value of the contingent liability are recognized in contingent consideration on the condensed consolidated statements of operations. As of June 30, 2023 and December 31, 2022, the fair value of the TRA was $9.4 million and $8.6 million, respectively.</w:t>
      </w:r>
    </w:p>
    <w:p>
      <w:pPr>
        <w:spacing w:after="0" w:line="22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Estimating the amount of payments that may be made under the TRA is by nature imprecise. The significant fair value inputs used to estimate the future expected TRA payments to the former owners include the timing of tax payments, a discount rate, book income projections, timing of expected adjustments to calculate taxable income and the projected rate of use for attributes defined in the TRA.</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Payments made under the TRA consider tax positions taken by the Company and are due within 125 days following the filing of the Company’s U.S. federal and state income tax returns under procedures described in the agreement. The current portion of the TRA liability is based on tax returns. The TRA will continue until all tax benefit payments have been made or the Company elects early termination under the terms described in the TRA.</w:t>
      </w:r>
    </w:p>
    <w:p>
      <w:pPr>
        <w:spacing w:after="0" w:line="22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summarizes the activity related to the estimated TRA liability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80" w:type="dxa"/>
            <w:vAlign w:val="bottom"/>
            <w:gridSpan w:val="4"/>
          </w:tcPr>
          <w:p>
            <w:pPr>
              <w:jc w:val="right"/>
              <w:ind w:right="181"/>
              <w:spacing w:after="0"/>
              <w:rPr>
                <w:sz w:val="20"/>
                <w:szCs w:val="20"/>
                <w:color w:val="auto"/>
              </w:rPr>
            </w:pPr>
            <w:r>
              <w:rPr>
                <w:rFonts w:ascii="Arial" w:cs="Arial" w:eastAsia="Arial" w:hAnsi="Arial"/>
                <w:sz w:val="20"/>
                <w:szCs w:val="20"/>
                <w:b w:val="1"/>
                <w:bCs w:val="1"/>
                <w:color w:val="auto"/>
              </w:rPr>
              <w:t>Three Months Ended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80" w:type="dxa"/>
            <w:vAlign w:val="bottom"/>
            <w:gridSpan w:val="4"/>
          </w:tcPr>
          <w:p>
            <w:pPr>
              <w:jc w:val="right"/>
              <w:ind w:right="1001"/>
              <w:spacing w:after="0"/>
              <w:rPr>
                <w:sz w:val="20"/>
                <w:szCs w:val="20"/>
                <w:color w:val="auto"/>
              </w:rPr>
            </w:pPr>
            <w:r>
              <w:rPr>
                <w:rFonts w:ascii="Arial" w:cs="Arial" w:eastAsia="Arial" w:hAnsi="Arial"/>
                <w:sz w:val="20"/>
                <w:szCs w:val="20"/>
                <w:b w:val="1"/>
                <w:bCs w:val="1"/>
                <w:color w:val="auto"/>
              </w:rPr>
              <w:t>Six Months Ended</w:t>
            </w:r>
          </w:p>
        </w:tc>
      </w:tr>
      <w:tr>
        <w:trPr>
          <w:trHeight w:val="257"/>
        </w:trPr>
        <w:tc>
          <w:tcPr>
            <w:tcW w:w="3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20"/>
                <w:szCs w:val="20"/>
                <w:b w:val="1"/>
                <w:bCs w:val="1"/>
                <w:color w:val="auto"/>
              </w:rPr>
              <w:t>June 30,</w:t>
            </w:r>
          </w:p>
        </w:tc>
        <w:tc>
          <w:tcPr>
            <w:tcW w:w="7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20"/>
                <w:szCs w:val="20"/>
                <w:b w:val="1"/>
                <w:bCs w:val="1"/>
                <w:color w:val="auto"/>
              </w:rPr>
              <w:t>June 30,</w:t>
            </w:r>
          </w:p>
        </w:tc>
        <w:tc>
          <w:tcPr>
            <w:tcW w:w="1360" w:type="dxa"/>
            <w:vAlign w:val="bottom"/>
            <w:tcBorders>
              <w:bottom w:val="single" w:sz="8" w:color="auto"/>
            </w:tcBorders>
          </w:tcPr>
          <w:p>
            <w:pPr>
              <w:spacing w:after="0"/>
              <w:rPr>
                <w:sz w:val="22"/>
                <w:szCs w:val="22"/>
                <w:color w:val="auto"/>
              </w:rPr>
            </w:pPr>
          </w:p>
        </w:tc>
      </w:tr>
      <w:tr>
        <w:trPr>
          <w:trHeight w:val="250"/>
        </w:trPr>
        <w:tc>
          <w:tcPr>
            <w:tcW w:w="33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6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641"/>
              <w:spacing w:after="0"/>
              <w:rPr>
                <w:sz w:val="20"/>
                <w:szCs w:val="20"/>
                <w:color w:val="auto"/>
              </w:rPr>
            </w:pPr>
            <w:r>
              <w:rPr>
                <w:rFonts w:ascii="Arial" w:cs="Arial" w:eastAsia="Arial" w:hAnsi="Arial"/>
                <w:sz w:val="20"/>
                <w:szCs w:val="20"/>
                <w:b w:val="1"/>
                <w:bCs w:val="1"/>
                <w:color w:val="auto"/>
              </w:rPr>
              <w:t>2022</w:t>
            </w:r>
          </w:p>
        </w:tc>
      </w:tr>
      <w:tr>
        <w:trPr>
          <w:trHeight w:val="277"/>
        </w:trPr>
        <w:tc>
          <w:tcPr>
            <w:tcW w:w="3340" w:type="dxa"/>
            <w:vAlign w:val="bottom"/>
            <w:shd w:val="clear" w:color="auto" w:fill="CCEEFF"/>
          </w:tcPr>
          <w:p>
            <w:pPr>
              <w:ind w:left="20"/>
              <w:spacing w:after="0"/>
              <w:rPr>
                <w:sz w:val="20"/>
                <w:szCs w:val="20"/>
                <w:color w:val="auto"/>
              </w:rPr>
            </w:pPr>
            <w:r>
              <w:rPr>
                <w:rFonts w:ascii="Arial" w:cs="Arial" w:eastAsia="Arial" w:hAnsi="Arial"/>
                <w:sz w:val="20"/>
                <w:szCs w:val="20"/>
                <w:color w:val="auto"/>
              </w:rPr>
              <w:t>Beginning balance</w:t>
            </w:r>
          </w:p>
        </w:tc>
        <w:tc>
          <w:tcPr>
            <w:tcW w:w="1240" w:type="dxa"/>
            <w:vAlign w:val="bottom"/>
            <w:gridSpan w:val="2"/>
            <w:shd w:val="clear" w:color="auto" w:fill="CCEEFF"/>
          </w:tcPr>
          <w:p>
            <w:pPr>
              <w:jc w:val="right"/>
              <w:ind w:right="1021"/>
              <w:spacing w:after="0"/>
              <w:rPr>
                <w:sz w:val="20"/>
                <w:szCs w:val="20"/>
                <w:color w:val="auto"/>
              </w:rPr>
            </w:pPr>
            <w:r>
              <w:rPr>
                <w:rFonts w:ascii="Arial" w:cs="Arial" w:eastAsia="Arial" w:hAnsi="Arial"/>
                <w:sz w:val="20"/>
                <w:szCs w:val="20"/>
                <w:color w:val="auto"/>
                <w:w w:val="8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8,724</w:t>
            </w:r>
          </w:p>
        </w:tc>
        <w:tc>
          <w:tcPr>
            <w:tcW w:w="1300" w:type="dxa"/>
            <w:vAlign w:val="bottom"/>
            <w:gridSpan w:val="2"/>
            <w:shd w:val="clear" w:color="auto" w:fill="CCEEFF"/>
          </w:tcPr>
          <w:p>
            <w:pPr>
              <w:jc w:val="right"/>
              <w:ind w:right="1001"/>
              <w:spacing w:after="0"/>
              <w:rPr>
                <w:sz w:val="20"/>
                <w:szCs w:val="20"/>
                <w:color w:val="auto"/>
              </w:rPr>
            </w:pPr>
            <w:r>
              <w:rPr>
                <w:rFonts w:ascii="Arial" w:cs="Arial" w:eastAsia="Arial" w:hAnsi="Arial"/>
                <w:sz w:val="20"/>
                <w:szCs w:val="20"/>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9,364</w:t>
            </w:r>
          </w:p>
        </w:tc>
        <w:tc>
          <w:tcPr>
            <w:tcW w:w="52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center"/>
              <w:ind w:left="721"/>
              <w:spacing w:after="0"/>
              <w:rPr>
                <w:sz w:val="20"/>
                <w:szCs w:val="20"/>
                <w:color w:val="auto"/>
              </w:rPr>
            </w:pPr>
            <w:r>
              <w:rPr>
                <w:rFonts w:ascii="Arial" w:cs="Arial" w:eastAsia="Arial" w:hAnsi="Arial"/>
                <w:sz w:val="20"/>
                <w:szCs w:val="20"/>
                <w:color w:val="auto"/>
                <w:w w:val="99"/>
              </w:rPr>
              <w:t>8,586</w:t>
            </w:r>
          </w:p>
        </w:tc>
        <w:tc>
          <w:tcPr>
            <w:tcW w:w="640" w:type="dxa"/>
            <w:vAlign w:val="bottom"/>
            <w:gridSpan w:val="2"/>
            <w:shd w:val="clear" w:color="auto" w:fill="CCEEFF"/>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14,578</w:t>
            </w:r>
          </w:p>
        </w:tc>
      </w:tr>
      <w:tr>
        <w:trPr>
          <w:trHeight w:val="279"/>
        </w:trPr>
        <w:tc>
          <w:tcPr>
            <w:tcW w:w="3340" w:type="dxa"/>
            <w:vAlign w:val="bottom"/>
          </w:tcPr>
          <w:p>
            <w:pPr>
              <w:ind w:left="140"/>
              <w:spacing w:after="0"/>
              <w:rPr>
                <w:sz w:val="20"/>
                <w:szCs w:val="20"/>
                <w:color w:val="auto"/>
              </w:rPr>
            </w:pPr>
            <w:r>
              <w:rPr>
                <w:rFonts w:ascii="Arial" w:cs="Arial" w:eastAsia="Arial" w:hAnsi="Arial"/>
                <w:sz w:val="20"/>
                <w:szCs w:val="20"/>
                <w:color w:val="auto"/>
              </w:rPr>
              <w:t>Payments</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center"/>
              <w:ind w:left="701"/>
              <w:spacing w:after="0"/>
              <w:rPr>
                <w:sz w:val="20"/>
                <w:szCs w:val="20"/>
                <w:color w:val="auto"/>
              </w:rPr>
            </w:pPr>
            <w:r>
              <w:rPr>
                <w:rFonts w:ascii="Arial" w:cs="Arial" w:eastAsia="Arial" w:hAnsi="Arial"/>
                <w:sz w:val="20"/>
                <w:szCs w:val="20"/>
                <w:color w:val="auto"/>
              </w:rPr>
              <w:t>(1,200)</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(1,483)</w:t>
            </w:r>
          </w:p>
        </w:tc>
      </w:tr>
      <w:tr>
        <w:trPr>
          <w:trHeight w:val="275"/>
        </w:trPr>
        <w:tc>
          <w:tcPr>
            <w:tcW w:w="3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Fair value adjustment</w:t>
            </w:r>
          </w:p>
        </w:tc>
        <w:tc>
          <w:tcPr>
            <w:tcW w:w="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705</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(1,678)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center"/>
              <w:ind w:left="721"/>
              <w:spacing w:after="0"/>
              <w:rPr>
                <w:sz w:val="20"/>
                <w:szCs w:val="20"/>
                <w:color w:val="auto"/>
              </w:rPr>
            </w:pPr>
            <w:r>
              <w:rPr>
                <w:rFonts w:ascii="Arial" w:cs="Arial" w:eastAsia="Arial" w:hAnsi="Arial"/>
                <w:sz w:val="20"/>
                <w:szCs w:val="20"/>
                <w:color w:val="auto"/>
                <w:w w:val="99"/>
              </w:rPr>
              <w:t>2,043</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(5,409)</w:t>
            </w:r>
          </w:p>
        </w:tc>
      </w:tr>
      <w:tr>
        <w:trPr>
          <w:trHeight w:val="277"/>
        </w:trPr>
        <w:tc>
          <w:tcPr>
            <w:tcW w:w="3340" w:type="dxa"/>
            <w:vAlign w:val="bottom"/>
          </w:tcPr>
          <w:p>
            <w:pPr>
              <w:ind w:left="20"/>
              <w:spacing w:after="0"/>
              <w:rPr>
                <w:sz w:val="20"/>
                <w:szCs w:val="20"/>
                <w:color w:val="auto"/>
              </w:rPr>
            </w:pPr>
            <w:r>
              <w:rPr>
                <w:rFonts w:ascii="Arial" w:cs="Arial" w:eastAsia="Arial" w:hAnsi="Arial"/>
                <w:sz w:val="20"/>
                <w:szCs w:val="20"/>
                <w:color w:val="auto"/>
              </w:rPr>
              <w:t>Ending balance</w:t>
            </w:r>
          </w:p>
        </w:tc>
        <w:tc>
          <w:tcPr>
            <w:tcW w:w="1240" w:type="dxa"/>
            <w:vAlign w:val="bottom"/>
            <w:gridSpan w:val="2"/>
          </w:tcPr>
          <w:p>
            <w:pPr>
              <w:jc w:val="right"/>
              <w:ind w:right="1021"/>
              <w:spacing w:after="0"/>
              <w:rPr>
                <w:sz w:val="20"/>
                <w:szCs w:val="20"/>
                <w:color w:val="auto"/>
              </w:rPr>
            </w:pPr>
            <w:r>
              <w:rPr>
                <w:rFonts w:ascii="Arial" w:cs="Arial" w:eastAsia="Arial" w:hAnsi="Arial"/>
                <w:sz w:val="20"/>
                <w:szCs w:val="20"/>
                <w:color w:val="auto"/>
                <w:w w:val="89"/>
              </w:rPr>
              <w:t>$</w:t>
            </w:r>
          </w:p>
        </w:tc>
        <w:tc>
          <w:tcPr>
            <w:tcW w:w="660" w:type="dxa"/>
            <w:vAlign w:val="bottom"/>
          </w:tcPr>
          <w:p>
            <w:pPr>
              <w:jc w:val="right"/>
              <w:spacing w:after="0"/>
              <w:rPr>
                <w:sz w:val="20"/>
                <w:szCs w:val="20"/>
                <w:color w:val="auto"/>
              </w:rPr>
            </w:pPr>
            <w:r>
              <w:rPr>
                <w:rFonts w:ascii="Arial" w:cs="Arial" w:eastAsia="Arial" w:hAnsi="Arial"/>
                <w:sz w:val="20"/>
                <w:szCs w:val="20"/>
                <w:color w:val="auto"/>
              </w:rPr>
              <w:t>9,429</w:t>
            </w:r>
          </w:p>
        </w:tc>
        <w:tc>
          <w:tcPr>
            <w:tcW w:w="1300" w:type="dxa"/>
            <w:vAlign w:val="bottom"/>
            <w:gridSpan w:val="2"/>
          </w:tcPr>
          <w:p>
            <w:pPr>
              <w:jc w:val="right"/>
              <w:ind w:right="1001"/>
              <w:spacing w:after="0"/>
              <w:rPr>
                <w:sz w:val="20"/>
                <w:szCs w:val="20"/>
                <w:color w:val="auto"/>
              </w:rPr>
            </w:pPr>
            <w:r>
              <w:rPr>
                <w:rFonts w:ascii="Arial" w:cs="Arial" w:eastAsia="Arial" w:hAnsi="Arial"/>
                <w:sz w:val="20"/>
                <w:szCs w:val="20"/>
                <w:color w:val="auto"/>
              </w:rPr>
              <w:t>$</w:t>
            </w:r>
          </w:p>
        </w:tc>
        <w:tc>
          <w:tcPr>
            <w:tcW w:w="700" w:type="dxa"/>
            <w:vAlign w:val="bottom"/>
          </w:tcPr>
          <w:p>
            <w:pPr>
              <w:jc w:val="right"/>
              <w:spacing w:after="0"/>
              <w:rPr>
                <w:sz w:val="20"/>
                <w:szCs w:val="20"/>
                <w:color w:val="auto"/>
              </w:rPr>
            </w:pPr>
            <w:r>
              <w:rPr>
                <w:rFonts w:ascii="Arial" w:cs="Arial" w:eastAsia="Arial" w:hAnsi="Arial"/>
                <w:sz w:val="20"/>
                <w:szCs w:val="20"/>
                <w:color w:val="auto"/>
              </w:rPr>
              <w:t>7,686</w:t>
            </w:r>
          </w:p>
        </w:tc>
        <w:tc>
          <w:tcPr>
            <w:tcW w:w="520" w:type="dxa"/>
            <w:vAlign w:val="bottom"/>
            <w:gridSpan w:val="2"/>
          </w:tcPr>
          <w:p>
            <w:pPr>
              <w:jc w:val="right"/>
              <w:ind w:right="320"/>
              <w:spacing w:after="0"/>
              <w:rPr>
                <w:sz w:val="20"/>
                <w:szCs w:val="20"/>
                <w:color w:val="auto"/>
              </w:rPr>
            </w:pPr>
            <w:r>
              <w:rPr>
                <w:rFonts w:ascii="Arial" w:cs="Arial" w:eastAsia="Arial" w:hAnsi="Arial"/>
                <w:sz w:val="20"/>
                <w:szCs w:val="20"/>
                <w:color w:val="auto"/>
              </w:rPr>
              <w:t>$</w:t>
            </w:r>
          </w:p>
        </w:tc>
        <w:tc>
          <w:tcPr>
            <w:tcW w:w="1480" w:type="dxa"/>
            <w:vAlign w:val="bottom"/>
          </w:tcPr>
          <w:p>
            <w:pPr>
              <w:jc w:val="center"/>
              <w:ind w:left="721"/>
              <w:spacing w:after="0"/>
              <w:rPr>
                <w:sz w:val="20"/>
                <w:szCs w:val="20"/>
                <w:color w:val="auto"/>
              </w:rPr>
            </w:pPr>
            <w:r>
              <w:rPr>
                <w:rFonts w:ascii="Arial" w:cs="Arial" w:eastAsia="Arial" w:hAnsi="Arial"/>
                <w:sz w:val="20"/>
                <w:szCs w:val="20"/>
                <w:color w:val="auto"/>
                <w:w w:val="99"/>
              </w:rPr>
              <w:t>9,429</w:t>
            </w:r>
          </w:p>
        </w:tc>
        <w:tc>
          <w:tcPr>
            <w:tcW w:w="64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360" w:type="dxa"/>
            <w:vAlign w:val="bottom"/>
          </w:tcPr>
          <w:p>
            <w:pPr>
              <w:jc w:val="right"/>
              <w:spacing w:after="0"/>
              <w:rPr>
                <w:sz w:val="20"/>
                <w:szCs w:val="20"/>
                <w:color w:val="auto"/>
              </w:rPr>
            </w:pPr>
            <w:r>
              <w:rPr>
                <w:rFonts w:ascii="Arial" w:cs="Arial" w:eastAsia="Arial" w:hAnsi="Arial"/>
                <w:sz w:val="20"/>
                <w:szCs w:val="20"/>
                <w:color w:val="auto"/>
              </w:rPr>
              <w:t>7,686</w:t>
            </w:r>
          </w:p>
        </w:tc>
      </w:tr>
      <w:tr>
        <w:trPr>
          <w:trHeight w:val="20"/>
        </w:trPr>
        <w:tc>
          <w:tcPr>
            <w:tcW w:w="3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20"/>
          <w:szCs w:val="20"/>
          <w:color w:val="auto"/>
        </w:rPr>
        <w:t>The TRA liability requires significant judgment and is classified as Level 3 in the fair value hierarchy.</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As of June 30, 2023, the Company posted surety bonds in the total amount of $220.9 million. The Company is required to provide surety bonds to various parties as required for certain transactions initiated during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316"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ordinary course of business to guarantee the Company’s performance in accordance with contractual or legal obligations. These off-balance sheet arrangements do not adversely impact the Company’s liquidity or capital resources.</w:t>
      </w:r>
    </w:p>
    <w:p>
      <w:pPr>
        <w:spacing w:after="0" w:line="205"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Fair Value of Financial Instruments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carrying values and estimated fair values of the Company’s debt financial instruments were as follows (in thousands):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1061"/>
              <w:spacing w:after="0"/>
              <w:rPr>
                <w:sz w:val="20"/>
                <w:szCs w:val="20"/>
                <w:color w:val="auto"/>
              </w:rPr>
            </w:pPr>
            <w:r>
              <w:rPr>
                <w:rFonts w:ascii="Arial" w:cs="Arial" w:eastAsia="Arial" w:hAnsi="Arial"/>
                <w:sz w:val="20"/>
                <w:szCs w:val="20"/>
                <w:b w:val="1"/>
                <w:bCs w:val="1"/>
                <w:color w:val="auto"/>
              </w:rPr>
              <w:t>June 30, 2023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4"/>
          </w:tcPr>
          <w:p>
            <w:pPr>
              <w:jc w:val="right"/>
              <w:ind w:right="821"/>
              <w:spacing w:after="0"/>
              <w:rPr>
                <w:sz w:val="20"/>
                <w:szCs w:val="20"/>
                <w:color w:val="auto"/>
              </w:rPr>
            </w:pPr>
            <w:r>
              <w:rPr>
                <w:rFonts w:ascii="Arial" w:cs="Arial" w:eastAsia="Arial" w:hAnsi="Arial"/>
                <w:sz w:val="20"/>
                <w:szCs w:val="20"/>
                <w:b w:val="1"/>
                <w:bCs w:val="1"/>
                <w:color w:val="auto"/>
              </w:rPr>
              <w:t>December 31, 2022</w:t>
            </w:r>
          </w:p>
        </w:tc>
      </w:tr>
      <w:tr>
        <w:trPr>
          <w:trHeight w:val="254"/>
        </w:trPr>
        <w:tc>
          <w:tcPr>
            <w:tcW w:w="39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99"/>
              </w:rPr>
              <w:t>Carrying Value</w:t>
            </w:r>
          </w:p>
        </w:tc>
        <w:tc>
          <w:tcPr>
            <w:tcW w:w="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w w:val="99"/>
              </w:rPr>
              <w:t>Carrying Value</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21"/>
              <w:spacing w:after="0"/>
              <w:rPr>
                <w:sz w:val="20"/>
                <w:szCs w:val="20"/>
                <w:color w:val="auto"/>
              </w:rPr>
            </w:pPr>
            <w:r>
              <w:rPr>
                <w:rFonts w:ascii="Arial" w:cs="Arial" w:eastAsia="Arial" w:hAnsi="Arial"/>
                <w:sz w:val="20"/>
                <w:szCs w:val="20"/>
                <w:b w:val="1"/>
                <w:bCs w:val="1"/>
                <w:color w:val="auto"/>
              </w:rPr>
              <w:t>Fair Value</w:t>
            </w:r>
          </w:p>
        </w:tc>
      </w:tr>
      <w:tr>
        <w:trPr>
          <w:trHeight w:val="236"/>
        </w:trPr>
        <w:tc>
          <w:tcPr>
            <w:tcW w:w="39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Convertible Notes</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6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414,684</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486,362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413,752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430,236</w:t>
            </w:r>
          </w:p>
        </w:tc>
      </w:tr>
    </w:tbl>
    <w:p>
      <w:pPr>
        <w:spacing w:after="0" w:line="33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fair value of the Convertible Notes is estimated using Level 2 inputs, as they are not registered securities nor listed on any securities exchange but may be traded by qualified institutional buyers.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Capped Calls are valued using a Black-Scholes model, with the most judgmental unobservable input being the volatility measure. The value of the Capped Call is determined using unobservable inputs and is considered to be a Level 3 value in the fair value hierarchy. The fair value of the Capped Call was $64.0 million at June 30, 2023.</w:t>
      </w: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The fair value of the Term Loans and Other Debt is estimated using Level 2 inputs. The carrying values of the Term Loans outstanding under the Senior Secured Credit facility recorded in the condensed consolidated balance sheets approximate fair value due to the variable nature of the interest rates.</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Other Debt totaling $50.4 million, consists of $34.6 million variable rate obligations and $15.8 million fixed rate obligations. Of the $15.8 million fixed rate obligations, $10.3 million mature in 2023 and $5.5 million mature in 2024. Due to the relative short-term maturity of these obligations, the Company believes current carrying value approximates fair value. The carrying value of the $34.6 million variable rate obligations approximate fair value due to the variable nature of the interest rates.</w:t>
      </w:r>
    </w:p>
    <w:p>
      <w:pPr>
        <w:spacing w:after="0" w:line="203"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Equity-Based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2020 Equity Incentive Plan</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On October 14, 2020, the Company’s 2020 Equity Incentive Plan (the “2020 Plan”) became effective. The 2020 Plan authorized 6,683,919 new shares, subject to adjustments pursuant to the 2020 Plan.</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Pursuant to the 2020 Plan, the Company grants restricted stock units (“RSUs”) to employees and members of the Company’s board of directors. The fair value of the RSUs is determined using the market value of the Company’s common stock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16" w:lineRule="exact"/>
        <w:rPr>
          <w:sz w:val="20"/>
          <w:szCs w:val="20"/>
          <w:color w:val="auto"/>
        </w:rPr>
      </w:pPr>
    </w:p>
    <w:p>
      <w:pPr>
        <w:spacing w:after="0"/>
        <w:rPr>
          <w:sz w:val="20"/>
          <w:szCs w:val="20"/>
          <w:color w:val="auto"/>
        </w:rPr>
      </w:pPr>
      <w:r>
        <w:rPr>
          <w:rFonts w:ascii="Arial" w:cs="Arial" w:eastAsia="Arial" w:hAnsi="Arial"/>
          <w:sz w:val="20"/>
          <w:szCs w:val="20"/>
          <w:color w:val="auto"/>
        </w:rPr>
        <w:t>RSU activity under the 2020 Plan during the six months ended June 30, 2023, was as follows: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300" w:type="dxa"/>
            <w:vAlign w:val="bottom"/>
            <w:vMerge w:val="restart"/>
          </w:tcPr>
          <w:p>
            <w:pPr>
              <w:jc w:val="right"/>
              <w:ind w:right="201"/>
              <w:spacing w:after="0"/>
              <w:rPr>
                <w:sz w:val="20"/>
                <w:szCs w:val="20"/>
                <w:color w:val="auto"/>
              </w:rPr>
            </w:pPr>
            <w:r>
              <w:rPr>
                <w:rFonts w:ascii="Arial" w:cs="Arial" w:eastAsia="Arial" w:hAnsi="Arial"/>
                <w:sz w:val="20"/>
                <w:szCs w:val="20"/>
                <w:b w:val="1"/>
                <w:bCs w:val="1"/>
                <w:color w:val="auto"/>
              </w:rPr>
              <w:t>Number of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81"/>
        </w:trPr>
        <w:tc>
          <w:tcPr>
            <w:tcW w:w="6540" w:type="dxa"/>
            <w:vAlign w:val="bottom"/>
            <w:tcBorders>
              <w:bottom w:val="single" w:sz="8" w:color="CCEEFF"/>
            </w:tcBorders>
          </w:tcPr>
          <w:p>
            <w:pPr>
              <w:spacing w:after="0"/>
              <w:rPr>
                <w:sz w:val="24"/>
                <w:szCs w:val="24"/>
                <w:color w:val="auto"/>
              </w:rPr>
            </w:pPr>
          </w:p>
        </w:tc>
        <w:tc>
          <w:tcPr>
            <w:tcW w:w="2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81"/>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2022</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1,700,824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13.81</w:t>
            </w:r>
          </w:p>
        </w:tc>
        <w:tc>
          <w:tcPr>
            <w:tcW w:w="0" w:type="dxa"/>
            <w:vAlign w:val="bottom"/>
          </w:tcPr>
          <w:p>
            <w:pPr>
              <w:spacing w:after="0"/>
              <w:rPr>
                <w:sz w:val="1"/>
                <w:szCs w:val="1"/>
                <w:color w:val="auto"/>
              </w:rPr>
            </w:pPr>
          </w:p>
        </w:tc>
      </w:tr>
      <w:tr>
        <w:trPr>
          <w:trHeight w:val="270"/>
        </w:trPr>
        <w:tc>
          <w:tcPr>
            <w:tcW w:w="654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300" w:type="dxa"/>
            <w:vAlign w:val="bottom"/>
          </w:tcPr>
          <w:p>
            <w:pPr>
              <w:jc w:val="right"/>
              <w:spacing w:after="0"/>
              <w:rPr>
                <w:sz w:val="20"/>
                <w:szCs w:val="20"/>
                <w:color w:val="auto"/>
              </w:rPr>
            </w:pPr>
            <w:r>
              <w:rPr>
                <w:rFonts w:ascii="Arial" w:cs="Arial" w:eastAsia="Arial" w:hAnsi="Arial"/>
                <w:sz w:val="20"/>
                <w:szCs w:val="20"/>
                <w:color w:val="auto"/>
              </w:rPr>
              <w:t>802,130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17.65</w:t>
            </w:r>
          </w:p>
        </w:tc>
        <w:tc>
          <w:tcPr>
            <w:tcW w:w="0" w:type="dxa"/>
            <w:vAlign w:val="bottom"/>
          </w:tcPr>
          <w:p>
            <w:pPr>
              <w:spacing w:after="0"/>
              <w:rPr>
                <w:sz w:val="1"/>
                <w:szCs w:val="1"/>
                <w:color w:val="auto"/>
              </w:rPr>
            </w:pPr>
          </w:p>
        </w:tc>
      </w:tr>
      <w:tr>
        <w:trPr>
          <w:trHeight w:val="283"/>
        </w:trPr>
        <w:tc>
          <w:tcPr>
            <w:tcW w:w="654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(557,448)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12.47</w:t>
            </w:r>
          </w:p>
        </w:tc>
        <w:tc>
          <w:tcPr>
            <w:tcW w:w="0" w:type="dxa"/>
            <w:vAlign w:val="bottom"/>
          </w:tcPr>
          <w:p>
            <w:pPr>
              <w:spacing w:after="0"/>
              <w:rPr>
                <w:sz w:val="1"/>
                <w:szCs w:val="1"/>
                <w:color w:val="auto"/>
              </w:rPr>
            </w:pPr>
          </w:p>
        </w:tc>
      </w:tr>
      <w:tr>
        <w:trPr>
          <w:trHeight w:val="283"/>
        </w:trPr>
        <w:tc>
          <w:tcPr>
            <w:tcW w:w="6540" w:type="dxa"/>
            <w:vAlign w:val="bottom"/>
          </w:tcPr>
          <w:p>
            <w:pPr>
              <w:ind w:left="140"/>
              <w:spacing w:after="0"/>
              <w:rPr>
                <w:sz w:val="20"/>
                <w:szCs w:val="20"/>
                <w:color w:val="auto"/>
              </w:rPr>
            </w:pPr>
            <w:r>
              <w:rPr>
                <w:rFonts w:ascii="Arial" w:cs="Arial" w:eastAsia="Arial" w:hAnsi="Arial"/>
                <w:sz w:val="20"/>
                <w:szCs w:val="20"/>
                <w:color w:val="auto"/>
              </w:rPr>
              <w:t>Shares forfeited</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(117,511)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15.07</w:t>
            </w:r>
          </w:p>
        </w:tc>
        <w:tc>
          <w:tcPr>
            <w:tcW w:w="0" w:type="dxa"/>
            <w:vAlign w:val="bottom"/>
          </w:tcPr>
          <w:p>
            <w:pPr>
              <w:spacing w:after="0"/>
              <w:rPr>
                <w:sz w:val="1"/>
                <w:szCs w:val="1"/>
                <w:color w:val="auto"/>
              </w:rPr>
            </w:pPr>
          </w:p>
        </w:tc>
      </w:tr>
      <w:tr>
        <w:trPr>
          <w:trHeight w:val="297"/>
        </w:trPr>
        <w:tc>
          <w:tcPr>
            <w:tcW w:w="6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June 30, 2023</w:t>
            </w:r>
          </w:p>
        </w:tc>
        <w:tc>
          <w:tcPr>
            <w:tcW w:w="2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1,827,995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15.57</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Stock Units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The Company has granted performance stock units (“PSUs”) to certain employees. The PSUs cliff vest after three years and upon meeting certain revenue and adjusted EPS targets. The PSUs also contain a modifier based on the total stock return (“TSR”) compared to a certain index which modifies the number of PSUs that vest. The PSUs were valued using a Monte-Carlo simulation method on the date of grant based on the U.S. Treasury Constant Maturity rates. The following assumptions were used in the Monte Carlo simulation for computing the grant date fair value of the PSUs issued during the six months ended June 30,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6360" w:type="dxa"/>
            <w:vAlign w:val="bottom"/>
            <w:tcBorders>
              <w:bottom w:val="single" w:sz="8" w:color="CCEEFF"/>
            </w:tcBorders>
          </w:tcPr>
          <w:p>
            <w:pPr>
              <w:spacing w:after="0"/>
              <w:rPr>
                <w:sz w:val="23"/>
                <w:szCs w:val="23"/>
                <w:color w:val="auto"/>
              </w:rPr>
            </w:pPr>
          </w:p>
        </w:tc>
        <w:tc>
          <w:tcPr>
            <w:tcW w:w="2380" w:type="dxa"/>
            <w:vAlign w:val="bottom"/>
            <w:tcBorders>
              <w:bottom w:val="single" w:sz="8" w:color="auto"/>
            </w:tcBorders>
            <w:gridSpan w:val="2"/>
          </w:tcPr>
          <w:p>
            <w:pPr>
              <w:jc w:val="right"/>
              <w:ind w:right="881"/>
              <w:spacing w:after="0"/>
              <w:rPr>
                <w:sz w:val="20"/>
                <w:szCs w:val="20"/>
                <w:color w:val="auto"/>
              </w:rPr>
            </w:pPr>
            <w:r>
              <w:rPr>
                <w:rFonts w:ascii="Arial" w:cs="Arial" w:eastAsia="Arial" w:hAnsi="Arial"/>
                <w:sz w:val="20"/>
                <w:szCs w:val="20"/>
                <w:b w:val="1"/>
                <w:bCs w:val="1"/>
                <w:color w:val="auto"/>
              </w:rPr>
              <w:t>2023</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80" w:type="dxa"/>
            <w:vAlign w:val="bottom"/>
            <w:tcBorders>
              <w:bottom w:val="single" w:sz="8" w:color="auto"/>
            </w:tcBorders>
          </w:tcPr>
          <w:p>
            <w:pPr>
              <w:jc w:val="right"/>
              <w:ind w:right="881"/>
              <w:spacing w:after="0"/>
              <w:rPr>
                <w:sz w:val="20"/>
                <w:szCs w:val="20"/>
                <w:color w:val="auto"/>
              </w:rPr>
            </w:pPr>
            <w:r>
              <w:rPr>
                <w:rFonts w:ascii="Arial" w:cs="Arial" w:eastAsia="Arial" w:hAnsi="Arial"/>
                <w:sz w:val="20"/>
                <w:szCs w:val="20"/>
                <w:b w:val="1"/>
                <w:bCs w:val="1"/>
                <w:color w:val="auto"/>
              </w:rPr>
              <w:t>2022</w:t>
            </w:r>
          </w:p>
        </w:tc>
        <w:tc>
          <w:tcPr>
            <w:tcW w:w="0" w:type="dxa"/>
            <w:vAlign w:val="bottom"/>
          </w:tcPr>
          <w:p>
            <w:pPr>
              <w:spacing w:after="0"/>
              <w:rPr>
                <w:sz w:val="1"/>
                <w:szCs w:val="1"/>
                <w:color w:val="auto"/>
              </w:rPr>
            </w:pPr>
          </w:p>
        </w:tc>
      </w:tr>
      <w:tr>
        <w:trPr>
          <w:trHeight w:val="263"/>
        </w:trPr>
        <w:tc>
          <w:tcPr>
            <w:tcW w:w="6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Volatility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90 %</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66 %</w:t>
            </w:r>
          </w:p>
        </w:tc>
        <w:tc>
          <w:tcPr>
            <w:tcW w:w="0" w:type="dxa"/>
            <w:vAlign w:val="bottom"/>
          </w:tcPr>
          <w:p>
            <w:pPr>
              <w:spacing w:after="0"/>
              <w:rPr>
                <w:sz w:val="1"/>
                <w:szCs w:val="1"/>
                <w:color w:val="auto"/>
              </w:rPr>
            </w:pPr>
          </w:p>
        </w:tc>
      </w:tr>
      <w:tr>
        <w:trPr>
          <w:trHeight w:val="260"/>
        </w:trPr>
        <w:tc>
          <w:tcPr>
            <w:tcW w:w="6360" w:type="dxa"/>
            <w:vAlign w:val="bottom"/>
          </w:tcPr>
          <w:p>
            <w:pPr>
              <w:ind w:left="20"/>
              <w:spacing w:after="0"/>
              <w:rPr>
                <w:sz w:val="20"/>
                <w:szCs w:val="20"/>
                <w:color w:val="auto"/>
              </w:rPr>
            </w:pPr>
            <w:r>
              <w:rPr>
                <w:rFonts w:ascii="Arial" w:cs="Arial" w:eastAsia="Arial" w:hAnsi="Arial"/>
                <w:sz w:val="20"/>
                <w:szCs w:val="20"/>
                <w:color w:val="auto"/>
              </w:rPr>
              <w:t>Risk-free interest rate</w:t>
            </w:r>
          </w:p>
        </w:tc>
        <w:tc>
          <w:tcPr>
            <w:tcW w:w="2380" w:type="dxa"/>
            <w:vAlign w:val="bottom"/>
            <w:gridSpan w:val="2"/>
          </w:tcPr>
          <w:p>
            <w:pPr>
              <w:jc w:val="right"/>
              <w:spacing w:after="0"/>
              <w:rPr>
                <w:sz w:val="20"/>
                <w:szCs w:val="20"/>
                <w:color w:val="auto"/>
              </w:rPr>
            </w:pPr>
            <w:r>
              <w:rPr>
                <w:rFonts w:ascii="Arial" w:cs="Arial" w:eastAsia="Arial" w:hAnsi="Arial"/>
                <w:sz w:val="20"/>
                <w:szCs w:val="20"/>
                <w:color w:val="auto"/>
              </w:rPr>
              <w:t>3.74 %</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28.00 %</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Dividend yield</w:t>
            </w:r>
          </w:p>
        </w:tc>
        <w:tc>
          <w:tcPr>
            <w:tcW w:w="20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 %</w:t>
            </w:r>
          </w:p>
        </w:tc>
        <w:tc>
          <w:tcPr>
            <w:tcW w:w="0" w:type="dxa"/>
            <w:vAlign w:val="bottom"/>
          </w:tcPr>
          <w:p>
            <w:pPr>
              <w:spacing w:after="0"/>
              <w:rPr>
                <w:sz w:val="1"/>
                <w:szCs w:val="1"/>
                <w:color w:val="auto"/>
              </w:rPr>
            </w:pPr>
          </w:p>
        </w:tc>
      </w:tr>
      <w:tr>
        <w:trPr>
          <w:trHeight w:val="585"/>
        </w:trPr>
        <w:tc>
          <w:tcPr>
            <w:tcW w:w="8840" w:type="dxa"/>
            <w:vAlign w:val="bottom"/>
            <w:gridSpan w:val="4"/>
          </w:tcPr>
          <w:p>
            <w:pPr>
              <w:spacing w:after="0"/>
              <w:rPr>
                <w:sz w:val="20"/>
                <w:szCs w:val="20"/>
                <w:color w:val="auto"/>
              </w:rPr>
            </w:pPr>
            <w:r>
              <w:rPr>
                <w:rFonts w:ascii="Arial" w:cs="Arial" w:eastAsia="Arial" w:hAnsi="Arial"/>
                <w:sz w:val="20"/>
                <w:szCs w:val="20"/>
                <w:color w:val="auto"/>
              </w:rPr>
              <w:t>PSU activity under the 2020 Plan during the six months ended June 30, 2023, was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2"/>
            <w:vMerge w:val="restart"/>
          </w:tcPr>
          <w:p>
            <w:pPr>
              <w:jc w:val="right"/>
              <w:ind w:right="300"/>
              <w:spacing w:after="0"/>
              <w:rPr>
                <w:sz w:val="20"/>
                <w:szCs w:val="20"/>
                <w:color w:val="auto"/>
              </w:rPr>
            </w:pPr>
            <w:r>
              <w:rPr>
                <w:rFonts w:ascii="Arial" w:cs="Arial" w:eastAsia="Arial" w:hAnsi="Arial"/>
                <w:sz w:val="20"/>
                <w:szCs w:val="20"/>
                <w:b w:val="1"/>
                <w:bCs w:val="1"/>
                <w:color w:val="auto"/>
              </w:rPr>
              <w:t>Number of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tcPr>
          <w:p>
            <w:pPr>
              <w:jc w:val="right"/>
              <w:ind w:right="201"/>
              <w:spacing w:after="0" w:line="225" w:lineRule="exact"/>
              <w:rPr>
                <w:sz w:val="20"/>
                <w:szCs w:val="20"/>
                <w:color w:val="auto"/>
              </w:rPr>
            </w:pPr>
            <w:r>
              <w:rPr>
                <w:rFonts w:ascii="Arial" w:cs="Arial" w:eastAsia="Arial" w:hAnsi="Arial"/>
                <w:sz w:val="20"/>
                <w:szCs w:val="20"/>
                <w:b w:val="1"/>
                <w:bCs w:val="1"/>
                <w:color w:val="auto"/>
              </w:rPr>
              <w:t>Weighted Average</w:t>
            </w:r>
          </w:p>
        </w:tc>
        <w:tc>
          <w:tcPr>
            <w:tcW w:w="0" w:type="dxa"/>
            <w:vAlign w:val="bottom"/>
          </w:tcPr>
          <w:p>
            <w:pPr>
              <w:spacing w:after="0"/>
              <w:rPr>
                <w:sz w:val="1"/>
                <w:szCs w:val="1"/>
                <w:color w:val="auto"/>
              </w:rPr>
            </w:pPr>
          </w:p>
        </w:tc>
      </w:tr>
      <w:tr>
        <w:trPr>
          <w:trHeight w:val="281"/>
        </w:trPr>
        <w:tc>
          <w:tcPr>
            <w:tcW w:w="63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b w:val="1"/>
                <w:bCs w:val="1"/>
                <w:color w:val="auto"/>
                <w:w w:val="98"/>
              </w:rPr>
              <w:t>Grant Date Fair Value</w:t>
            </w:r>
          </w:p>
        </w:tc>
        <w:tc>
          <w:tcPr>
            <w:tcW w:w="0" w:type="dxa"/>
            <w:vAlign w:val="bottom"/>
          </w:tcPr>
          <w:p>
            <w:pPr>
              <w:spacing w:after="0"/>
              <w:rPr>
                <w:sz w:val="1"/>
                <w:szCs w:val="1"/>
                <w:color w:val="auto"/>
              </w:rPr>
            </w:pPr>
          </w:p>
        </w:tc>
      </w:tr>
      <w:tr>
        <w:trPr>
          <w:trHeight w:val="267"/>
        </w:trPr>
        <w:tc>
          <w:tcPr>
            <w:tcW w:w="6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December 31, 2022</w:t>
            </w:r>
          </w:p>
        </w:tc>
        <w:tc>
          <w:tcPr>
            <w:tcW w:w="248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464,393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11.96</w:t>
            </w:r>
          </w:p>
        </w:tc>
        <w:tc>
          <w:tcPr>
            <w:tcW w:w="0" w:type="dxa"/>
            <w:vAlign w:val="bottom"/>
          </w:tcPr>
          <w:p>
            <w:pPr>
              <w:spacing w:after="0"/>
              <w:rPr>
                <w:sz w:val="1"/>
                <w:szCs w:val="1"/>
                <w:color w:val="auto"/>
              </w:rPr>
            </w:pPr>
          </w:p>
        </w:tc>
      </w:tr>
      <w:tr>
        <w:trPr>
          <w:trHeight w:val="283"/>
        </w:trPr>
        <w:tc>
          <w:tcPr>
            <w:tcW w:w="6360" w:type="dxa"/>
            <w:vAlign w:val="bottom"/>
          </w:tcPr>
          <w:p>
            <w:pPr>
              <w:ind w:left="140"/>
              <w:spacing w:after="0"/>
              <w:rPr>
                <w:sz w:val="20"/>
                <w:szCs w:val="20"/>
                <w:color w:val="auto"/>
              </w:rPr>
            </w:pPr>
            <w:r>
              <w:rPr>
                <w:rFonts w:ascii="Arial" w:cs="Arial" w:eastAsia="Arial" w:hAnsi="Arial"/>
                <w:sz w:val="20"/>
                <w:szCs w:val="20"/>
                <w:color w:val="auto"/>
              </w:rPr>
              <w:t>Shares granted</w:t>
            </w:r>
          </w:p>
        </w:tc>
        <w:tc>
          <w:tcPr>
            <w:tcW w:w="2480" w:type="dxa"/>
            <w:vAlign w:val="bottom"/>
            <w:gridSpan w:val="3"/>
          </w:tcPr>
          <w:p>
            <w:pPr>
              <w:jc w:val="right"/>
              <w:ind w:right="80"/>
              <w:spacing w:after="0"/>
              <w:rPr>
                <w:sz w:val="20"/>
                <w:szCs w:val="20"/>
                <w:color w:val="auto"/>
              </w:rPr>
            </w:pPr>
            <w:r>
              <w:rPr>
                <w:rFonts w:ascii="Arial" w:cs="Arial" w:eastAsia="Arial" w:hAnsi="Arial"/>
                <w:sz w:val="20"/>
                <w:szCs w:val="20"/>
                <w:color w:val="auto"/>
              </w:rPr>
              <w:t>263,594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Arial" w:cs="Arial" w:eastAsia="Arial" w:hAnsi="Arial"/>
                <w:sz w:val="20"/>
                <w:szCs w:val="20"/>
                <w:color w:val="auto"/>
              </w:rPr>
              <w:t>19.22</w:t>
            </w:r>
          </w:p>
        </w:tc>
        <w:tc>
          <w:tcPr>
            <w:tcW w:w="0" w:type="dxa"/>
            <w:vAlign w:val="bottom"/>
          </w:tcPr>
          <w:p>
            <w:pPr>
              <w:spacing w:after="0"/>
              <w:rPr>
                <w:sz w:val="1"/>
                <w:szCs w:val="1"/>
                <w:color w:val="auto"/>
              </w:rPr>
            </w:pPr>
          </w:p>
        </w:tc>
      </w:tr>
      <w:tr>
        <w:trPr>
          <w:trHeight w:val="284"/>
        </w:trPr>
        <w:tc>
          <w:tcPr>
            <w:tcW w:w="63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Shares vested</w:t>
            </w:r>
          </w:p>
        </w:tc>
        <w:tc>
          <w:tcPr>
            <w:tcW w:w="200" w:type="dxa"/>
            <w:vAlign w:val="bottom"/>
            <w:shd w:val="clear" w:color="auto" w:fill="CCEEFF"/>
          </w:tcPr>
          <w:p>
            <w:pPr>
              <w:spacing w:after="0"/>
              <w:rPr>
                <w:sz w:val="24"/>
                <w:szCs w:val="24"/>
                <w:color w:val="auto"/>
              </w:rPr>
            </w:pPr>
          </w:p>
        </w:tc>
        <w:tc>
          <w:tcPr>
            <w:tcW w:w="2280" w:type="dxa"/>
            <w:vAlign w:val="bottom"/>
            <w:gridSpan w:val="2"/>
            <w:shd w:val="clear" w:color="auto" w:fill="CCEEFF"/>
          </w:tcPr>
          <w:p>
            <w:pPr>
              <w:jc w:val="right"/>
              <w:ind w:right="8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83"/>
        </w:trPr>
        <w:tc>
          <w:tcPr>
            <w:tcW w:w="636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Shares forfeited</w:t>
            </w:r>
          </w:p>
        </w:tc>
        <w:tc>
          <w:tcPr>
            <w:tcW w:w="200" w:type="dxa"/>
            <w:vAlign w:val="bottom"/>
            <w:tcBorders>
              <w:bottom w:val="single" w:sz="8" w:color="CCEEFF"/>
            </w:tcBorders>
          </w:tcPr>
          <w:p>
            <w:pPr>
              <w:spacing w:after="0"/>
              <w:rPr>
                <w:sz w:val="24"/>
                <w:szCs w:val="24"/>
                <w:color w:val="auto"/>
              </w:rPr>
            </w:pP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20"/>
                <w:szCs w:val="20"/>
                <w:color w:val="auto"/>
              </w:rPr>
              <w:t>(1,465)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20.00</w:t>
            </w:r>
          </w:p>
        </w:tc>
        <w:tc>
          <w:tcPr>
            <w:tcW w:w="0" w:type="dxa"/>
            <w:vAlign w:val="bottom"/>
          </w:tcPr>
          <w:p>
            <w:pPr>
              <w:spacing w:after="0"/>
              <w:rPr>
                <w:sz w:val="1"/>
                <w:szCs w:val="1"/>
                <w:color w:val="auto"/>
              </w:rPr>
            </w:pPr>
          </w:p>
        </w:tc>
      </w:tr>
      <w:tr>
        <w:trPr>
          <w:trHeight w:val="297"/>
        </w:trPr>
        <w:tc>
          <w:tcPr>
            <w:tcW w:w="6360" w:type="dxa"/>
            <w:vAlign w:val="bottom"/>
            <w:shd w:val="clear" w:color="auto" w:fill="CCEEFF"/>
          </w:tcPr>
          <w:p>
            <w:pPr>
              <w:ind w:left="20"/>
              <w:spacing w:after="0"/>
              <w:rPr>
                <w:sz w:val="20"/>
                <w:szCs w:val="20"/>
                <w:color w:val="auto"/>
              </w:rPr>
            </w:pPr>
            <w:r>
              <w:rPr>
                <w:rFonts w:ascii="Arial" w:cs="Arial" w:eastAsia="Arial" w:hAnsi="Arial"/>
                <w:sz w:val="20"/>
                <w:szCs w:val="20"/>
                <w:color w:val="auto"/>
              </w:rPr>
              <w:t>Outstanding non-vested, June 30, 2023</w:t>
            </w:r>
          </w:p>
        </w:tc>
        <w:tc>
          <w:tcPr>
            <w:tcW w:w="248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726,522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14.62</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For the three months ended June 30, 2023 and 2022, the Company recognized $5.2 million and $3.0 million, respectively, in equity-based compensation expense. For the six months ended June 30, 2023 and 2022, the Company recognized $8.6 million and $7.5 million, respectively, in equity-based compensation. At June 30, 2023, the Company had $28.2 million of unrecognized compensation costs related to RSUs and PSUs, which are expected to be recognized over approximately 2.2 years and 2.4 years, respectively.</w:t>
      </w:r>
    </w:p>
    <w:p>
      <w:pPr>
        <w:spacing w:after="0" w:line="193"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19"/>
          <w:szCs w:val="19"/>
          <w:b w:val="1"/>
          <w:bCs w:val="1"/>
          <w:color w:val="auto"/>
        </w:rPr>
        <w:t>Segment Reporting</w:t>
      </w:r>
    </w:p>
    <w:p>
      <w:pPr>
        <w:spacing w:after="0" w:line="26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 xml:space="preserve">ASC 280 </w:t>
      </w:r>
      <w:r>
        <w:rPr>
          <w:rFonts w:ascii="Arial" w:cs="Arial" w:eastAsia="Arial" w:hAnsi="Arial"/>
          <w:sz w:val="20"/>
          <w:szCs w:val="20"/>
          <w:i w:val="1"/>
          <w:iCs w:val="1"/>
          <w:color w:val="auto"/>
        </w:rPr>
        <w:t>Segment Reporting</w:t>
      </w:r>
      <w:r>
        <w:rPr>
          <w:rFonts w:ascii="Arial" w:cs="Arial" w:eastAsia="Arial" w:hAnsi="Arial"/>
          <w:sz w:val="20"/>
          <w:szCs w:val="20"/>
          <w:color w:val="auto"/>
        </w:rPr>
        <w:t xml:space="preserve"> establishes standards for reporting information about operating segments. Operating segments are defined as components of an enterprise about which separate financial information is available that is evaluated regularly by the chief operating decision maker in deciding how to allocate resources and in assessing performance. Historically, the Company managed its business on the basis of one operating</w:t>
      </w:r>
    </w:p>
    <w:p>
      <w:pPr>
        <w:spacing w:after="0" w:line="3" w:lineRule="exact"/>
        <w:rPr>
          <w:sz w:val="20"/>
          <w:szCs w:val="20"/>
          <w:color w:val="auto"/>
        </w:rPr>
      </w:pPr>
    </w:p>
    <w:p>
      <w:pPr>
        <w:jc w:val="both"/>
        <w:spacing w:after="0" w:line="281" w:lineRule="auto"/>
        <w:rPr>
          <w:sz w:val="20"/>
          <w:szCs w:val="20"/>
          <w:color w:val="auto"/>
        </w:rPr>
      </w:pPr>
      <w:r>
        <w:rPr>
          <w:rFonts w:ascii="Arial" w:cs="Arial" w:eastAsia="Arial" w:hAnsi="Arial"/>
          <w:sz w:val="20"/>
          <w:szCs w:val="20"/>
          <w:color w:val="auto"/>
        </w:rPr>
        <w:t>and reportable segment. Concurrent with the acquisition of STI in January 2022, the Company began operating as two segments; Array Legacy Operations and STI Operations.</w:t>
      </w:r>
    </w:p>
    <w:p>
      <w:pPr>
        <w:spacing w:after="0" w:line="19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The following table provides a reconciliation of certain financial information for the Company’s reportable segments to information presented in its condensed consolidated financial statements for the three and six months ended June 30, 2023 and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2022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0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7"/>
          </w:tcPr>
          <w:p>
            <w:pPr>
              <w:jc w:val="right"/>
              <w:ind w:right="481"/>
              <w:spacing w:after="0"/>
              <w:rPr>
                <w:sz w:val="20"/>
                <w:szCs w:val="20"/>
                <w:color w:val="auto"/>
              </w:rPr>
            </w:pPr>
            <w:r>
              <w:rPr>
                <w:rFonts w:ascii="Arial" w:cs="Arial" w:eastAsia="Arial" w:hAnsi="Arial"/>
                <w:sz w:val="20"/>
                <w:szCs w:val="20"/>
                <w:b w:val="1"/>
                <w:bCs w:val="1"/>
                <w:color w:val="auto"/>
              </w:rPr>
              <w:t>Three Months Ended June 30, 2023</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280" w:type="dxa"/>
            <w:vAlign w:val="bottom"/>
            <w:tcBorders>
              <w:bottom w:val="single" w:sz="8" w:color="auto"/>
            </w:tcBorders>
            <w:gridSpan w:val="7"/>
          </w:tcPr>
          <w:p>
            <w:pPr>
              <w:jc w:val="center"/>
              <w:ind w:right="81"/>
              <w:spacing w:after="0"/>
              <w:rPr>
                <w:sz w:val="20"/>
                <w:szCs w:val="20"/>
                <w:color w:val="auto"/>
              </w:rPr>
            </w:pPr>
            <w:r>
              <w:rPr>
                <w:rFonts w:ascii="Arial" w:cs="Arial" w:eastAsia="Arial" w:hAnsi="Arial"/>
                <w:sz w:val="20"/>
                <w:szCs w:val="20"/>
                <w:b w:val="1"/>
                <w:bCs w:val="1"/>
                <w:color w:val="auto"/>
                <w:w w:val="98"/>
              </w:rPr>
              <w:t>Three Months Ended June 30, 2022</w:t>
            </w:r>
          </w:p>
        </w:tc>
        <w:tc>
          <w:tcPr>
            <w:tcW w:w="0" w:type="dxa"/>
            <w:vAlign w:val="bottom"/>
          </w:tcPr>
          <w:p>
            <w:pPr>
              <w:spacing w:after="0"/>
              <w:rPr>
                <w:sz w:val="1"/>
                <w:szCs w:val="1"/>
                <w:color w:val="auto"/>
              </w:rPr>
            </w:pPr>
          </w:p>
        </w:tc>
      </w:tr>
      <w:tr>
        <w:trPr>
          <w:trHeight w:val="183"/>
        </w:trPr>
        <w:tc>
          <w:tcPr>
            <w:tcW w:w="208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20"/>
                <w:szCs w:val="20"/>
                <w:b w:val="1"/>
                <w:bCs w:val="1"/>
                <w:color w:val="auto"/>
              </w:rPr>
              <w:t>Array Legacy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right"/>
              <w:ind w:right="461"/>
              <w:spacing w:after="0" w:line="183" w:lineRule="exact"/>
              <w:rPr>
                <w:sz w:val="20"/>
                <w:szCs w:val="20"/>
                <w:color w:val="auto"/>
              </w:rPr>
            </w:pPr>
            <w:r>
              <w:rPr>
                <w:rFonts w:ascii="Arial" w:cs="Arial" w:eastAsia="Arial" w:hAnsi="Arial"/>
                <w:sz w:val="20"/>
                <w:szCs w:val="20"/>
                <w:b w:val="1"/>
                <w:bCs w:val="1"/>
                <w:color w:val="auto"/>
              </w:rPr>
              <w:t>STI</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ind w:right="361"/>
              <w:spacing w:after="0"/>
              <w:rPr>
                <w:sz w:val="20"/>
                <w:szCs w:val="20"/>
                <w:color w:val="auto"/>
              </w:rPr>
            </w:pPr>
            <w:r>
              <w:rPr>
                <w:rFonts w:ascii="Arial" w:cs="Arial" w:eastAsia="Arial" w:hAnsi="Arial"/>
                <w:sz w:val="20"/>
                <w:szCs w:val="20"/>
                <w:b w:val="1"/>
                <w:bCs w:val="1"/>
                <w:color w:val="auto"/>
              </w:rPr>
              <w:t>Total</w:t>
            </w:r>
          </w:p>
        </w:tc>
        <w:tc>
          <w:tcPr>
            <w:tcW w:w="100" w:type="dxa"/>
            <w:vAlign w:val="bottom"/>
          </w:tcPr>
          <w:p>
            <w:pPr>
              <w:spacing w:after="0"/>
              <w:rPr>
                <w:sz w:val="15"/>
                <w:szCs w:val="15"/>
                <w:color w:val="auto"/>
              </w:rPr>
            </w:pPr>
          </w:p>
        </w:tc>
        <w:tc>
          <w:tcPr>
            <w:tcW w:w="1420" w:type="dxa"/>
            <w:vAlign w:val="bottom"/>
            <w:gridSpan w:val="2"/>
          </w:tcPr>
          <w:p>
            <w:pPr>
              <w:jc w:val="right"/>
              <w:spacing w:after="0" w:line="183" w:lineRule="exact"/>
              <w:rPr>
                <w:sz w:val="20"/>
                <w:szCs w:val="20"/>
                <w:color w:val="auto"/>
              </w:rPr>
            </w:pPr>
            <w:r>
              <w:rPr>
                <w:rFonts w:ascii="Arial" w:cs="Arial" w:eastAsia="Arial" w:hAnsi="Arial"/>
                <w:sz w:val="20"/>
                <w:szCs w:val="20"/>
                <w:b w:val="1"/>
                <w:bCs w:val="1"/>
                <w:color w:val="auto"/>
              </w:rPr>
              <w:t>Array Legacy</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jc w:val="center"/>
              <w:ind w:right="61"/>
              <w:spacing w:after="0" w:line="183" w:lineRule="exact"/>
              <w:rPr>
                <w:sz w:val="20"/>
                <w:szCs w:val="20"/>
                <w:color w:val="auto"/>
              </w:rPr>
            </w:pPr>
            <w:r>
              <w:rPr>
                <w:rFonts w:ascii="Arial" w:cs="Arial" w:eastAsia="Arial" w:hAnsi="Arial"/>
                <w:sz w:val="20"/>
                <w:szCs w:val="20"/>
                <w:b w:val="1"/>
                <w:bCs w:val="1"/>
                <w:color w:val="auto"/>
                <w:w w:val="96"/>
              </w:rPr>
              <w:t>STI</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6"/>
        </w:trPr>
        <w:tc>
          <w:tcPr>
            <w:tcW w:w="20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Operations</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w w:val="98"/>
              </w:rPr>
              <w:t>Operations</w:t>
            </w: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81"/>
              <w:spacing w:after="0"/>
              <w:rPr>
                <w:sz w:val="20"/>
                <w:szCs w:val="20"/>
                <w:color w:val="auto"/>
              </w:rPr>
            </w:pPr>
            <w:r>
              <w:rPr>
                <w:rFonts w:ascii="Arial" w:cs="Arial" w:eastAsia="Arial" w:hAnsi="Arial"/>
                <w:sz w:val="20"/>
                <w:szCs w:val="20"/>
                <w:b w:val="1"/>
                <w:bCs w:val="1"/>
                <w:color w:val="auto"/>
              </w:rPr>
              <w:t>Operations</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center"/>
              <w:ind w:right="61"/>
              <w:spacing w:after="0"/>
              <w:rPr>
                <w:sz w:val="20"/>
                <w:szCs w:val="20"/>
                <w:color w:val="auto"/>
              </w:rPr>
            </w:pPr>
            <w:r>
              <w:rPr>
                <w:rFonts w:ascii="Arial" w:cs="Arial" w:eastAsia="Arial" w:hAnsi="Arial"/>
                <w:sz w:val="20"/>
                <w:szCs w:val="20"/>
                <w:b w:val="1"/>
                <w:bCs w:val="1"/>
                <w:color w:val="auto"/>
              </w:rPr>
              <w:t>Operations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8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345,261</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162,464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507,725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347,177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72,688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0" w:type="dxa"/>
            <w:vAlign w:val="bottom"/>
          </w:tcPr>
          <w:p>
            <w:pPr>
              <w:spacing w:after="0"/>
              <w:rPr>
                <w:sz w:val="1"/>
                <w:szCs w:val="1"/>
                <w:color w:val="auto"/>
              </w:rPr>
            </w:pPr>
          </w:p>
        </w:tc>
      </w:tr>
      <w:tr>
        <w:trPr>
          <w:trHeight w:val="251"/>
        </w:trPr>
        <w:tc>
          <w:tcPr>
            <w:tcW w:w="208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60" w:type="dxa"/>
            <w:vAlign w:val="bottom"/>
          </w:tcPr>
          <w:p>
            <w:pPr>
              <w:jc w:val="right"/>
              <w:spacing w:after="0"/>
              <w:rPr>
                <w:sz w:val="20"/>
                <w:szCs w:val="20"/>
                <w:color w:val="auto"/>
              </w:rPr>
            </w:pPr>
            <w:r>
              <w:rPr>
                <w:rFonts w:ascii="Arial" w:cs="Arial" w:eastAsia="Arial" w:hAnsi="Arial"/>
                <w:sz w:val="20"/>
                <w:szCs w:val="20"/>
                <w:color w:val="auto"/>
                <w:w w:val="89"/>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106,590</w:t>
            </w:r>
          </w:p>
        </w:tc>
        <w:tc>
          <w:tcPr>
            <w:tcW w:w="3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43,452</w:t>
            </w:r>
          </w:p>
        </w:tc>
        <w:tc>
          <w:tcPr>
            <w:tcW w:w="380" w:type="dxa"/>
            <w:vAlign w:val="bottom"/>
            <w:gridSpan w:val="2"/>
          </w:tcPr>
          <w:p>
            <w:pPr>
              <w:jc w:val="right"/>
              <w:ind w:right="6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150,042</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33,840</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260" w:type="dxa"/>
            <w:vAlign w:val="bottom"/>
          </w:tcPr>
          <w:p>
            <w:pPr>
              <w:jc w:val="right"/>
              <w:spacing w:after="0"/>
              <w:rPr>
                <w:sz w:val="20"/>
                <w:szCs w:val="20"/>
                <w:color w:val="auto"/>
              </w:rPr>
            </w:pPr>
            <w:r>
              <w:rPr>
                <w:rFonts w:ascii="Arial" w:cs="Arial" w:eastAsia="Arial" w:hAnsi="Arial"/>
                <w:sz w:val="20"/>
                <w:szCs w:val="20"/>
                <w:color w:val="auto"/>
              </w:rPr>
              <w:t>6,106</w:t>
            </w:r>
          </w:p>
        </w:tc>
        <w:tc>
          <w:tcPr>
            <w:tcW w:w="40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00" w:type="dxa"/>
            <w:vAlign w:val="bottom"/>
          </w:tcPr>
          <w:p>
            <w:pPr>
              <w:jc w:val="right"/>
              <w:spacing w:after="0"/>
              <w:rPr>
                <w:sz w:val="20"/>
                <w:szCs w:val="20"/>
                <w:color w:val="auto"/>
              </w:rPr>
            </w:pPr>
            <w:r>
              <w:rPr>
                <w:rFonts w:ascii="Arial" w:cs="Arial" w:eastAsia="Arial" w:hAnsi="Arial"/>
                <w:sz w:val="20"/>
                <w:szCs w:val="20"/>
                <w:color w:val="auto"/>
              </w:rPr>
              <w:t>39,946</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2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7"/>
          </w:tcPr>
          <w:p>
            <w:pPr>
              <w:jc w:val="right"/>
              <w:ind w:right="621"/>
              <w:spacing w:after="0"/>
              <w:rPr>
                <w:sz w:val="20"/>
                <w:szCs w:val="20"/>
                <w:color w:val="auto"/>
              </w:rPr>
            </w:pPr>
            <w:r>
              <w:rPr>
                <w:rFonts w:ascii="Arial" w:cs="Arial" w:eastAsia="Arial" w:hAnsi="Arial"/>
                <w:sz w:val="20"/>
                <w:szCs w:val="20"/>
                <w:b w:val="1"/>
                <w:bCs w:val="1"/>
                <w:color w:val="auto"/>
              </w:rPr>
              <w:t>Six Months Ended June 30, 2023</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360" w:type="dxa"/>
            <w:vAlign w:val="bottom"/>
            <w:tcBorders>
              <w:bottom w:val="single" w:sz="8" w:color="auto"/>
            </w:tcBorders>
            <w:gridSpan w:val="7"/>
          </w:tcPr>
          <w:p>
            <w:pPr>
              <w:jc w:val="right"/>
              <w:ind w:right="641"/>
              <w:spacing w:after="0"/>
              <w:rPr>
                <w:sz w:val="20"/>
                <w:szCs w:val="20"/>
                <w:color w:val="auto"/>
              </w:rPr>
            </w:pPr>
            <w:r>
              <w:rPr>
                <w:rFonts w:ascii="Arial" w:cs="Arial" w:eastAsia="Arial" w:hAnsi="Arial"/>
                <w:sz w:val="20"/>
                <w:szCs w:val="20"/>
                <w:b w:val="1"/>
                <w:bCs w:val="1"/>
                <w:color w:val="auto"/>
              </w:rPr>
              <w:t>Six Months Ended June 30, 2022</w:t>
            </w:r>
          </w:p>
        </w:tc>
        <w:tc>
          <w:tcPr>
            <w:tcW w:w="0" w:type="dxa"/>
            <w:vAlign w:val="bottom"/>
          </w:tcPr>
          <w:p>
            <w:pPr>
              <w:spacing w:after="0"/>
              <w:rPr>
                <w:sz w:val="1"/>
                <w:szCs w:val="1"/>
                <w:color w:val="auto"/>
              </w:rPr>
            </w:pPr>
          </w:p>
        </w:tc>
      </w:tr>
      <w:tr>
        <w:trPr>
          <w:trHeight w:val="183"/>
        </w:trPr>
        <w:tc>
          <w:tcPr>
            <w:tcW w:w="2100" w:type="dxa"/>
            <w:vAlign w:val="bottom"/>
          </w:tcPr>
          <w:p>
            <w:pPr>
              <w:spacing w:after="0"/>
              <w:rPr>
                <w:sz w:val="15"/>
                <w:szCs w:val="15"/>
                <w:color w:val="auto"/>
              </w:rPr>
            </w:pPr>
          </w:p>
        </w:tc>
        <w:tc>
          <w:tcPr>
            <w:tcW w:w="1460" w:type="dxa"/>
            <w:vAlign w:val="bottom"/>
            <w:gridSpan w:val="2"/>
          </w:tcPr>
          <w:p>
            <w:pPr>
              <w:jc w:val="right"/>
              <w:ind w:right="1"/>
              <w:spacing w:after="0" w:line="183" w:lineRule="exact"/>
              <w:rPr>
                <w:sz w:val="20"/>
                <w:szCs w:val="20"/>
                <w:color w:val="auto"/>
              </w:rPr>
            </w:pPr>
            <w:r>
              <w:rPr>
                <w:rFonts w:ascii="Arial" w:cs="Arial" w:eastAsia="Arial" w:hAnsi="Arial"/>
                <w:sz w:val="20"/>
                <w:szCs w:val="20"/>
                <w:b w:val="1"/>
                <w:bCs w:val="1"/>
                <w:color w:val="auto"/>
              </w:rPr>
              <w:t>Array Legacy</w:t>
            </w:r>
          </w:p>
        </w:tc>
        <w:tc>
          <w:tcPr>
            <w:tcW w:w="10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w w:val="99"/>
              </w:rPr>
              <w:t>STI Operations</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Total</w:t>
            </w:r>
          </w:p>
        </w:tc>
        <w:tc>
          <w:tcPr>
            <w:tcW w:w="100" w:type="dxa"/>
            <w:vAlign w:val="bottom"/>
          </w:tcPr>
          <w:p>
            <w:pPr>
              <w:spacing w:after="0"/>
              <w:rPr>
                <w:sz w:val="15"/>
                <w:szCs w:val="15"/>
                <w:color w:val="auto"/>
              </w:rPr>
            </w:pPr>
          </w:p>
        </w:tc>
        <w:tc>
          <w:tcPr>
            <w:tcW w:w="1460" w:type="dxa"/>
            <w:vAlign w:val="bottom"/>
            <w:gridSpan w:val="2"/>
          </w:tcPr>
          <w:p>
            <w:pPr>
              <w:jc w:val="right"/>
              <w:ind w:right="1"/>
              <w:spacing w:after="0" w:line="183" w:lineRule="exact"/>
              <w:rPr>
                <w:sz w:val="20"/>
                <w:szCs w:val="20"/>
                <w:color w:val="auto"/>
              </w:rPr>
            </w:pPr>
            <w:r>
              <w:rPr>
                <w:rFonts w:ascii="Arial" w:cs="Arial" w:eastAsia="Arial" w:hAnsi="Arial"/>
                <w:sz w:val="20"/>
                <w:szCs w:val="20"/>
                <w:b w:val="1"/>
                <w:bCs w:val="1"/>
                <w:color w:val="auto"/>
              </w:rPr>
              <w:t>Array Legacy</w:t>
            </w:r>
          </w:p>
        </w:tc>
        <w:tc>
          <w:tcPr>
            <w:tcW w:w="80" w:type="dxa"/>
            <w:vAlign w:val="bottom"/>
          </w:tcPr>
          <w:p>
            <w:pPr>
              <w:spacing w:after="0"/>
              <w:rPr>
                <w:sz w:val="15"/>
                <w:szCs w:val="15"/>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20"/>
                <w:szCs w:val="20"/>
                <w:b w:val="1"/>
                <w:bCs w:val="1"/>
                <w:color w:val="auto"/>
                <w:w w:val="99"/>
              </w:rPr>
              <w:t>STI Operations</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vMerge w:val="restart"/>
          </w:tcPr>
          <w:p>
            <w:pPr>
              <w:jc w:val="right"/>
              <w:ind w:right="38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57"/>
        </w:trPr>
        <w:tc>
          <w:tcPr>
            <w:tcW w:w="2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01"/>
              <w:spacing w:after="0"/>
              <w:rPr>
                <w:sz w:val="20"/>
                <w:szCs w:val="20"/>
                <w:color w:val="auto"/>
              </w:rPr>
            </w:pPr>
            <w:r>
              <w:rPr>
                <w:rFonts w:ascii="Arial" w:cs="Arial" w:eastAsia="Arial" w:hAnsi="Arial"/>
                <w:sz w:val="20"/>
                <w:szCs w:val="20"/>
                <w:b w:val="1"/>
                <w:bCs w:val="1"/>
                <w:color w:val="auto"/>
              </w:rPr>
              <w:t>Operations</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21"/>
              <w:spacing w:after="0"/>
              <w:rPr>
                <w:sz w:val="20"/>
                <w:szCs w:val="20"/>
                <w:color w:val="auto"/>
              </w:rPr>
            </w:pPr>
            <w:r>
              <w:rPr>
                <w:rFonts w:ascii="Arial" w:cs="Arial" w:eastAsia="Arial" w:hAnsi="Arial"/>
                <w:sz w:val="20"/>
                <w:szCs w:val="20"/>
                <w:b w:val="1"/>
                <w:bCs w:val="1"/>
                <w:color w:val="auto"/>
              </w:rPr>
              <w:t>Operations</w:t>
            </w: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gridSpan w:val="2"/>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650,465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108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234,033</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884,498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30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597,829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122,622</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720,451</w:t>
            </w:r>
          </w:p>
        </w:tc>
        <w:tc>
          <w:tcPr>
            <w:tcW w:w="0" w:type="dxa"/>
            <w:vAlign w:val="bottom"/>
          </w:tcPr>
          <w:p>
            <w:pPr>
              <w:spacing w:after="0"/>
              <w:rPr>
                <w:sz w:val="1"/>
                <w:szCs w:val="1"/>
                <w:color w:val="auto"/>
              </w:rPr>
            </w:pPr>
          </w:p>
        </w:tc>
      </w:tr>
      <w:tr>
        <w:trPr>
          <w:trHeight w:val="251"/>
        </w:trPr>
        <w:tc>
          <w:tcPr>
            <w:tcW w:w="2100" w:type="dxa"/>
            <w:vAlign w:val="bottom"/>
          </w:tcPr>
          <w:p>
            <w:pPr>
              <w:ind w:left="20"/>
              <w:spacing w:after="0"/>
              <w:rPr>
                <w:sz w:val="20"/>
                <w:szCs w:val="20"/>
                <w:color w:val="auto"/>
              </w:rPr>
            </w:pPr>
            <w:r>
              <w:rPr>
                <w:rFonts w:ascii="Arial" w:cs="Arial" w:eastAsia="Arial" w:hAnsi="Arial"/>
                <w:sz w:val="20"/>
                <w:szCs w:val="20"/>
                <w:color w:val="auto"/>
              </w:rPr>
              <w:t>Gross Profit</w:t>
            </w:r>
          </w:p>
        </w:tc>
        <w:tc>
          <w:tcPr>
            <w:tcW w:w="160" w:type="dxa"/>
            <w:vAlign w:val="bottom"/>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spacing w:after="0"/>
              <w:rPr>
                <w:sz w:val="20"/>
                <w:szCs w:val="20"/>
                <w:color w:val="auto"/>
              </w:rPr>
            </w:pPr>
            <w:r>
              <w:rPr>
                <w:rFonts w:ascii="Arial" w:cs="Arial" w:eastAsia="Arial" w:hAnsi="Arial"/>
                <w:sz w:val="20"/>
                <w:szCs w:val="20"/>
                <w:color w:val="auto"/>
              </w:rPr>
              <w:t>190,064</w:t>
            </w:r>
          </w:p>
        </w:tc>
        <w:tc>
          <w:tcPr>
            <w:tcW w:w="4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80" w:type="dxa"/>
            <w:vAlign w:val="bottom"/>
          </w:tcPr>
          <w:p>
            <w:pPr>
              <w:jc w:val="right"/>
              <w:ind w:right="1"/>
              <w:spacing w:after="0"/>
              <w:rPr>
                <w:sz w:val="20"/>
                <w:szCs w:val="20"/>
                <w:color w:val="auto"/>
              </w:rPr>
            </w:pPr>
            <w:r>
              <w:rPr>
                <w:rFonts w:ascii="Arial" w:cs="Arial" w:eastAsia="Arial" w:hAnsi="Arial"/>
                <w:sz w:val="20"/>
                <w:szCs w:val="20"/>
                <w:color w:val="auto"/>
              </w:rPr>
              <w:t>61,157</w:t>
            </w:r>
          </w:p>
        </w:tc>
        <w:tc>
          <w:tcPr>
            <w:tcW w:w="38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251,221</w:t>
            </w:r>
          </w:p>
        </w:tc>
        <w:tc>
          <w:tcPr>
            <w:tcW w:w="26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300" w:type="dxa"/>
            <w:vAlign w:val="bottom"/>
          </w:tcPr>
          <w:p>
            <w:pPr>
              <w:jc w:val="right"/>
              <w:ind w:right="1"/>
              <w:spacing w:after="0"/>
              <w:rPr>
                <w:sz w:val="20"/>
                <w:szCs w:val="20"/>
                <w:color w:val="auto"/>
              </w:rPr>
            </w:pPr>
            <w:r>
              <w:rPr>
                <w:rFonts w:ascii="Arial" w:cs="Arial" w:eastAsia="Arial" w:hAnsi="Arial"/>
                <w:sz w:val="20"/>
                <w:szCs w:val="20"/>
                <w:color w:val="auto"/>
              </w:rPr>
              <w:t>55,108</w:t>
            </w:r>
          </w:p>
        </w:tc>
        <w:tc>
          <w:tcPr>
            <w:tcW w:w="480" w:type="dxa"/>
            <w:vAlign w:val="bottom"/>
            <w:gridSpan w:val="2"/>
          </w:tcPr>
          <w:p>
            <w:pPr>
              <w:ind w:left="10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11,425</w:t>
            </w:r>
          </w:p>
        </w:tc>
        <w:tc>
          <w:tcPr>
            <w:tcW w:w="400" w:type="dxa"/>
            <w:vAlign w:val="bottom"/>
            <w:gridSpan w:val="2"/>
          </w:tcPr>
          <w:p>
            <w:pPr>
              <w:jc w:val="right"/>
              <w:ind w:right="81"/>
              <w:spacing w:after="0"/>
              <w:rPr>
                <w:sz w:val="20"/>
                <w:szCs w:val="20"/>
                <w:color w:val="auto"/>
              </w:rPr>
            </w:pPr>
            <w:r>
              <w:rPr>
                <w:rFonts w:ascii="Arial" w:cs="Arial" w:eastAsia="Arial" w:hAnsi="Arial"/>
                <w:sz w:val="20"/>
                <w:szCs w:val="20"/>
                <w:color w:val="auto"/>
              </w:rPr>
              <w:t>$</w:t>
            </w:r>
          </w:p>
        </w:tc>
        <w:tc>
          <w:tcPr>
            <w:tcW w:w="1120" w:type="dxa"/>
            <w:vAlign w:val="bottom"/>
          </w:tcPr>
          <w:p>
            <w:pPr>
              <w:jc w:val="right"/>
              <w:spacing w:after="0"/>
              <w:rPr>
                <w:sz w:val="20"/>
                <w:szCs w:val="20"/>
                <w:color w:val="auto"/>
              </w:rPr>
            </w:pPr>
            <w:r>
              <w:rPr>
                <w:rFonts w:ascii="Arial" w:cs="Arial" w:eastAsia="Arial" w:hAnsi="Arial"/>
                <w:sz w:val="20"/>
                <w:szCs w:val="20"/>
                <w:color w:val="auto"/>
              </w:rPr>
              <w:t>66,533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32" w:name="page33"/>
    <w:bookmarkEnd w:id="32"/>
    <w:p>
      <w:pPr>
        <w:ind w:right="2100"/>
        <w:spacing w:after="0" w:line="461" w:lineRule="auto"/>
        <w:rPr>
          <w:sz w:val="20"/>
          <w:szCs w:val="20"/>
          <w:color w:val="auto"/>
        </w:rPr>
      </w:pPr>
      <w:r>
        <w:rPr>
          <w:rFonts w:ascii="Arial" w:cs="Arial" w:eastAsia="Arial" w:hAnsi="Arial"/>
          <w:sz w:val="19"/>
          <w:szCs w:val="19"/>
          <w:b w:val="1"/>
          <w:bCs w:val="1"/>
          <w:color w:val="auto"/>
        </w:rPr>
        <w:t>Item 2. Management’s Discussion and Analysis of Financial Condition and Results of Operations. Management’s Discussion and Analysis of Financial Condition and Results of Operations</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i w:val="1"/>
          <w:iCs w:val="1"/>
          <w:color w:val="auto"/>
        </w:rPr>
        <w:t>The following discussion and analysis should be read in conjunction with our unaudited condensed consolidated financial statements and related notes and other financial information included in Part I, “Item 1. Financial Statements” of this Quarterly Report on Form 10-Q (this “Quarterly Report”), as well as our audited financial statements and notes thereto as of and for the year ended December 31, 2022 and the related Management’s Discussion and Analysis of Financial Condition and Results of Operations included in our Annual Report on Form 10-K for the year ended December 31, 2022 (“2022 Annual Report”). Each of the terms the “Company,” “Array,” “we,” or “us” as used herein refers collectively to Array Technologies, Inc. and its wholly owned subsidiaries, unless otherwise stated.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the sections captioned “Forward-Looking Statements” and “Risk Factors” in this Quarterly Report and our 2022 Annual Report.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This report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developments, financing and investment plans, dividend policy, competitive position, industry and regulatory environment,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or similar expressions and the negatives of those terms.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report. You should read this report with the understanding that our actual future results may be materially different from what we expect.</w:t>
      </w:r>
    </w:p>
    <w:p>
      <w:pPr>
        <w:spacing w:after="0" w:line="220" w:lineRule="exact"/>
        <w:rPr>
          <w:sz w:val="20"/>
          <w:szCs w:val="20"/>
          <w:color w:val="auto"/>
        </w:rPr>
      </w:pPr>
    </w:p>
    <w:p>
      <w:pPr>
        <w:jc w:val="both"/>
        <w:spacing w:after="0" w:line="242" w:lineRule="auto"/>
        <w:rPr>
          <w:sz w:val="20"/>
          <w:szCs w:val="20"/>
          <w:color w:val="auto"/>
        </w:rPr>
      </w:pPr>
      <w:r>
        <w:rPr>
          <w:rFonts w:ascii="Arial" w:cs="Arial" w:eastAsia="Arial" w:hAnsi="Arial"/>
          <w:sz w:val="20"/>
          <w:szCs w:val="20"/>
          <w:color w:val="auto"/>
        </w:rPr>
        <w:t>Important factors that could cause actual results to differ materially from our expectations include factors in “Summary Risk Factors” and the “Risk Factors” sections of this Quarterly Report.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Risk Factors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business is subject to a number of risks that if realized could materially and adversely affect our business, financial conditions, results of operations, cash flows and access to liquidity. These risks are discussed more fully in the “Risk Factors” section of this Quarterly Report and in our Annual Report on Form 10-K for the fiscal year ended December 31, 2022. Our principal risks include the following:</w:t>
      </w:r>
    </w:p>
    <w:p>
      <w:pPr>
        <w:spacing w:after="0" w:line="334" w:lineRule="exact"/>
        <w:rPr>
          <w:sz w:val="20"/>
          <w:szCs w:val="20"/>
          <w:color w:val="auto"/>
        </w:rPr>
      </w:pPr>
    </w:p>
    <w:p>
      <w:pPr>
        <w:ind w:left="660" w:hanging="328"/>
        <w:spacing w:after="0" w:line="275"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if demand for solar energy projects does not continue to grow or grows at a slower rate than we anticipate, our business will suffer;</w:t>
      </w:r>
    </w:p>
    <w:p>
      <w:pPr>
        <w:spacing w:after="0" w:line="66" w:lineRule="exact"/>
        <w:rPr>
          <w:rFonts w:ascii="Arial" w:cs="Arial" w:eastAsia="Arial" w:hAnsi="Arial"/>
          <w:sz w:val="20"/>
          <w:szCs w:val="20"/>
          <w:color w:val="auto"/>
        </w:rPr>
      </w:pPr>
    </w:p>
    <w:p>
      <w:pPr>
        <w:ind w:left="660" w:hanging="328"/>
        <w:spacing w:after="0" w:line="289" w:lineRule="auto"/>
        <w:tabs>
          <w:tab w:leader="none" w:pos="6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viability and demand for solar energy are impacted by many factors outside of our control, which makes it difficult to predict our future prospects;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33" w:name="page34"/>
    <w:bookmarkEnd w:id="33"/>
    <w:p>
      <w:pPr>
        <w:ind w:left="328" w:hanging="328"/>
        <w:spacing w:after="0"/>
        <w:tabs>
          <w:tab w:leader="none" w:pos="328" w:val="left"/>
        </w:tabs>
        <w:numPr>
          <w:ilvl w:val="0"/>
          <w:numId w:val="19"/>
        </w:numPr>
        <w:rPr>
          <w:rFonts w:ascii="Arial" w:cs="Arial" w:eastAsia="Arial" w:hAnsi="Arial"/>
          <w:sz w:val="22"/>
          <w:szCs w:val="22"/>
          <w:color w:val="231F20"/>
        </w:rPr>
      </w:pPr>
      <w:r>
        <w:rPr>
          <w:rFonts w:ascii="Arial" w:cs="Arial" w:eastAsia="Arial" w:hAnsi="Arial"/>
          <w:sz w:val="20"/>
          <w:szCs w:val="20"/>
          <w:color w:val="auto"/>
        </w:rPr>
        <w:t>competitive pressures within our industry may harm our business, revenues, growth rates and market share;</w:t>
      </w:r>
    </w:p>
    <w:p>
      <w:pPr>
        <w:spacing w:after="0" w:line="113" w:lineRule="exact"/>
        <w:rPr>
          <w:rFonts w:ascii="Arial" w:cs="Arial" w:eastAsia="Arial" w:hAnsi="Arial"/>
          <w:sz w:val="22"/>
          <w:szCs w:val="22"/>
          <w:color w:val="231F20"/>
        </w:rPr>
      </w:pPr>
    </w:p>
    <w:p>
      <w:pPr>
        <w:ind w:left="328" w:hanging="328"/>
        <w:spacing w:after="0" w:line="275"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loss of one or more of our significant customers, their inability to perform under their contracts, or their default in payment, could harm our business and negatively impact revenue, results of operations and cash flow;</w:t>
      </w:r>
    </w:p>
    <w:p>
      <w:pPr>
        <w:spacing w:after="0" w:line="80" w:lineRule="exact"/>
        <w:rPr>
          <w:rFonts w:ascii="Arial" w:cs="Arial" w:eastAsia="Arial" w:hAnsi="Arial"/>
          <w:sz w:val="20"/>
          <w:szCs w:val="20"/>
          <w:color w:val="auto"/>
        </w:rPr>
      </w:pPr>
    </w:p>
    <w:p>
      <w:pPr>
        <w:ind w:left="328" w:hanging="328"/>
        <w:spacing w:after="0" w:line="275"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failure to retain key personnel or a failure to attract additional qualified personnel may affect our ability to achieve our anticipated level of growth and adversely affect our business;</w:t>
      </w:r>
    </w:p>
    <w:p>
      <w:pPr>
        <w:spacing w:after="0" w:line="66" w:lineRule="exact"/>
        <w:rPr>
          <w:rFonts w:ascii="Arial" w:cs="Arial" w:eastAsia="Arial" w:hAnsi="Arial"/>
          <w:sz w:val="20"/>
          <w:szCs w:val="20"/>
          <w:color w:val="auto"/>
        </w:rPr>
      </w:pPr>
    </w:p>
    <w:p>
      <w:pPr>
        <w:ind w:left="328" w:hanging="328"/>
        <w:spacing w:after="0" w:line="289"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drop in the price of electricity derived from the utility grid or from alternative energy sources may harm our business, financial condition, results of operations and prospects;</w:t>
      </w:r>
    </w:p>
    <w:p>
      <w:pPr>
        <w:spacing w:after="0" w:line="53" w:lineRule="exact"/>
        <w:rPr>
          <w:rFonts w:ascii="Arial" w:cs="Arial" w:eastAsia="Arial" w:hAnsi="Arial"/>
          <w:sz w:val="20"/>
          <w:szCs w:val="20"/>
          <w:color w:val="auto"/>
        </w:rPr>
      </w:pPr>
    </w:p>
    <w:p>
      <w:pPr>
        <w:ind w:left="328" w:hanging="328"/>
        <w:spacing w:after="0" w:line="275"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we have and may continue to face challenges in our ability to consolidate the financial reporting of our acquired foreign subsidiaries;</w:t>
      </w:r>
    </w:p>
    <w:p>
      <w:pPr>
        <w:spacing w:after="0" w:line="80" w:lineRule="exact"/>
        <w:rPr>
          <w:rFonts w:ascii="Arial" w:cs="Arial" w:eastAsia="Arial" w:hAnsi="Arial"/>
          <w:sz w:val="20"/>
          <w:szCs w:val="20"/>
          <w:color w:val="auto"/>
        </w:rPr>
      </w:pPr>
    </w:p>
    <w:p>
      <w:pPr>
        <w:ind w:left="328" w:hanging="328"/>
        <w:spacing w:after="0" w:line="275"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defects or performance problems in our products could result in loss of customers, reputational damage and decreased revenue, and we may face warranty, indemnity and product liability claims arising from defective products;</w:t>
      </w:r>
    </w:p>
    <w:p>
      <w:pPr>
        <w:spacing w:after="0" w:line="78" w:lineRule="exact"/>
        <w:rPr>
          <w:rFonts w:ascii="Arial" w:cs="Arial" w:eastAsia="Arial" w:hAnsi="Arial"/>
          <w:sz w:val="20"/>
          <w:szCs w:val="20"/>
          <w:color w:val="auto"/>
        </w:rPr>
      </w:pPr>
    </w:p>
    <w:p>
      <w:pPr>
        <w:ind w:left="328" w:hanging="328"/>
        <w:spacing w:after="0"/>
        <w:tabs>
          <w:tab w:leader="none" w:pos="328" w:val="left"/>
        </w:tabs>
        <w:numPr>
          <w:ilvl w:val="0"/>
          <w:numId w:val="19"/>
        </w:numPr>
        <w:rPr>
          <w:rFonts w:ascii="Arial" w:cs="Arial" w:eastAsia="Arial" w:hAnsi="Arial"/>
          <w:sz w:val="22"/>
          <w:szCs w:val="22"/>
          <w:color w:val="auto"/>
        </w:rPr>
      </w:pPr>
      <w:r>
        <w:rPr>
          <w:rFonts w:ascii="Arial" w:cs="Arial" w:eastAsia="Arial" w:hAnsi="Arial"/>
          <w:sz w:val="20"/>
          <w:szCs w:val="20"/>
          <w:color w:val="auto"/>
        </w:rPr>
        <w:t>we may experience delays, disruptions or quality control problems in our product development operations;</w:t>
      </w:r>
    </w:p>
    <w:p>
      <w:pPr>
        <w:spacing w:after="0" w:line="113" w:lineRule="exact"/>
        <w:rPr>
          <w:rFonts w:ascii="Arial" w:cs="Arial" w:eastAsia="Arial" w:hAnsi="Arial"/>
          <w:sz w:val="22"/>
          <w:szCs w:val="22"/>
          <w:color w:val="auto"/>
        </w:rPr>
      </w:pPr>
    </w:p>
    <w:p>
      <w:pPr>
        <w:jc w:val="both"/>
        <w:ind w:left="328" w:hanging="328"/>
        <w:spacing w:after="0" w:line="271"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further increase in interest rates, or a reduction in the availability of tax equity or project debt capital in the global financial markets could make it difficult for customers to finance the cost of a solar energy system and could reduce the demand for our products;</w:t>
      </w:r>
    </w:p>
    <w:p>
      <w:pPr>
        <w:spacing w:after="0" w:line="71" w:lineRule="exact"/>
        <w:rPr>
          <w:rFonts w:ascii="Arial" w:cs="Arial" w:eastAsia="Arial" w:hAnsi="Arial"/>
          <w:sz w:val="20"/>
          <w:szCs w:val="20"/>
          <w:color w:val="auto"/>
        </w:rPr>
      </w:pPr>
    </w:p>
    <w:p>
      <w:pPr>
        <w:ind w:left="328" w:hanging="328"/>
        <w:spacing w:after="0" w:line="289"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changes to tax laws and regulations that are applied adversely to us or our customers could materially adversely affect our business, financial condition, results of operations and prospects;</w:t>
      </w:r>
    </w:p>
    <w:p>
      <w:pPr>
        <w:spacing w:after="0" w:line="53" w:lineRule="exact"/>
        <w:rPr>
          <w:rFonts w:ascii="Arial" w:cs="Arial" w:eastAsia="Arial" w:hAnsi="Arial"/>
          <w:sz w:val="20"/>
          <w:szCs w:val="20"/>
          <w:color w:val="auto"/>
        </w:rPr>
      </w:pPr>
    </w:p>
    <w:p>
      <w:pPr>
        <w:jc w:val="both"/>
        <w:ind w:left="328" w:hanging="328"/>
        <w:spacing w:after="0" w:line="271"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existing electric utility industry policies and regulations, and any subsequent changes, may present technical, regulatory and economic barriers to the purchase and use of solar energy systems, which may significantly reduce demand for our products or harm our ability to compete;</w:t>
      </w:r>
    </w:p>
    <w:p>
      <w:pPr>
        <w:spacing w:after="0" w:line="71" w:lineRule="exact"/>
        <w:rPr>
          <w:rFonts w:ascii="Arial" w:cs="Arial" w:eastAsia="Arial" w:hAnsi="Arial"/>
          <w:sz w:val="20"/>
          <w:szCs w:val="20"/>
          <w:color w:val="auto"/>
        </w:rPr>
      </w:pPr>
    </w:p>
    <w:p>
      <w:pPr>
        <w:ind w:left="328" w:hanging="328"/>
        <w:spacing w:after="0" w:line="275" w:lineRule="auto"/>
        <w:tabs>
          <w:tab w:leader="none" w:pos="328"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interruption of the flow of materials from international vendors could disrupt our supply chain, including as a result of the imposition of additional duties, tariffs and other charges or restrictions on imports and exports;</w:t>
      </w:r>
    </w:p>
    <w:p>
      <w:pPr>
        <w:spacing w:after="0" w:line="93" w:lineRule="exact"/>
        <w:rPr>
          <w:rFonts w:ascii="Arial" w:cs="Arial" w:eastAsia="Arial" w:hAnsi="Arial"/>
          <w:sz w:val="20"/>
          <w:szCs w:val="20"/>
          <w:color w:val="auto"/>
        </w:rPr>
      </w:pPr>
    </w:p>
    <w:p>
      <w:pPr>
        <w:ind w:left="328" w:hanging="328"/>
        <w:spacing w:after="0" w:line="265"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0"/>
          <w:szCs w:val="20"/>
          <w:color w:val="auto"/>
        </w:rPr>
        <w:t>changes in the global trade environment, including the imposition of import tariffs or other import restrictions, could adversely affect the amount or timing of our revenues, results of operations or cash flows;</w:t>
      </w:r>
    </w:p>
    <w:p>
      <w:pPr>
        <w:spacing w:after="0" w:line="87" w:lineRule="exact"/>
        <w:rPr>
          <w:rFonts w:ascii="Arial" w:cs="Arial" w:eastAsia="Arial" w:hAnsi="Arial"/>
          <w:sz w:val="22"/>
          <w:szCs w:val="22"/>
          <w:color w:val="auto"/>
        </w:rPr>
      </w:pPr>
    </w:p>
    <w:p>
      <w:pPr>
        <w:jc w:val="both"/>
        <w:ind w:left="328" w:hanging="328"/>
        <w:spacing w:after="0" w:line="261"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0"/>
          <w:szCs w:val="20"/>
          <w:color w:val="auto"/>
        </w:rPr>
        <w:t>economic, political and market conditions, including the Russian-Ukraine conflict, uncertain credit and global financial markets resulting from increasing inflation and interest rates along with recent bank failures, and the COVID-19 pandemic, have had and could continue to have an adverse effect on our business, results of operations and financial condition, including our revenue growth and profitability, which in turn could adversely affect our stock price;</w:t>
      </w:r>
    </w:p>
    <w:p>
      <w:pPr>
        <w:spacing w:after="0" w:line="95" w:lineRule="exact"/>
        <w:rPr>
          <w:rFonts w:ascii="Arial" w:cs="Arial" w:eastAsia="Arial" w:hAnsi="Arial"/>
          <w:sz w:val="22"/>
          <w:szCs w:val="22"/>
          <w:color w:val="auto"/>
        </w:rPr>
      </w:pPr>
    </w:p>
    <w:p>
      <w:pPr>
        <w:ind w:left="328" w:hanging="328"/>
        <w:spacing w:after="0" w:line="265"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0"/>
          <w:szCs w:val="20"/>
          <w:color w:val="auto"/>
        </w:rPr>
        <w:t>the reduction, elimination or expiration of government incentives for, or regulations mandating the use of, renewable energy and solar energy specifically could reduce demand for solar energy systems and harm our business;</w:t>
      </w:r>
    </w:p>
    <w:p>
      <w:pPr>
        <w:spacing w:after="0" w:line="87" w:lineRule="exact"/>
        <w:rPr>
          <w:rFonts w:ascii="Arial" w:cs="Arial" w:eastAsia="Arial" w:hAnsi="Arial"/>
          <w:sz w:val="22"/>
          <w:szCs w:val="22"/>
          <w:color w:val="auto"/>
        </w:rPr>
      </w:pPr>
    </w:p>
    <w:p>
      <w:pPr>
        <w:ind w:left="328" w:hanging="328"/>
        <w:spacing w:after="0" w:line="265" w:lineRule="auto"/>
        <w:tabs>
          <w:tab w:leader="none" w:pos="328" w:val="left"/>
        </w:tabs>
        <w:numPr>
          <w:ilvl w:val="0"/>
          <w:numId w:val="19"/>
        </w:numPr>
        <w:rPr>
          <w:rFonts w:ascii="Arial" w:cs="Arial" w:eastAsia="Arial" w:hAnsi="Arial"/>
          <w:sz w:val="22"/>
          <w:szCs w:val="22"/>
          <w:color w:val="auto"/>
        </w:rPr>
      </w:pPr>
      <w:r>
        <w:rPr>
          <w:rFonts w:ascii="Arial" w:cs="Arial" w:eastAsia="Arial" w:hAnsi="Arial"/>
          <w:sz w:val="20"/>
          <w:szCs w:val="20"/>
          <w:color w:val="auto"/>
        </w:rPr>
        <w:t>if we fail to, or incur significant costs in order to obtain, maintain, protect, defend or enforce, our intellectual property and other proprietary rights, our business and results of operations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12"/>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72390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335" w:right="339" w:bottom="1440" w:gutter="0" w:footer="0" w:header="0"/>
        </w:sectPr>
      </w:pPr>
    </w:p>
    <w:bookmarkStart w:id="34" w:name="page35"/>
    <w:bookmarkEnd w:id="34"/>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0"/>
          <w:szCs w:val="20"/>
          <w:color w:val="auto"/>
        </w:rPr>
        <w:t>significant changes in the cost of raw materials could adversely affect our financial performance;</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0"/>
          <w:szCs w:val="20"/>
          <w:color w:val="auto"/>
        </w:rPr>
        <w:t>we may be unable to remediate our material weaknesses in a timely manner or at all;</w:t>
      </w:r>
    </w:p>
    <w:p>
      <w:pPr>
        <w:spacing w:after="0" w:line="125"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Arial" w:cs="Arial" w:eastAsia="Arial" w:hAnsi="Arial"/>
          <w:sz w:val="20"/>
          <w:szCs w:val="20"/>
          <w:color w:val="auto"/>
        </w:rPr>
        <w:t>our substantial indebtedness could adversely affect our financial condition;</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implementation of the IRA may not deliver as much growth as we are anticipating; and</w:t>
      </w:r>
    </w:p>
    <w:p>
      <w:pPr>
        <w:spacing w:after="0" w:line="134" w:lineRule="exact"/>
        <w:rPr>
          <w:rFonts w:ascii="Arial" w:cs="Arial" w:eastAsia="Arial" w:hAnsi="Arial"/>
          <w:sz w:val="20"/>
          <w:szCs w:val="20"/>
          <w:color w:val="auto"/>
        </w:rPr>
      </w:pPr>
    </w:p>
    <w:p>
      <w:pPr>
        <w:ind w:left="660" w:hanging="328"/>
        <w:spacing w:after="0" w:line="265"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20"/>
          <w:szCs w:val="20"/>
          <w:color w:val="auto"/>
        </w:rPr>
        <w:t>cybersecurity or other data incidents, including unauthorized disclosure of personal or sensitive data or theft of confidential information could harm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We are one of the world’s largest manufacturers of ground-mounting tracking systems used in solar energy projects at utility scale. Our principal products are a portfolio of integrated solar tracking systems comprised of steel supports, electric motors, gearboxes and electronic controllers commonly referred to as a single-axis “tracker.” Trackers move solar panels throughout the day to maintain an optimal orientation to the sun, which significantly increases their energy production. Solar energy projects that use trackers generate more energy and deliver a lower Levelized Cost of Energy than projects that use “fixed tilt” mounting systems, which do not move. The vast majority of ground mounted solar systems in the U.S. use trackers.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Our flagship tracker uses a patented design that allows one motor to drive multiple rows of solar panels through articulated driveline joints. To avoid infringing on our U.S. patent, our competitors must use designs that we believe are inherently less efficient and reliable. For example, our largest competitor’s design requires one motor for each row of solar panels. As a result, we believe our products have greater reliability, lower installation costs, reduced maintenance requirements and competitive manufacturing costs. Our core U.S. patent on a linked-row, rotating gear drive system does not expire until February 5, 2030.</w:t>
      </w:r>
    </w:p>
    <w:p>
      <w:pPr>
        <w:spacing w:after="0" w:line="23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With our acquisition of STI in January 2022, we added a dual-row tracker design to our product portfolio. This tracker uses one motor to drive two connected rows and is ideally suited for sites with irregular and highly angled boundaries or fragmented project areas. To offer a comprehensive set of solutions to the growing market, in September 2022, we also introduced a third tracker product requiring significantly less grading and civil works permitting prior to installation in addition to accommodating uneven terrain. This suite of products extends our target applications and ability to deliver the best utility-scale solar tracker solutions to the market.</w:t>
      </w:r>
    </w:p>
    <w:p>
      <w:pPr>
        <w:spacing w:after="0" w:line="23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sell our products to engineering, procurement and construction firms (“EPCs”) that build solar energy projects and to large solar developers, independent power producers and utilities, often under master supply agreements or multi-year procurement contracts. During the six months ended June 30, 2023, we derived 72% and 28% of our revenues from customers in the United States and the rest of the world, respectively. As of June 30, 2023, we had shipped more than 66.6 gigawatts of trackers to customers worldwide, including STI.</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Our corporate headquarters are located in Albuquerque, New Mexico. As of June 30, 2023, we had 1,096 full-time employees.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Acquisition of STI Norland</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On January 11, 2022, the Company completed its acquisition of STI for purchase consideration of $410.5 million in cash and 13,894,800 shares of the Company’s common stock. The fair value of the purchase consideration was $610.8 million and resulted in the Company owning 100% of the equity interests in STI.</w:t>
      </w:r>
    </w:p>
    <w:p>
      <w:pPr>
        <w:spacing w:after="0" w:line="206"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STI generates revenue through the design, manufacture and sale of its utility-scale solar tracker systems to customers in global markets that include Spain, Brazil, U.S. and South Africa. The integration of STI provides</w:t>
      </w:r>
    </w:p>
    <w:p>
      <w:pPr>
        <w:sectPr>
          <w:pgSz w:w="11900" w:h="16838" w:orient="portrait"/>
          <w:cols w:equalWidth="0" w:num="1">
            <w:col w:w="11240"/>
          </w:cols>
          <w:pgMar w:left="320" w:top="13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5" w:right="339" w:bottom="1440" w:gutter="0" w:footer="0" w:header="0"/>
          <w:type w:val="continuous"/>
        </w:sectPr>
      </w:pPr>
    </w:p>
    <w:bookmarkStart w:id="35" w:name="page36"/>
    <w:bookmarkEnd w:id="35"/>
    <w:p>
      <w:pPr>
        <w:jc w:val="both"/>
        <w:spacing w:after="0" w:line="275" w:lineRule="auto"/>
        <w:rPr>
          <w:sz w:val="20"/>
          <w:szCs w:val="20"/>
          <w:color w:val="auto"/>
        </w:rPr>
      </w:pPr>
      <w:r>
        <w:rPr>
          <w:rFonts w:ascii="Arial" w:cs="Arial" w:eastAsia="Arial" w:hAnsi="Arial"/>
          <w:sz w:val="20"/>
          <w:szCs w:val="20"/>
          <w:color w:val="auto"/>
        </w:rPr>
        <w:t>us the opportunity to accelerate our international expansion and better address rising global demand for utility-scale solar projects, particularly in developing countries in South America and Africa.</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Out-of-Period Adjustment for the Correction of Errors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During the first quarter of fiscal year 2023, the Company identified certain errors in its previously issued financial statements that have been corrected through a cumulative out-of-period adjustment in the condensed consolidated financial statements as of and for the six months ended June 30, 2023. The Company has concluded that the cumulative out-of-period adjustment for the correction of these errors is not material to the financial statements for the six months ended June 30, 2023. A summary of these corrections and a summary of the cumulative impact is provided in </w:t>
      </w:r>
      <w:r>
        <w:rPr>
          <w:rFonts w:ascii="Arial" w:cs="Arial" w:eastAsia="Arial" w:hAnsi="Arial"/>
          <w:sz w:val="20"/>
          <w:szCs w:val="20"/>
          <w:u w:val="single" w:color="auto"/>
          <w:color w:val="0000FF"/>
        </w:rPr>
        <w:t>Note 1 – Organization, Business and Out-of-Period</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Adjustments</w:t>
      </w:r>
      <w:r>
        <w:rPr>
          <w:rFonts w:ascii="Arial" w:cs="Arial" w:eastAsia="Arial" w:hAnsi="Arial"/>
          <w:sz w:val="20"/>
          <w:szCs w:val="20"/>
          <w:color w:val="0000FF"/>
        </w:rPr>
        <w:t xml:space="preserve"> </w:t>
      </w:r>
      <w:r>
        <w:rPr>
          <w:rFonts w:ascii="Arial" w:cs="Arial" w:eastAsia="Arial" w:hAnsi="Arial"/>
          <w:sz w:val="20"/>
          <w:szCs w:val="20"/>
          <w:color w:val="000000"/>
        </w:rPr>
        <w:t>in Part I of this Quarterly Report.</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the Impact of COVID-19</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We continue to closely monitor the ongoing impact of the COVID-19 pandemic in all the locations where we operate. At this time, the extent to which the pandemic may affect our business, operations and plans, including the resulting impact on our expenditures and capital needs, remains uncertain and is subject to change, but overall, the pandemic appears to be having a lessening impact on our business and the markets in which we operate. On January 31, 2023, the Biden administration announced its plan to let the COVID-19 public health emergency expire in May 2023.</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Inflationary pressures, while somewhat moderating recently, are expected to persist, at least in the near-term, and may continue to negatively impact our results of operation. To mitigate the inflationary pressures on our business, we have implemented selective price increases in certain markets, accelerated productivity initiatives and expanded our supplier base, while continuing to execute on overhead cost containment practices.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Potential Solar Module Supply Chain Disruptions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On April 1, 2022, the U.S. Department of Commerce (“USDOC”) initiated anti-circumvention inquiries of the U.S. Solar 1 Orders covering merchandise from Vietnam, Malaysia, Thailand, and Cambodia pursuant to Section 781 of the Tariff Act of 1930. The USDOC issued preliminary determinations in these inquiries on December 1, 2022, affirmatively finding that certain photovoltaic solar cells and modules produced in Vietnam, Malaysia, Thailand, and Cambodia using parts and components from China from certain producers and/or exporters, are circumventing the Solar 1 Orders and therefore should be subject to the antidumping and countervailing duty liabilities arising from those orders. The USDOC is expected to issue final determinations by August 17, 2023.</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 a result of the USDOC’s investigation, we saw a number of projects in our order book initially delayed; however, on June 6, 2022, President Biden issued an emergency declaration delaying the imposition of any cash deposit or duty payment obligations on merchandise subject to these inquiries until the earlier of (i) the expiration of the order on June 6, 2024, or (ii) termination of the emergency declaration by the President. Merchandise from the four subject countries covered under the scope of these inquiries should therefore not be subject to any antidumping or countervailing duty liabilities under the Solar 1 Orders until the termination of the emergency declaration as long as the importer(s) and exporter(s) follow proper certification procedures that will be implemented by the USDOC. On May 3, 2023, however, the U.S. Senate voted to repeal President Biden’s emergency declaration. On May 16, President Biden announced that he had vetoed the U.S. Senate’s actions, and the emergency declaration will remain in place until June of 2024. The repeal of the President’s emergency declaration, and any affirmative determinations made once the suspension is lifted in any event,</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20"/>
          <w:szCs w:val="20"/>
          <w:color w:val="auto"/>
        </w:rPr>
        <w:t>would have an adverse effect on the global solar energy marketplace, and as such, an adverse effect on our business, financial condition, and results of operations.</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While we do not sell solar modules, the degree of our exposure is dependent on, among other things, the impact of the investigation on the projects that are also intended to use our products, with such impact being largely out of our control. To date, we have seen a number of projects in our order book delayed as a result of the USDOC investigation; however, the ultimate severity or duration of the expected solar panel supply chain disruption or its effects on our clients’ solar project development and construction activities remains uncertain. More broadly, legislation has been proposed that would make it easier for domestic companies to obtain affirmative determinations in antidumping and countervailing duties investigations. The proposed USICA/America COMPETES Act, if enacted, could result in future successful petitions that limit imports from Asia and other regions.</w:t>
      </w:r>
    </w:p>
    <w:p>
      <w:pPr>
        <w:spacing w:after="0" w:line="22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Solar panel imports to the U.S. may also be impacted by the Uyghur Forced Labor Prevention Act (“UFLPA”) that was signed into law by President Biden on December 23, 2021. According to U.S. Customs and Border Protection, “it establishes a rebuttable presumption that the importation of any goods, wares, articles, and merchandise mined, produced, or manufactured wholly or in part in the Xinjiang Uyghur Autonomous Region of the People’s Republic of China, or produced by certain entities, is prohibited by Section 307 of the Tariff Act of 1930 and that such goods, wares, articles, and merchandise are not entitled to entry to the U.S. The presumption applies unless the Commissioner of U.S. Customs and Border Protection determines that the importer of record has complied with specified conditions and, by clear and convincing evidence, that the goods, wares, articles, or merchandise were not produced using forced labor.” There continues to be uncertainty in the market around achieving full compliance with UFLPA, whether related to sufficient traceability of materials or other factors. This has created a significant compliance burden and constrained solar panel imports. We cannot currently predict what, if any, impact the UFLPA will have on the overall future supply of solar panels into the U.S. and the related timing and cost of our clients’ solar project, development and construction activities. While we do not import or sell solar panels, project delays caused by solar panel constraints may negatively impact our product delivery schedules and future sales, and therefore our business, financial condition, and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Impact of the Ongoing Conflict in Ukraine</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The ongoing conflict in Ukraine has reduced the availability of material that can be sourced in Europe and, as a result, increased logistics costs for the procurement of certain inputs and materials used in our products. We do not know ultimate severity or duration of the conflict in Ukraine, but we continue to monitor the situation and evaluate our procurement strategy and supply chain as to reduce any negative impact on our business, financial condition and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Uncertainty in the Banking System</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Events involving limited liquidity, defaults, non-performance or other adverse developments among several banks and financial institutions recently have created uncertainty in the financial services industry generally.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 managing our business and assessing financial performance, we supplement the information provided by the financial statements with other operating metrics. These operating metrics are utilized by our management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20"/>
          <w:szCs w:val="20"/>
          <w:color w:val="auto"/>
        </w:rPr>
        <w:t>to evaluate our business, measure our performance, identify trends affecting our business and formulate projections. The primary operating metric we use to evaluate our sales performance and to track market acceptance of our products from year to year is megawatts (“MWs”) shipped generally and the change in MW shipped from period to period specifically. MWs are measured for each individual project and calculated based on the expected output of that project once installed and fully operational.</w:t>
      </w:r>
    </w:p>
    <w:p>
      <w:pPr>
        <w:spacing w:after="0" w:line="230"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also utilize metrics related to price and cost of goods sold per MW, including average selling price (“ASP”) and cost per watt (“CPW”). ASP is calculated by dividing total applicable revenues by total applicable MWs, while CPW is calculated by dividing total applicable costs of goods sold by total applicable MWs. These metrics enable us to evaluate trends in pricing, manufacturing cost and customer profitability.</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Components of Our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discussion describes certain line items in our consolidated statements of operations.</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 xml:space="preserve">Our operating segments generate revenue from the sale of solar tracking systems, parts and services. Our customers include EPCs, utilities, large solar developers and independent power producers. For each individual </w:t>
      </w:r>
      <w:r>
        <w:rPr>
          <w:rFonts w:ascii="Arial" w:cs="Arial" w:eastAsia="Arial" w:hAnsi="Arial"/>
          <w:sz w:val="21"/>
          <w:szCs w:val="21"/>
          <w:color w:val="auto"/>
        </w:rPr>
        <w:t>solar</w:t>
      </w:r>
      <w:r>
        <w:rPr>
          <w:rFonts w:ascii="Arial" w:cs="Arial" w:eastAsia="Arial" w:hAnsi="Arial"/>
          <w:sz w:val="20"/>
          <w:szCs w:val="20"/>
          <w:color w:val="auto"/>
        </w:rPr>
        <w:t xml:space="preserve"> project, we enter into a contract with our customers covering the price, specifications, delivery dates and warranty for the products being purchased, among other things. Our contractual delivery period for the tracker system and parts can vary from days to several months. Contracts can range in value from hundreds of thousands to tens of millions of dollars.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revenue is affected by changes in the volume and ASPs of solar tracking systems purchased by our customers. The quarterly volume and ASP of our systems is driven by the supply of, and demand for, our products, changes in product mix between module type and wattage, geographic mix of our customers, strength of competitors’ product offerings, and availability of government incentives to the end-users of our products.</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Our revenue growth is dependent on continued growth in the amount of solar energy projects installed each year as well as our ability to increase our share of demand in each of the geographies where we compete, expanding our global footprint to new evolving markets, growing our production and supply chain capabilities to meet demand, and continuing to develop and introduce new and innovative products that address the changing technology and performance requirements of our customers.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Cost of revenue for both segments consists primarily of product costs, including purchased components, as well as costs related to shipping, tariffs, customer support, product warranty, personnel and depreciation of test and manufacturing equipment. Personnel costs in cost of revenue includes both direct labor costs as well as costs attributable to any individuals whose activities relate to the transformation of raw materials or component parts into finished goods or the transportation of materials to the customer. Our product costs are affected by the underlying cost of raw materials, including steel and aluminum; component costs, including electric motors and gearboxes; technological innovation; economies of scale resulting in lower component costs and improvements in production processes and automation.</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do not currently hedge against changes in the price of raw materials. Some of these costs, primarily personnel and depreciation of test and manufacturing equipment, are not directly affected by sales volume.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8" w:name="page39"/>
    <w:bookmarkEnd w:id="38"/>
    <w:p>
      <w:pPr>
        <w:jc w:val="both"/>
        <w:spacing w:after="0" w:line="275" w:lineRule="auto"/>
        <w:rPr>
          <w:sz w:val="20"/>
          <w:szCs w:val="20"/>
          <w:color w:val="auto"/>
        </w:rPr>
      </w:pPr>
      <w:r>
        <w:rPr>
          <w:rFonts w:ascii="Arial" w:cs="Arial" w:eastAsia="Arial" w:hAnsi="Arial"/>
          <w:sz w:val="20"/>
          <w:szCs w:val="20"/>
          <w:color w:val="auto"/>
        </w:rPr>
        <w:t>Gross profit may vary from quarter to quarter and is primarily affected by our ASPs, product costs, product mix, customer mix, geographical mix, shipping method, warranty costs and seasonality.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 expenses</w:t>
      </w:r>
    </w:p>
    <w:p>
      <w:pPr>
        <w:spacing w:after="0" w:line="12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General and administrative expenses consist primarily of salaries, benefits and equity-based compensation related to our executive, sales, engineering, finance, human resources, information technology and legal personnel, as well as travel, facility costs, marketing, bad debt provision and professional fees. We expect to increase the number of sales and marketing personnel in connection with the expansion of our global sales and marketing footprint, enabling us to penetrate new markets. We currently have a sales presence in the U.S., Spain, Brazil, South Africa, Australia and the U.K. We intend to continue to expand our sales presence and marketing efforts to additional countries. We also anticipate increased spending related to product development and innovation as we hire additional engineering resources and increase our research and development (“R&amp;D”) spend. Further, as a relatively new public company, we may incur additional audit, accounting, tax, legal and other costs related to compliance with applicable securities laws and other regulations, as well as additional insurance, investor relations and other costs associated with being a public company.</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Contingent consideration consists of the changes in fair value of the Taxes Receivable Agreement (“TRA”) entered into with Ron P. Corio, a former indirect stockholder, concurrent with the Acquisition of Array Technologies Patent Holdings Co., LLC by our Former Parent, ATI Investment Parent, LLC.</w:t>
      </w:r>
    </w:p>
    <w:p>
      <w:pPr>
        <w:spacing w:after="0" w:line="206"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The TRA liability is recorded at fair value and changes in the fair value are recognized in earnings. The TRA will generally provide for the payment by our operating company, Array Tech, Inc. (f/k/a Array Technologies, Inc.), to Ron P. Corio for certain federal, state, local and non-U.S. tax benefits deemed realized in post-closing taxable periods by Array Tech, Inc. from the use of certain deductions generated by the increase in the tax value of the developed technology. Estimating fair value of the TRA is by nature imprecise. The significant fair value inputs used to estimate the future expected TRA payments to Mr. Corio include the timing of tax payments, a discount rate, book income projections, timing of expected adjustments to calculate taxable income and the projected rate of use for attributes defined in the TRA.</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Depreciation in our operating expense consists of costs associated with property, plant and equipment (“PP&amp;E”) not used in manufacturing of our products. We expect that as we continue to grow both our revenue and our general and administrative personnel, we will require some additional PP&amp;E to support this growth resulting in additional depreciation expense.</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Amortization of intangibles consists of developed technology, customer relationships, contractual backlog, and the STI trade name amortized over their expected period of use.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Non-Operating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Interest Expense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Interest expense consists of interest and other charges paid in connection with (i) our $575 million senior secured 7-year term loan facility (the “Term Loan Facility”), (ii) our $200 million senior secured 5-year revolving credit facility (the “Revolving Credit Facility” and, together with the Term Loan Facility, the “Senior Secured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9" w:name="page40"/>
    <w:bookmarkEnd w:id="39"/>
    <w:p>
      <w:pPr>
        <w:spacing w:after="0" w:line="275" w:lineRule="auto"/>
        <w:rPr>
          <w:sz w:val="20"/>
          <w:szCs w:val="20"/>
          <w:color w:val="auto"/>
        </w:rPr>
      </w:pPr>
      <w:r>
        <w:rPr>
          <w:rFonts w:ascii="Arial" w:cs="Arial" w:eastAsia="Arial" w:hAnsi="Arial"/>
          <w:sz w:val="20"/>
          <w:szCs w:val="20"/>
          <w:color w:val="auto"/>
        </w:rPr>
        <w:t>Credit Facility”), (iii) our 1.00% Convertible Senior Notes due 2028 (the “Convertible Notes”), and (iv) the Other Debt we assumed in connection with the STI Acquisition.</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Income Tax Expense</w:t>
      </w:r>
    </w:p>
    <w:p>
      <w:pPr>
        <w:spacing w:after="0" w:line="127" w:lineRule="exact"/>
        <w:rPr>
          <w:sz w:val="20"/>
          <w:szCs w:val="20"/>
          <w:color w:val="auto"/>
        </w:rPr>
      </w:pPr>
    </w:p>
    <w:p>
      <w:pPr>
        <w:spacing w:after="0" w:line="275" w:lineRule="auto"/>
        <w:rPr>
          <w:sz w:val="20"/>
          <w:szCs w:val="20"/>
          <w:color w:val="auto"/>
        </w:rPr>
      </w:pPr>
      <w:r>
        <w:rPr>
          <w:rFonts w:ascii="Arial" w:cs="Arial" w:eastAsia="Arial" w:hAnsi="Arial"/>
          <w:sz w:val="20"/>
          <w:szCs w:val="20"/>
          <w:color w:val="auto"/>
        </w:rPr>
        <w:t>We are subject to U.S. federal and state and non-U.S. income taxes. As we expand into additional foreign markets, we may be subject to additional foreign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our consolidated statement of operations (dollars in thousands):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20" w:type="dxa"/>
            <w:vAlign w:val="bottom"/>
            <w:gridSpan w:val="4"/>
          </w:tcPr>
          <w:p>
            <w:pPr>
              <w:jc w:val="right"/>
              <w:ind w:right="41"/>
              <w:spacing w:after="0"/>
              <w:rPr>
                <w:sz w:val="20"/>
                <w:szCs w:val="20"/>
                <w:color w:val="auto"/>
              </w:rPr>
            </w:pPr>
            <w:r>
              <w:rPr>
                <w:rFonts w:ascii="Arial" w:cs="Arial" w:eastAsia="Arial" w:hAnsi="Arial"/>
                <w:sz w:val="20"/>
                <w:szCs w:val="20"/>
                <w:b w:val="1"/>
                <w:bCs w:val="1"/>
                <w:color w:val="auto"/>
                <w:w w:val="99"/>
              </w:rPr>
              <w:t>Three Months Ended</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3"/>
            <w:vMerge w:val="restart"/>
          </w:tcPr>
          <w:p>
            <w:pPr>
              <w:jc w:val="right"/>
              <w:ind w:right="41"/>
              <w:spacing w:after="0"/>
              <w:rPr>
                <w:sz w:val="20"/>
                <w:szCs w:val="20"/>
                <w:color w:val="auto"/>
              </w:rPr>
            </w:pPr>
            <w:r>
              <w:rPr>
                <w:rFonts w:ascii="Arial" w:cs="Arial" w:eastAsia="Arial" w:hAnsi="Arial"/>
                <w:sz w:val="20"/>
                <w:szCs w:val="20"/>
                <w:b w:val="1"/>
                <w:bCs w:val="1"/>
                <w:color w:val="auto"/>
                <w:w w:val="98"/>
              </w:rPr>
              <w:t>Increase/(Decrease)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gridSpan w:val="4"/>
          </w:tcPr>
          <w:p>
            <w:pPr>
              <w:jc w:val="right"/>
              <w:ind w:right="181"/>
              <w:spacing w:after="0"/>
              <w:rPr>
                <w:sz w:val="20"/>
                <w:szCs w:val="20"/>
                <w:color w:val="auto"/>
              </w:rPr>
            </w:pPr>
            <w:r>
              <w:rPr>
                <w:rFonts w:ascii="Arial" w:cs="Arial" w:eastAsia="Arial" w:hAnsi="Arial"/>
                <w:sz w:val="20"/>
                <w:szCs w:val="20"/>
                <w:b w:val="1"/>
                <w:bCs w:val="1"/>
                <w:color w:val="auto"/>
              </w:rPr>
              <w:t>Six Months Ended</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gridSpan w:val="3"/>
            <w:vMerge w:val="restart"/>
          </w:tcPr>
          <w:p>
            <w:pPr>
              <w:jc w:val="right"/>
              <w:ind w:right="41"/>
              <w:spacing w:after="0"/>
              <w:rPr>
                <w:sz w:val="20"/>
                <w:szCs w:val="20"/>
                <w:color w:val="auto"/>
              </w:rPr>
            </w:pPr>
            <w:r>
              <w:rPr>
                <w:rFonts w:ascii="Arial" w:cs="Arial" w:eastAsia="Arial" w:hAnsi="Arial"/>
                <w:sz w:val="20"/>
                <w:szCs w:val="20"/>
                <w:b w:val="1"/>
                <w:bCs w:val="1"/>
                <w:color w:val="auto"/>
                <w:w w:val="98"/>
              </w:rPr>
              <w:t>Increase/(Decrease)</w:t>
            </w:r>
          </w:p>
        </w:tc>
        <w:tc>
          <w:tcPr>
            <w:tcW w:w="0" w:type="dxa"/>
            <w:vAlign w:val="bottom"/>
          </w:tcPr>
          <w:p>
            <w:pPr>
              <w:spacing w:after="0"/>
              <w:rPr>
                <w:sz w:val="1"/>
                <w:szCs w:val="1"/>
                <w:color w:val="auto"/>
              </w:rPr>
            </w:pPr>
          </w:p>
        </w:tc>
      </w:tr>
      <w:tr>
        <w:trPr>
          <w:trHeight w:val="257"/>
        </w:trPr>
        <w:tc>
          <w:tcPr>
            <w:tcW w:w="2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120" w:type="dxa"/>
            <w:vAlign w:val="bottom"/>
            <w:tcBorders>
              <w:bottom w:val="single" w:sz="8" w:color="auto"/>
            </w:tcBorders>
            <w:gridSpan w:val="4"/>
          </w:tcPr>
          <w:p>
            <w:pPr>
              <w:jc w:val="right"/>
              <w:ind w:right="621"/>
              <w:spacing w:after="0"/>
              <w:rPr>
                <w:sz w:val="20"/>
                <w:szCs w:val="20"/>
                <w:color w:val="auto"/>
              </w:rPr>
            </w:pPr>
            <w:r>
              <w:rPr>
                <w:rFonts w:ascii="Arial" w:cs="Arial" w:eastAsia="Arial" w:hAnsi="Arial"/>
                <w:sz w:val="20"/>
                <w:szCs w:val="20"/>
                <w:b w:val="1"/>
                <w:bCs w:val="1"/>
                <w:color w:val="auto"/>
              </w:rPr>
              <w:t>June 30,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20"/>
                <w:szCs w:val="20"/>
                <w:b w:val="1"/>
                <w:bCs w:val="1"/>
                <w:color w:val="auto"/>
              </w:rPr>
              <w:t>June 30,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ind w:left="180"/>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21"/>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401"/>
              <w:spacing w:after="0"/>
              <w:rPr>
                <w:sz w:val="20"/>
                <w:szCs w:val="20"/>
                <w:color w:val="auto"/>
              </w:rPr>
            </w:pPr>
            <w:r>
              <w:rPr>
                <w:rFonts w:ascii="Arial" w:cs="Arial" w:eastAsia="Arial" w:hAnsi="Arial"/>
                <w:sz w:val="20"/>
                <w:szCs w:val="20"/>
                <w:b w:val="1"/>
                <w:bCs w:val="1"/>
                <w:color w:val="auto"/>
              </w:rPr>
              <w:t>$</w:t>
            </w:r>
          </w:p>
        </w:tc>
        <w:tc>
          <w:tcPr>
            <w:tcW w:w="1040" w:type="dxa"/>
            <w:vAlign w:val="bottom"/>
            <w:gridSpan w:val="2"/>
          </w:tcPr>
          <w:p>
            <w:pPr>
              <w:jc w:val="right"/>
              <w:ind w:right="281"/>
              <w:spacing w:after="0"/>
              <w:rPr>
                <w:sz w:val="20"/>
                <w:szCs w:val="20"/>
                <w:color w:val="auto"/>
              </w:rPr>
            </w:pPr>
            <w:r>
              <w:rPr>
                <w:rFonts w:ascii="Arial" w:cs="Arial" w:eastAsia="Arial" w:hAnsi="Arial"/>
                <w:sz w:val="20"/>
                <w:szCs w:val="20"/>
                <w:b w:val="1"/>
                <w:bCs w:val="1"/>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221"/>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ind w:right="22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ind w:right="421"/>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2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507,725</w:t>
            </w:r>
          </w:p>
        </w:tc>
        <w:tc>
          <w:tcPr>
            <w:tcW w:w="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87,860</w:t>
            </w:r>
          </w:p>
        </w:tc>
        <w:tc>
          <w:tcPr>
            <w:tcW w:w="10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21 %</w:t>
            </w: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884,498</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720,451</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164,047</w:t>
            </w:r>
          </w:p>
        </w:tc>
        <w:tc>
          <w:tcPr>
            <w:tcW w:w="80" w:type="dxa"/>
            <w:vAlign w:val="bottom"/>
            <w:tcBorders>
              <w:top w:val="single" w:sz="8" w:color="CCEEFF"/>
            </w:tcBorders>
            <w:shd w:val="clear" w:color="auto" w:fill="CCEEFF"/>
          </w:tcPr>
          <w:p>
            <w:pPr>
              <w:spacing w:after="0"/>
              <w:rPr>
                <w:sz w:val="20"/>
                <w:szCs w:val="20"/>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56"/>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Cost of revenue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357,683</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379,919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(22,236)</w:t>
            </w: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(6)%</w:t>
            </w: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633,277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653,918</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(20,641)</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(3)%</w:t>
            </w:r>
          </w:p>
        </w:tc>
        <w:tc>
          <w:tcPr>
            <w:tcW w:w="0" w:type="dxa"/>
            <w:vAlign w:val="bottom"/>
          </w:tcPr>
          <w:p>
            <w:pPr>
              <w:spacing w:after="0"/>
              <w:rPr>
                <w:sz w:val="1"/>
                <w:szCs w:val="1"/>
                <w:color w:val="auto"/>
              </w:rPr>
            </w:pPr>
          </w:p>
        </w:tc>
      </w:tr>
      <w:tr>
        <w:trPr>
          <w:trHeight w:val="247"/>
        </w:trPr>
        <w:tc>
          <w:tcPr>
            <w:tcW w:w="2100" w:type="dxa"/>
            <w:vAlign w:val="bottom"/>
            <w:shd w:val="clear" w:color="auto" w:fill="CCEEFF"/>
          </w:tcPr>
          <w:p>
            <w:pPr>
              <w:ind w:left="240"/>
              <w:spacing w:after="0"/>
              <w:rPr>
                <w:sz w:val="20"/>
                <w:szCs w:val="20"/>
                <w:color w:val="auto"/>
              </w:rPr>
            </w:pPr>
            <w:r>
              <w:rPr>
                <w:rFonts w:ascii="Arial" w:cs="Arial" w:eastAsia="Arial" w:hAnsi="Arial"/>
                <w:sz w:val="20"/>
                <w:szCs w:val="20"/>
                <w:color w:val="auto"/>
              </w:rPr>
              <w:t>Gross profit</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150,042</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39,946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110,096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276 %</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251,221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66,533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184,688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278 %</w:t>
            </w:r>
          </w:p>
        </w:tc>
        <w:tc>
          <w:tcPr>
            <w:tcW w:w="0" w:type="dxa"/>
            <w:vAlign w:val="bottom"/>
          </w:tcPr>
          <w:p>
            <w:pPr>
              <w:spacing w:after="0"/>
              <w:rPr>
                <w:sz w:val="1"/>
                <w:szCs w:val="1"/>
                <w:color w:val="auto"/>
              </w:rPr>
            </w:pPr>
          </w:p>
        </w:tc>
      </w:tr>
      <w:tr>
        <w:trPr>
          <w:trHeight w:val="253"/>
        </w:trPr>
        <w:tc>
          <w:tcPr>
            <w:tcW w:w="2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Operating expenses:</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line="189" w:lineRule="exact"/>
              <w:rPr>
                <w:sz w:val="20"/>
                <w:szCs w:val="20"/>
                <w:color w:val="auto"/>
              </w:rPr>
            </w:pPr>
            <w:r>
              <w:rPr>
                <w:rFonts w:ascii="Arial" w:cs="Arial" w:eastAsia="Arial" w:hAnsi="Arial"/>
                <w:sz w:val="20"/>
                <w:szCs w:val="20"/>
                <w:color w:val="auto"/>
              </w:rPr>
              <w:t>General and</w:t>
            </w:r>
          </w:p>
        </w:tc>
        <w:tc>
          <w:tcPr>
            <w:tcW w:w="140" w:type="dxa"/>
            <w:vAlign w:val="bottom"/>
          </w:tcPr>
          <w:p>
            <w:pPr>
              <w:spacing w:after="0"/>
              <w:rPr>
                <w:sz w:val="16"/>
                <w:szCs w:val="16"/>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20"/>
                <w:szCs w:val="20"/>
                <w:color w:val="auto"/>
              </w:rPr>
              <w:t>40,250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28,936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11,314</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39 %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78,392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74,361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20"/>
                <w:szCs w:val="20"/>
                <w:color w:val="auto"/>
              </w:rPr>
              <w:t>4,031</w:t>
            </w:r>
          </w:p>
        </w:tc>
        <w:tc>
          <w:tcPr>
            <w:tcW w:w="1000" w:type="dxa"/>
            <w:vAlign w:val="bottom"/>
            <w:gridSpan w:val="2"/>
            <w:vMerge w:val="restart"/>
          </w:tcPr>
          <w:p>
            <w:pPr>
              <w:jc w:val="right"/>
              <w:spacing w:after="0"/>
              <w:rPr>
                <w:sz w:val="20"/>
                <w:szCs w:val="20"/>
                <w:color w:val="auto"/>
              </w:rPr>
            </w:pPr>
            <w:r>
              <w:rPr>
                <w:rFonts w:ascii="Arial" w:cs="Arial" w:eastAsia="Arial" w:hAnsi="Arial"/>
                <w:sz w:val="20"/>
                <w:szCs w:val="20"/>
                <w:color w:val="auto"/>
              </w:rPr>
              <w:t>5 %</w:t>
            </w:r>
          </w:p>
        </w:tc>
        <w:tc>
          <w:tcPr>
            <w:tcW w:w="0" w:type="dxa"/>
            <w:vAlign w:val="bottom"/>
          </w:tcPr>
          <w:p>
            <w:pPr>
              <w:spacing w:after="0"/>
              <w:rPr>
                <w:sz w:val="1"/>
                <w:szCs w:val="1"/>
                <w:color w:val="auto"/>
              </w:rPr>
            </w:pPr>
          </w:p>
        </w:tc>
      </w:tr>
      <w:tr>
        <w:trPr>
          <w:trHeight w:val="254"/>
        </w:trPr>
        <w:tc>
          <w:tcPr>
            <w:tcW w:w="2100" w:type="dxa"/>
            <w:vAlign w:val="bottom"/>
          </w:tcPr>
          <w:p>
            <w:pPr>
              <w:ind w:left="20"/>
              <w:spacing w:after="0"/>
              <w:rPr>
                <w:sz w:val="20"/>
                <w:szCs w:val="20"/>
                <w:color w:val="auto"/>
              </w:rPr>
            </w:pPr>
            <w:r>
              <w:rPr>
                <w:rFonts w:ascii="Arial" w:cs="Arial" w:eastAsia="Arial" w:hAnsi="Arial"/>
                <w:sz w:val="20"/>
                <w:szCs w:val="20"/>
                <w:color w:val="auto"/>
              </w:rPr>
              <w:t>administrative</w:t>
            </w:r>
          </w:p>
        </w:tc>
        <w:tc>
          <w:tcPr>
            <w:tcW w:w="14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2100" w:type="dxa"/>
            <w:vAlign w:val="bottom"/>
            <w:shd w:val="clear" w:color="auto" w:fill="CCEEFF"/>
          </w:tcPr>
          <w:p>
            <w:pPr>
              <w:ind w:left="20"/>
              <w:spacing w:after="0" w:line="201" w:lineRule="exact"/>
              <w:rPr>
                <w:sz w:val="20"/>
                <w:szCs w:val="20"/>
                <w:color w:val="auto"/>
              </w:rPr>
            </w:pPr>
            <w:r>
              <w:rPr>
                <w:rFonts w:ascii="Arial" w:cs="Arial" w:eastAsia="Arial" w:hAnsi="Arial"/>
                <w:sz w:val="20"/>
                <w:szCs w:val="20"/>
                <w:color w:val="auto"/>
              </w:rPr>
              <w:t>Change in fair value of</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100" w:type="dxa"/>
            <w:vAlign w:val="bottom"/>
            <w:shd w:val="clear" w:color="auto" w:fill="CCEEFF"/>
          </w:tcPr>
          <w:p>
            <w:pPr>
              <w:ind w:left="20"/>
              <w:spacing w:after="0" w:line="193" w:lineRule="exact"/>
              <w:rPr>
                <w:sz w:val="20"/>
                <w:szCs w:val="20"/>
                <w:color w:val="auto"/>
              </w:rPr>
            </w:pPr>
            <w:r>
              <w:rPr>
                <w:rFonts w:ascii="Arial" w:cs="Arial" w:eastAsia="Arial" w:hAnsi="Arial"/>
                <w:sz w:val="20"/>
                <w:szCs w:val="20"/>
                <w:color w:val="auto"/>
              </w:rPr>
              <w:t>contingent</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705</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(1,678)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2,383</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142 %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2,043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(5,409)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7,452</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138 %</w:t>
            </w: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consideration</w:t>
            </w:r>
          </w:p>
        </w:tc>
        <w:tc>
          <w:tcPr>
            <w:tcW w:w="1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00" w:type="dxa"/>
            <w:vAlign w:val="bottom"/>
          </w:tcPr>
          <w:p>
            <w:pPr>
              <w:ind w:left="20"/>
              <w:spacing w:after="0" w:line="199" w:lineRule="exact"/>
              <w:rPr>
                <w:sz w:val="20"/>
                <w:szCs w:val="20"/>
                <w:color w:val="auto"/>
              </w:rPr>
            </w:pPr>
            <w:r>
              <w:rPr>
                <w:rFonts w:ascii="Arial" w:cs="Arial" w:eastAsia="Arial" w:hAnsi="Arial"/>
                <w:sz w:val="20"/>
                <w:szCs w:val="20"/>
                <w:color w:val="auto"/>
              </w:rPr>
              <w:t>Depreciation and</w:t>
            </w:r>
          </w:p>
        </w:tc>
        <w:tc>
          <w:tcPr>
            <w:tcW w:w="140" w:type="dxa"/>
            <w:vAlign w:val="bottom"/>
          </w:tcPr>
          <w:p>
            <w:pPr>
              <w:spacing w:after="0"/>
              <w:rPr>
                <w:sz w:val="17"/>
                <w:szCs w:val="17"/>
                <w:color w:val="auto"/>
              </w:rPr>
            </w:pPr>
          </w:p>
        </w:tc>
        <w:tc>
          <w:tcPr>
            <w:tcW w:w="960" w:type="dxa"/>
            <w:vAlign w:val="bottom"/>
            <w:vMerge w:val="restart"/>
          </w:tcPr>
          <w:p>
            <w:pPr>
              <w:jc w:val="right"/>
              <w:ind w:right="1"/>
              <w:spacing w:after="0"/>
              <w:rPr>
                <w:sz w:val="20"/>
                <w:szCs w:val="20"/>
                <w:color w:val="auto"/>
              </w:rPr>
            </w:pPr>
            <w:r>
              <w:rPr>
                <w:rFonts w:ascii="Arial" w:cs="Arial" w:eastAsia="Arial" w:hAnsi="Arial"/>
                <w:sz w:val="20"/>
                <w:szCs w:val="20"/>
                <w:color w:val="auto"/>
              </w:rPr>
              <w:t>12,846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20"/>
                <w:szCs w:val="20"/>
                <w:color w:val="auto"/>
              </w:rPr>
              <w:t>26,020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(13,174)</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27,087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20"/>
                <w:szCs w:val="20"/>
                <w:color w:val="auto"/>
              </w:rPr>
              <w:t>49,257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Arial" w:cs="Arial" w:eastAsia="Arial" w:hAnsi="Arial"/>
                <w:sz w:val="20"/>
                <w:szCs w:val="20"/>
                <w:color w:val="auto"/>
              </w:rPr>
              <w:t>(22,170)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amortization</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104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(51)%</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178"/>
        </w:trPr>
        <w:tc>
          <w:tcPr>
            <w:tcW w:w="2100" w:type="dxa"/>
            <w:vAlign w:val="bottom"/>
            <w:shd w:val="clear" w:color="auto" w:fill="CCEEFF"/>
          </w:tcPr>
          <w:p>
            <w:pPr>
              <w:ind w:left="240"/>
              <w:spacing w:after="0" w:line="179" w:lineRule="exact"/>
              <w:rPr>
                <w:sz w:val="20"/>
                <w:szCs w:val="20"/>
                <w:color w:val="auto"/>
              </w:rPr>
            </w:pPr>
            <w:r>
              <w:rPr>
                <w:rFonts w:ascii="Arial" w:cs="Arial" w:eastAsia="Arial" w:hAnsi="Arial"/>
                <w:sz w:val="20"/>
                <w:szCs w:val="20"/>
                <w:color w:val="auto"/>
              </w:rPr>
              <w:t>Total operating</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20"/>
                <w:szCs w:val="20"/>
                <w:color w:val="auto"/>
              </w:rPr>
              <w:t>expenses</w:t>
            </w: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53,801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53,278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523</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1 %</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107,522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118,209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(10,687)</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64"/>
        </w:trPr>
        <w:tc>
          <w:tcPr>
            <w:tcW w:w="2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color w:val="auto"/>
              </w:rPr>
              <w:t>Income (loss) from</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96,241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(13,332)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109,573</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822 %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143,699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(51,676)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195,375</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378 %</w:t>
            </w:r>
          </w:p>
        </w:tc>
        <w:tc>
          <w:tcPr>
            <w:tcW w:w="0" w:type="dxa"/>
            <w:vAlign w:val="bottom"/>
          </w:tcPr>
          <w:p>
            <w:pPr>
              <w:spacing w:after="0"/>
              <w:rPr>
                <w:sz w:val="1"/>
                <w:szCs w:val="1"/>
                <w:color w:val="auto"/>
              </w:rPr>
            </w:pPr>
          </w:p>
        </w:tc>
      </w:tr>
      <w:tr>
        <w:trPr>
          <w:trHeight w:val="256"/>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operations</w:t>
            </w:r>
          </w:p>
        </w:tc>
        <w:tc>
          <w:tcPr>
            <w:tcW w:w="1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ind w:left="20"/>
              <w:spacing w:after="0" w:line="189" w:lineRule="exact"/>
              <w:rPr>
                <w:sz w:val="20"/>
                <w:szCs w:val="20"/>
                <w:color w:val="auto"/>
              </w:rPr>
            </w:pPr>
            <w:r>
              <w:rPr>
                <w:rFonts w:ascii="Arial" w:cs="Arial" w:eastAsia="Arial" w:hAnsi="Arial"/>
                <w:sz w:val="20"/>
                <w:szCs w:val="20"/>
                <w:b w:val="1"/>
                <w:bCs w:val="1"/>
                <w:color w:val="auto"/>
              </w:rPr>
              <w:t>Other income</w:t>
            </w: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(expense):</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00" w:type="dxa"/>
            <w:vAlign w:val="bottom"/>
          </w:tcPr>
          <w:p>
            <w:pPr>
              <w:ind w:left="20"/>
              <w:spacing w:after="0" w:line="199" w:lineRule="exact"/>
              <w:rPr>
                <w:sz w:val="20"/>
                <w:szCs w:val="20"/>
                <w:color w:val="auto"/>
              </w:rPr>
            </w:pPr>
            <w:r>
              <w:rPr>
                <w:rFonts w:ascii="Arial" w:cs="Arial" w:eastAsia="Arial" w:hAnsi="Arial"/>
                <w:sz w:val="20"/>
                <w:szCs w:val="20"/>
                <w:color w:val="auto"/>
              </w:rPr>
              <w:t>Other income</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100" w:type="dxa"/>
            <w:vAlign w:val="bottom"/>
          </w:tcPr>
          <w:p>
            <w:pPr>
              <w:ind w:left="20"/>
              <w:spacing w:after="0"/>
              <w:rPr>
                <w:sz w:val="20"/>
                <w:szCs w:val="20"/>
                <w:color w:val="auto"/>
              </w:rPr>
            </w:pPr>
            <w:r>
              <w:rPr>
                <w:rFonts w:ascii="Arial" w:cs="Arial" w:eastAsia="Arial" w:hAnsi="Arial"/>
                <w:sz w:val="20"/>
                <w:szCs w:val="20"/>
                <w:color w:val="auto"/>
              </w:rPr>
              <w:t>(expense), net</w:t>
            </w:r>
          </w:p>
        </w:tc>
        <w:tc>
          <w:tcPr>
            <w:tcW w:w="140" w:type="dxa"/>
            <w:vAlign w:val="bottom"/>
          </w:tcPr>
          <w:p>
            <w:pPr>
              <w:spacing w:after="0"/>
              <w:rPr>
                <w:sz w:val="22"/>
                <w:szCs w:val="22"/>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125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496</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134 %</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372</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(53)</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ind w:left="20"/>
              <w:spacing w:after="0" w:line="194" w:lineRule="exact"/>
              <w:rPr>
                <w:sz w:val="20"/>
                <w:szCs w:val="20"/>
                <w:color w:val="auto"/>
              </w:rPr>
            </w:pPr>
            <w:r>
              <w:rPr>
                <w:rFonts w:ascii="Arial" w:cs="Arial" w:eastAsia="Arial" w:hAnsi="Arial"/>
                <w:sz w:val="20"/>
                <w:szCs w:val="20"/>
                <w:color w:val="auto"/>
              </w:rPr>
              <w:t>Foreign currency gain</w:t>
            </w:r>
          </w:p>
        </w:tc>
        <w:tc>
          <w:tcPr>
            <w:tcW w:w="14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
              <w:spacing w:after="0"/>
              <w:rPr>
                <w:sz w:val="20"/>
                <w:szCs w:val="20"/>
                <w:color w:val="auto"/>
              </w:rPr>
            </w:pPr>
            <w:r>
              <w:rPr>
                <w:rFonts w:ascii="Arial" w:cs="Arial" w:eastAsia="Arial" w:hAnsi="Arial"/>
                <w:sz w:val="20"/>
                <w:szCs w:val="20"/>
                <w:color w:val="auto"/>
              </w:rPr>
              <w:t>260</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21"/>
              <w:spacing w:after="0"/>
              <w:rPr>
                <w:sz w:val="20"/>
                <w:szCs w:val="20"/>
                <w:color w:val="auto"/>
              </w:rPr>
            </w:pPr>
            <w:r>
              <w:rPr>
                <w:rFonts w:ascii="Arial" w:cs="Arial" w:eastAsia="Arial" w:hAnsi="Arial"/>
                <w:sz w:val="20"/>
                <w:szCs w:val="20"/>
                <w:color w:val="auto"/>
              </w:rPr>
              <w:t>(1,736)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1,996</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115 %</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66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ind w:right="41"/>
              <w:spacing w:after="0"/>
              <w:rPr>
                <w:sz w:val="20"/>
                <w:szCs w:val="20"/>
                <w:color w:val="auto"/>
              </w:rPr>
            </w:pPr>
            <w:r>
              <w:rPr>
                <w:rFonts w:ascii="Arial" w:cs="Arial" w:eastAsia="Arial" w:hAnsi="Arial"/>
                <w:sz w:val="20"/>
                <w:szCs w:val="20"/>
                <w:color w:val="auto"/>
              </w:rPr>
              <w:t>2,127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rPr>
              <w:t>(2,061)</w:t>
            </w: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256"/>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(loss)</w:t>
            </w:r>
          </w:p>
        </w:tc>
        <w:tc>
          <w:tcPr>
            <w:tcW w:w="140" w:type="dxa"/>
            <w:vAlign w:val="bottom"/>
            <w:shd w:val="clear" w:color="auto" w:fill="CCEEFF"/>
          </w:tcPr>
          <w:p>
            <w:pPr>
              <w:spacing w:after="0"/>
              <w:rPr>
                <w:sz w:val="22"/>
                <w:szCs w:val="22"/>
                <w:color w:val="auto"/>
              </w:rPr>
            </w:pPr>
          </w:p>
        </w:tc>
        <w:tc>
          <w:tcPr>
            <w:tcW w:w="96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040" w:type="dxa"/>
            <w:vAlign w:val="bottom"/>
            <w:gridSpan w:val="2"/>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vMerge w:val="continue"/>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00" w:type="dxa"/>
            <w:vAlign w:val="bottom"/>
          </w:tcPr>
          <w:p>
            <w:pPr>
              <w:ind w:left="20"/>
              <w:spacing w:after="0" w:line="199" w:lineRule="exact"/>
              <w:rPr>
                <w:sz w:val="20"/>
                <w:szCs w:val="20"/>
                <w:color w:val="auto"/>
              </w:rPr>
            </w:pPr>
            <w:r>
              <w:rPr>
                <w:rFonts w:ascii="Arial" w:cs="Arial" w:eastAsia="Arial" w:hAnsi="Arial"/>
                <w:sz w:val="20"/>
                <w:szCs w:val="20"/>
                <w:color w:val="auto"/>
              </w:rPr>
              <w:t>Change in fair value of</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20"/>
              <w:spacing w:after="0"/>
              <w:rPr>
                <w:sz w:val="20"/>
                <w:szCs w:val="20"/>
                <w:color w:val="auto"/>
              </w:rPr>
            </w:pPr>
            <w:r>
              <w:rPr>
                <w:rFonts w:ascii="Arial" w:cs="Arial" w:eastAsia="Arial" w:hAnsi="Arial"/>
                <w:sz w:val="20"/>
                <w:szCs w:val="20"/>
                <w:color w:val="auto"/>
              </w:rPr>
              <w:t>derivative assets</w:t>
            </w:r>
          </w:p>
        </w:tc>
        <w:tc>
          <w:tcPr>
            <w:tcW w:w="140" w:type="dxa"/>
            <w:vAlign w:val="bottom"/>
          </w:tcPr>
          <w:p>
            <w:pPr>
              <w:spacing w:after="0"/>
              <w:rPr>
                <w:sz w:val="21"/>
                <w:szCs w:val="21"/>
                <w:color w:val="auto"/>
              </w:rPr>
            </w:pPr>
          </w:p>
        </w:tc>
        <w:tc>
          <w:tcPr>
            <w:tcW w:w="960" w:type="dxa"/>
            <w:vAlign w:val="bottom"/>
          </w:tcPr>
          <w:p>
            <w:pPr>
              <w:jc w:val="right"/>
              <w:ind w:right="1"/>
              <w:spacing w:after="0"/>
              <w:rPr>
                <w:sz w:val="20"/>
                <w:szCs w:val="20"/>
                <w:color w:val="auto"/>
              </w:rPr>
            </w:pPr>
            <w:r>
              <w:rPr>
                <w:rFonts w:ascii="Arial" w:cs="Arial" w:eastAsia="Arial" w:hAnsi="Arial"/>
                <w:sz w:val="20"/>
                <w:szCs w:val="20"/>
                <w:color w:val="auto"/>
              </w:rPr>
              <w:t>694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694</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100 %</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(1,256)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20"/>
                <w:szCs w:val="20"/>
                <w:color w:val="auto"/>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20"/>
                <w:szCs w:val="20"/>
                <w:color w:val="auto"/>
              </w:rPr>
              <w:t>(1,256)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(100)%</w:t>
            </w:r>
          </w:p>
        </w:tc>
        <w:tc>
          <w:tcPr>
            <w:tcW w:w="0" w:type="dxa"/>
            <w:vAlign w:val="bottom"/>
          </w:tcPr>
          <w:p>
            <w:pPr>
              <w:spacing w:after="0"/>
              <w:rPr>
                <w:sz w:val="1"/>
                <w:szCs w:val="1"/>
                <w:color w:val="auto"/>
              </w:rPr>
            </w:pPr>
          </w:p>
        </w:tc>
      </w:tr>
      <w:tr>
        <w:trPr>
          <w:trHeight w:val="257"/>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Interest expense</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20"/>
                <w:szCs w:val="20"/>
                <w:color w:val="auto"/>
              </w:rPr>
              <w:t>(10,109)</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(8,021)</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(2,088)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w:t>
            </w:r>
          </w:p>
        </w:tc>
        <w:tc>
          <w:tcPr>
            <w:tcW w:w="8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(19,609)</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(14,963)</w:t>
            </w:r>
          </w:p>
        </w:tc>
        <w:tc>
          <w:tcPr>
            <w:tcW w:w="8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(4,646)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(31)%</w:t>
            </w:r>
          </w:p>
        </w:tc>
        <w:tc>
          <w:tcPr>
            <w:tcW w:w="0" w:type="dxa"/>
            <w:vAlign w:val="bottom"/>
          </w:tcPr>
          <w:p>
            <w:pPr>
              <w:spacing w:after="0"/>
              <w:rPr>
                <w:sz w:val="1"/>
                <w:szCs w:val="1"/>
                <w:color w:val="auto"/>
              </w:rPr>
            </w:pPr>
          </w:p>
        </w:tc>
      </w:tr>
      <w:tr>
        <w:trPr>
          <w:trHeight w:val="178"/>
        </w:trPr>
        <w:tc>
          <w:tcPr>
            <w:tcW w:w="2100" w:type="dxa"/>
            <w:vAlign w:val="bottom"/>
          </w:tcPr>
          <w:p>
            <w:pPr>
              <w:ind w:left="240"/>
              <w:spacing w:after="0" w:line="179" w:lineRule="exact"/>
              <w:rPr>
                <w:sz w:val="20"/>
                <w:szCs w:val="20"/>
                <w:color w:val="auto"/>
              </w:rPr>
            </w:pPr>
            <w:r>
              <w:rPr>
                <w:rFonts w:ascii="Arial" w:cs="Arial" w:eastAsia="Arial" w:hAnsi="Arial"/>
                <w:sz w:val="20"/>
                <w:szCs w:val="20"/>
                <w:color w:val="auto"/>
              </w:rPr>
              <w:t>Total other</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100" w:type="dxa"/>
            <w:vAlign w:val="bottom"/>
          </w:tcPr>
          <w:p>
            <w:pPr>
              <w:ind w:left="240"/>
              <w:spacing w:after="0"/>
              <w:rPr>
                <w:sz w:val="20"/>
                <w:szCs w:val="20"/>
                <w:color w:val="auto"/>
              </w:rPr>
            </w:pPr>
            <w:r>
              <w:rPr>
                <w:rFonts w:ascii="Arial" w:cs="Arial" w:eastAsia="Arial" w:hAnsi="Arial"/>
                <w:sz w:val="20"/>
                <w:szCs w:val="20"/>
                <w:color w:val="auto"/>
              </w:rPr>
              <w:t>(expense)</w:t>
            </w: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rPr>
              <w:t>(9,030)</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(10,128)</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1,098</w:t>
            </w:r>
          </w:p>
        </w:tc>
        <w:tc>
          <w:tcPr>
            <w:tcW w:w="1040" w:type="dxa"/>
            <w:vAlign w:val="bottom"/>
            <w:gridSpan w:val="2"/>
          </w:tcPr>
          <w:p>
            <w:pPr>
              <w:jc w:val="right"/>
              <w:spacing w:after="0"/>
              <w:rPr>
                <w:sz w:val="20"/>
                <w:szCs w:val="20"/>
                <w:color w:val="auto"/>
              </w:rPr>
            </w:pPr>
            <w:r>
              <w:rPr>
                <w:rFonts w:ascii="Arial" w:cs="Arial" w:eastAsia="Arial" w:hAnsi="Arial"/>
                <w:sz w:val="20"/>
                <w:szCs w:val="20"/>
                <w:color w:val="auto"/>
              </w:rPr>
              <w:t>11 %</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20"/>
                <w:szCs w:val="20"/>
                <w:color w:val="auto"/>
              </w:rPr>
              <w:t>(20,480)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(12,464)</w:t>
            </w: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(8,016)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ind w:left="20"/>
              <w:spacing w:after="0" w:line="183" w:lineRule="exact"/>
              <w:rPr>
                <w:sz w:val="20"/>
                <w:szCs w:val="20"/>
                <w:color w:val="auto"/>
              </w:rPr>
            </w:pPr>
            <w:r>
              <w:rPr>
                <w:rFonts w:ascii="Arial" w:cs="Arial" w:eastAsia="Arial" w:hAnsi="Arial"/>
                <w:sz w:val="20"/>
                <w:szCs w:val="20"/>
                <w:color w:val="auto"/>
              </w:rPr>
              <w:t>Income (loss) before</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ind w:left="20"/>
              <w:spacing w:after="0" w:line="199" w:lineRule="exact"/>
              <w:rPr>
                <w:sz w:val="20"/>
                <w:szCs w:val="20"/>
                <w:color w:val="auto"/>
              </w:rPr>
            </w:pPr>
            <w:r>
              <w:rPr>
                <w:rFonts w:ascii="Arial" w:cs="Arial" w:eastAsia="Arial" w:hAnsi="Arial"/>
                <w:sz w:val="20"/>
                <w:szCs w:val="20"/>
                <w:color w:val="auto"/>
              </w:rPr>
              <w:t>income tax (benefit)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100" w:type="dxa"/>
            <w:vAlign w:val="bottom"/>
            <w:shd w:val="clear" w:color="auto" w:fill="CCEEFF"/>
          </w:tcPr>
          <w:p>
            <w:pPr>
              <w:ind w:left="20"/>
              <w:spacing w:after="0"/>
              <w:rPr>
                <w:sz w:val="20"/>
                <w:szCs w:val="20"/>
                <w:color w:val="auto"/>
              </w:rPr>
            </w:pPr>
            <w:r>
              <w:rPr>
                <w:rFonts w:ascii="Arial" w:cs="Arial" w:eastAsia="Arial" w:hAnsi="Arial"/>
                <w:sz w:val="20"/>
                <w:szCs w:val="20"/>
                <w:color w:val="auto"/>
              </w:rPr>
              <w:t>expense</w:t>
            </w: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87,211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(23,460)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110,671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472 %</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20"/>
                <w:szCs w:val="20"/>
                <w:color w:val="auto"/>
              </w:rPr>
              <w:t>123,219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(64,140)</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187,359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292 %</w:t>
            </w:r>
          </w:p>
        </w:tc>
        <w:tc>
          <w:tcPr>
            <w:tcW w:w="0" w:type="dxa"/>
            <w:vAlign w:val="bottom"/>
          </w:tcPr>
          <w:p>
            <w:pPr>
              <w:spacing w:after="0"/>
              <w:rPr>
                <w:sz w:val="1"/>
                <w:szCs w:val="1"/>
                <w:color w:val="auto"/>
              </w:rPr>
            </w:pPr>
          </w:p>
        </w:tc>
      </w:tr>
      <w:tr>
        <w:trPr>
          <w:trHeight w:val="189"/>
        </w:trPr>
        <w:tc>
          <w:tcPr>
            <w:tcW w:w="2100" w:type="dxa"/>
            <w:vAlign w:val="bottom"/>
          </w:tcPr>
          <w:p>
            <w:pPr>
              <w:ind w:left="20"/>
              <w:spacing w:after="0" w:line="189" w:lineRule="exact"/>
              <w:rPr>
                <w:sz w:val="20"/>
                <w:szCs w:val="20"/>
                <w:color w:val="auto"/>
              </w:rPr>
            </w:pPr>
            <w:r>
              <w:rPr>
                <w:rFonts w:ascii="Arial" w:cs="Arial" w:eastAsia="Arial" w:hAnsi="Arial"/>
                <w:sz w:val="20"/>
                <w:szCs w:val="20"/>
                <w:color w:val="auto"/>
              </w:rPr>
              <w:t>Income tax (benefit)</w:t>
            </w:r>
          </w:p>
        </w:tc>
        <w:tc>
          <w:tcPr>
            <w:tcW w:w="140" w:type="dxa"/>
            <w:vAlign w:val="bottom"/>
          </w:tcPr>
          <w:p>
            <w:pPr>
              <w:spacing w:after="0"/>
              <w:rPr>
                <w:sz w:val="16"/>
                <w:szCs w:val="16"/>
                <w:color w:val="auto"/>
              </w:rPr>
            </w:pPr>
          </w:p>
        </w:tc>
        <w:tc>
          <w:tcPr>
            <w:tcW w:w="960" w:type="dxa"/>
            <w:vAlign w:val="bottom"/>
            <w:vMerge w:val="restart"/>
          </w:tcPr>
          <w:p>
            <w:pPr>
              <w:jc w:val="right"/>
              <w:ind w:right="41"/>
              <w:spacing w:after="0"/>
              <w:rPr>
                <w:sz w:val="20"/>
                <w:szCs w:val="20"/>
                <w:color w:val="auto"/>
              </w:rPr>
            </w:pPr>
            <w:r>
              <w:rPr>
                <w:rFonts w:ascii="Arial" w:cs="Arial" w:eastAsia="Arial" w:hAnsi="Arial"/>
                <w:sz w:val="20"/>
                <w:szCs w:val="20"/>
                <w:color w:val="auto"/>
              </w:rPr>
              <w:t>22,403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vMerge w:val="restart"/>
          </w:tcPr>
          <w:p>
            <w:pPr>
              <w:jc w:val="right"/>
              <w:ind w:right="21"/>
              <w:spacing w:after="0"/>
              <w:rPr>
                <w:sz w:val="20"/>
                <w:szCs w:val="20"/>
                <w:color w:val="auto"/>
              </w:rPr>
            </w:pPr>
            <w:r>
              <w:rPr>
                <w:rFonts w:ascii="Arial" w:cs="Arial" w:eastAsia="Arial" w:hAnsi="Arial"/>
                <w:sz w:val="20"/>
                <w:szCs w:val="20"/>
                <w:color w:val="auto"/>
              </w:rPr>
              <w:t>(18,436)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40,839</w:t>
            </w:r>
          </w:p>
        </w:tc>
        <w:tc>
          <w:tcPr>
            <w:tcW w:w="1040" w:type="dxa"/>
            <w:vAlign w:val="bottom"/>
            <w:gridSpan w:val="2"/>
            <w:vMerge w:val="restart"/>
          </w:tcPr>
          <w:p>
            <w:pPr>
              <w:jc w:val="right"/>
              <w:spacing w:after="0"/>
              <w:rPr>
                <w:sz w:val="20"/>
                <w:szCs w:val="20"/>
                <w:color w:val="auto"/>
              </w:rPr>
            </w:pPr>
            <w:r>
              <w:rPr>
                <w:rFonts w:ascii="Arial" w:cs="Arial" w:eastAsia="Arial" w:hAnsi="Arial"/>
                <w:sz w:val="20"/>
                <w:szCs w:val="20"/>
                <w:color w:val="auto"/>
              </w:rPr>
              <w:t>222 %</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vMerge w:val="restart"/>
          </w:tcPr>
          <w:p>
            <w:pPr>
              <w:jc w:val="right"/>
              <w:ind w:right="21"/>
              <w:spacing w:after="0"/>
              <w:rPr>
                <w:sz w:val="20"/>
                <w:szCs w:val="20"/>
                <w:color w:val="auto"/>
              </w:rPr>
            </w:pPr>
            <w:r>
              <w:rPr>
                <w:rFonts w:ascii="Arial" w:cs="Arial" w:eastAsia="Arial" w:hAnsi="Arial"/>
                <w:sz w:val="20"/>
                <w:szCs w:val="20"/>
                <w:color w:val="auto"/>
              </w:rPr>
              <w:t>32,279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right"/>
              <w:ind w:right="41"/>
              <w:spacing w:after="0"/>
              <w:rPr>
                <w:sz w:val="20"/>
                <w:szCs w:val="20"/>
                <w:color w:val="auto"/>
              </w:rPr>
            </w:pPr>
            <w:r>
              <w:rPr>
                <w:rFonts w:ascii="Arial" w:cs="Arial" w:eastAsia="Arial" w:hAnsi="Arial"/>
                <w:sz w:val="20"/>
                <w:szCs w:val="20"/>
                <w:color w:val="auto"/>
              </w:rPr>
              <w:t>(33,179)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vMerge w:val="restart"/>
          </w:tcPr>
          <w:p>
            <w:pPr>
              <w:jc w:val="right"/>
              <w:ind w:right="1"/>
              <w:spacing w:after="0"/>
              <w:rPr>
                <w:sz w:val="20"/>
                <w:szCs w:val="20"/>
                <w:color w:val="auto"/>
              </w:rPr>
            </w:pPr>
            <w:r>
              <w:rPr>
                <w:rFonts w:ascii="Arial" w:cs="Arial" w:eastAsia="Arial" w:hAnsi="Arial"/>
                <w:sz w:val="20"/>
                <w:szCs w:val="20"/>
                <w:color w:val="auto"/>
              </w:rPr>
              <w:t>65,458</w:t>
            </w:r>
          </w:p>
        </w:tc>
        <w:tc>
          <w:tcPr>
            <w:tcW w:w="1000" w:type="dxa"/>
            <w:vAlign w:val="bottom"/>
            <w:gridSpan w:val="2"/>
            <w:vMerge w:val="restart"/>
          </w:tcPr>
          <w:p>
            <w:pPr>
              <w:jc w:val="right"/>
              <w:spacing w:after="0"/>
              <w:rPr>
                <w:sz w:val="20"/>
                <w:szCs w:val="20"/>
                <w:color w:val="auto"/>
              </w:rPr>
            </w:pPr>
            <w:r>
              <w:rPr>
                <w:rFonts w:ascii="Arial" w:cs="Arial" w:eastAsia="Arial" w:hAnsi="Arial"/>
                <w:sz w:val="20"/>
                <w:szCs w:val="20"/>
                <w:color w:val="auto"/>
              </w:rPr>
              <w:t>197 %</w:t>
            </w:r>
          </w:p>
        </w:tc>
        <w:tc>
          <w:tcPr>
            <w:tcW w:w="0" w:type="dxa"/>
            <w:vAlign w:val="bottom"/>
          </w:tcPr>
          <w:p>
            <w:pPr>
              <w:spacing w:after="0"/>
              <w:rPr>
                <w:sz w:val="1"/>
                <w:szCs w:val="1"/>
                <w:color w:val="auto"/>
              </w:rPr>
            </w:pPr>
          </w:p>
        </w:tc>
      </w:tr>
      <w:tr>
        <w:trPr>
          <w:trHeight w:val="254"/>
        </w:trPr>
        <w:tc>
          <w:tcPr>
            <w:tcW w:w="210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expense</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CCEEFF"/>
            </w:tcBorders>
            <w:gridSpan w:val="2"/>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1000" w:type="dxa"/>
            <w:vAlign w:val="bottom"/>
            <w:tcBorders>
              <w:bottom w:val="single" w:sz="8" w:color="CCEEFF"/>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64,808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69,832</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1390 %</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90,940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(30,961)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121,901</w:t>
            </w: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20"/>
                <w:szCs w:val="20"/>
                <w:color w:val="auto"/>
              </w:rPr>
              <w:t>394 %</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5" w:right="359" w:bottom="1440" w:gutter="0" w:footer="0" w:header="0"/>
        </w:sectPr>
      </w:pPr>
    </w:p>
    <w:bookmarkStart w:id="41" w:name="page42"/>
    <w:bookmarkEnd w:id="41"/>
    <w:p>
      <w:pPr>
        <w:ind w:right="800"/>
        <w:spacing w:after="0" w:line="269" w:lineRule="auto"/>
        <w:rPr>
          <w:sz w:val="20"/>
          <w:szCs w:val="20"/>
          <w:color w:val="auto"/>
        </w:rPr>
      </w:pPr>
      <w:r>
        <w:rPr>
          <w:rFonts w:ascii="Arial" w:cs="Arial" w:eastAsia="Arial" w:hAnsi="Arial"/>
          <w:sz w:val="20"/>
          <w:szCs w:val="20"/>
          <w:color w:val="auto"/>
        </w:rPr>
        <w:t>The following table provides details on our operating results by reportable segment for the respective periods (dollars in thousands):</w:t>
      </w: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gridSpan w:val="4"/>
          </w:tcPr>
          <w:p>
            <w:pPr>
              <w:jc w:val="right"/>
              <w:ind w:right="61"/>
              <w:spacing w:after="0" w:line="204" w:lineRule="exact"/>
              <w:rPr>
                <w:sz w:val="20"/>
                <w:szCs w:val="20"/>
                <w:color w:val="auto"/>
              </w:rPr>
            </w:pPr>
            <w:r>
              <w:rPr>
                <w:rFonts w:ascii="Arial" w:cs="Arial" w:eastAsia="Arial" w:hAnsi="Arial"/>
                <w:sz w:val="20"/>
                <w:szCs w:val="20"/>
                <w:b w:val="1"/>
                <w:bCs w:val="1"/>
                <w:color w:val="auto"/>
                <w:w w:val="99"/>
              </w:rPr>
              <w:t>Three Months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gridSpan w:val="3"/>
            <w:vMerge w:val="restart"/>
          </w:tcPr>
          <w:p>
            <w:pPr>
              <w:jc w:val="right"/>
              <w:ind w:right="1"/>
              <w:spacing w:after="0"/>
              <w:rPr>
                <w:sz w:val="20"/>
                <w:szCs w:val="20"/>
                <w:color w:val="auto"/>
              </w:rPr>
            </w:pPr>
            <w:r>
              <w:rPr>
                <w:rFonts w:ascii="Arial" w:cs="Arial" w:eastAsia="Arial" w:hAnsi="Arial"/>
                <w:sz w:val="20"/>
                <w:szCs w:val="20"/>
                <w:b w:val="1"/>
                <w:bCs w:val="1"/>
                <w:color w:val="auto"/>
                <w:w w:val="99"/>
              </w:rPr>
              <w:t>Increase/(Decrease)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4"/>
          </w:tcPr>
          <w:p>
            <w:pPr>
              <w:jc w:val="right"/>
              <w:ind w:right="201"/>
              <w:spacing w:after="0" w:line="204" w:lineRule="exact"/>
              <w:rPr>
                <w:sz w:val="20"/>
                <w:szCs w:val="20"/>
                <w:color w:val="auto"/>
              </w:rPr>
            </w:pPr>
            <w:r>
              <w:rPr>
                <w:rFonts w:ascii="Arial" w:cs="Arial" w:eastAsia="Arial" w:hAnsi="Arial"/>
                <w:sz w:val="20"/>
                <w:szCs w:val="20"/>
                <w:b w:val="1"/>
                <w:bCs w:val="1"/>
                <w:color w:val="auto"/>
              </w:rPr>
              <w:t>Six Months 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3"/>
            <w:vMerge w:val="restart"/>
          </w:tcPr>
          <w:p>
            <w:pPr>
              <w:jc w:val="right"/>
              <w:ind w:right="61"/>
              <w:spacing w:after="0"/>
              <w:rPr>
                <w:sz w:val="20"/>
                <w:szCs w:val="20"/>
                <w:color w:val="auto"/>
              </w:rPr>
            </w:pPr>
            <w:r>
              <w:rPr>
                <w:rFonts w:ascii="Arial" w:cs="Arial" w:eastAsia="Arial" w:hAnsi="Arial"/>
                <w:sz w:val="20"/>
                <w:szCs w:val="20"/>
                <w:b w:val="1"/>
                <w:bCs w:val="1"/>
                <w:color w:val="auto"/>
                <w:w w:val="98"/>
              </w:rPr>
              <w:t>Increase/(Decrease)</w:t>
            </w:r>
          </w:p>
        </w:tc>
        <w:tc>
          <w:tcPr>
            <w:tcW w:w="0" w:type="dxa"/>
            <w:vAlign w:val="bottom"/>
          </w:tcPr>
          <w:p>
            <w:pPr>
              <w:spacing w:after="0"/>
              <w:rPr>
                <w:sz w:val="1"/>
                <w:szCs w:val="1"/>
                <w:color w:val="auto"/>
              </w:rPr>
            </w:pPr>
          </w:p>
        </w:tc>
      </w:tr>
      <w:tr>
        <w:trPr>
          <w:trHeight w:val="256"/>
        </w:trPr>
        <w:tc>
          <w:tcPr>
            <w:tcW w:w="206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Revenue:</w:t>
            </w:r>
          </w:p>
        </w:tc>
        <w:tc>
          <w:tcPr>
            <w:tcW w:w="1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641"/>
              <w:spacing w:after="0"/>
              <w:rPr>
                <w:sz w:val="20"/>
                <w:szCs w:val="20"/>
                <w:color w:val="auto"/>
              </w:rPr>
            </w:pPr>
            <w:r>
              <w:rPr>
                <w:rFonts w:ascii="Arial" w:cs="Arial" w:eastAsia="Arial" w:hAnsi="Arial"/>
                <w:sz w:val="20"/>
                <w:szCs w:val="20"/>
                <w:b w:val="1"/>
                <w:bCs w:val="1"/>
                <w:color w:val="auto"/>
              </w:rPr>
              <w:t>June 30,</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3"/>
            <w:vMerge w:val="continue"/>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661"/>
              <w:spacing w:after="0"/>
              <w:rPr>
                <w:sz w:val="20"/>
                <w:szCs w:val="20"/>
                <w:color w:val="auto"/>
              </w:rPr>
            </w:pPr>
            <w:r>
              <w:rPr>
                <w:rFonts w:ascii="Arial" w:cs="Arial" w:eastAsia="Arial" w:hAnsi="Arial"/>
                <w:sz w:val="20"/>
                <w:szCs w:val="20"/>
                <w:b w:val="1"/>
                <w:bCs w:val="1"/>
                <w:color w:val="auto"/>
              </w:rPr>
              <w:t>June 30,</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221"/>
              <w:spacing w:after="0"/>
              <w:rPr>
                <w:sz w:val="20"/>
                <w:szCs w:val="20"/>
                <w:color w:val="auto"/>
              </w:rPr>
            </w:pPr>
            <w:r>
              <w:rPr>
                <w:rFonts w:ascii="Arial" w:cs="Arial" w:eastAsia="Arial" w:hAnsi="Arial"/>
                <w:sz w:val="20"/>
                <w:szCs w:val="20"/>
                <w:b w:val="1"/>
                <w:bCs w:val="1"/>
                <w:color w:val="auto"/>
              </w:rPr>
              <w:t>2023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221"/>
              <w:spacing w:after="0"/>
              <w:rPr>
                <w:sz w:val="20"/>
                <w:szCs w:val="20"/>
                <w:color w:val="auto"/>
              </w:rPr>
            </w:pPr>
            <w:r>
              <w:rPr>
                <w:rFonts w:ascii="Arial" w:cs="Arial" w:eastAsia="Arial" w:hAnsi="Arial"/>
                <w:sz w:val="20"/>
                <w:szCs w:val="20"/>
                <w:b w:val="1"/>
                <w:bCs w:val="1"/>
                <w:color w:val="auto"/>
              </w:rPr>
              <w:t>2022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21"/>
              <w:spacing w:after="0"/>
              <w:rPr>
                <w:sz w:val="20"/>
                <w:szCs w:val="20"/>
                <w:color w:val="auto"/>
              </w:rPr>
            </w:pPr>
            <w:r>
              <w:rPr>
                <w:rFonts w:ascii="Arial" w:cs="Arial" w:eastAsia="Arial" w:hAnsi="Arial"/>
                <w:sz w:val="20"/>
                <w:szCs w:val="20"/>
                <w:b w:val="1"/>
                <w:bCs w:val="1"/>
                <w:color w:val="auto"/>
              </w:rPr>
              <w:t>$</w:t>
            </w:r>
          </w:p>
        </w:tc>
        <w:tc>
          <w:tcPr>
            <w:tcW w:w="1000" w:type="dxa"/>
            <w:vAlign w:val="bottom"/>
            <w:gridSpan w:val="2"/>
          </w:tcPr>
          <w:p>
            <w:pPr>
              <w:jc w:val="right"/>
              <w:ind w:right="281"/>
              <w:spacing w:after="0"/>
              <w:rPr>
                <w:sz w:val="20"/>
                <w:szCs w:val="20"/>
                <w:color w:val="auto"/>
              </w:rPr>
            </w:pPr>
            <w:r>
              <w:rPr>
                <w:rFonts w:ascii="Arial" w:cs="Arial" w:eastAsia="Arial" w:hAnsi="Arial"/>
                <w:sz w:val="20"/>
                <w:szCs w:val="20"/>
                <w:b w:val="1"/>
                <w:bCs w:val="1"/>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ind w:right="221"/>
              <w:spacing w:after="0"/>
              <w:rPr>
                <w:sz w:val="20"/>
                <w:szCs w:val="20"/>
                <w:color w:val="auto"/>
              </w:rPr>
            </w:pPr>
            <w:r>
              <w:rPr>
                <w:rFonts w:ascii="Arial" w:cs="Arial" w:eastAsia="Arial" w:hAnsi="Arial"/>
                <w:sz w:val="20"/>
                <w:szCs w:val="20"/>
                <w:b w:val="1"/>
                <w:bCs w:val="1"/>
                <w:color w:val="auto"/>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jc w:val="right"/>
              <w:ind w:right="241"/>
              <w:spacing w:after="0"/>
              <w:rPr>
                <w:sz w:val="20"/>
                <w:szCs w:val="20"/>
                <w:color w:val="auto"/>
              </w:rPr>
            </w:pPr>
            <w:r>
              <w:rPr>
                <w:rFonts w:ascii="Arial" w:cs="Arial" w:eastAsia="Arial" w:hAnsi="Arial"/>
                <w:sz w:val="20"/>
                <w:szCs w:val="20"/>
                <w:b w:val="1"/>
                <w:bCs w:val="1"/>
                <w:color w:val="auto"/>
              </w:rPr>
              <w:t>2022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441"/>
              <w:spacing w:after="0"/>
              <w:rPr>
                <w:sz w:val="20"/>
                <w:szCs w:val="20"/>
                <w:color w:val="auto"/>
              </w:rPr>
            </w:pPr>
            <w:r>
              <w:rPr>
                <w:rFonts w:ascii="Arial" w:cs="Arial" w:eastAsia="Arial" w:hAnsi="Arial"/>
                <w:sz w:val="20"/>
                <w:szCs w:val="20"/>
                <w:b w:val="1"/>
                <w:bCs w:val="1"/>
                <w:color w:val="auto"/>
              </w:rPr>
              <w:t>$</w:t>
            </w:r>
          </w:p>
        </w:tc>
        <w:tc>
          <w:tcPr>
            <w:tcW w:w="980" w:type="dxa"/>
            <w:vAlign w:val="bottom"/>
            <w:gridSpan w:val="2"/>
          </w:tcPr>
          <w:p>
            <w:pPr>
              <w:jc w:val="right"/>
              <w:ind w:right="261"/>
              <w:spacing w:after="0"/>
              <w:rPr>
                <w:sz w:val="20"/>
                <w:szCs w:val="20"/>
                <w:color w:val="auto"/>
              </w:rPr>
            </w:pPr>
            <w:r>
              <w:rPr>
                <w:rFonts w:ascii="Arial" w:cs="Arial" w:eastAsia="Arial" w:hAnsi="Arial"/>
                <w:sz w:val="20"/>
                <w:szCs w:val="20"/>
                <w:b w:val="1"/>
                <w:bCs w:val="1"/>
                <w:color w:val="auto"/>
              </w:rPr>
              <w:t>%</w:t>
            </w:r>
          </w:p>
        </w:tc>
        <w:tc>
          <w:tcPr>
            <w:tcW w:w="0" w:type="dxa"/>
            <w:vAlign w:val="bottom"/>
          </w:tcPr>
          <w:p>
            <w:pPr>
              <w:spacing w:after="0"/>
              <w:rPr>
                <w:sz w:val="1"/>
                <w:szCs w:val="1"/>
                <w:color w:val="auto"/>
              </w:rPr>
            </w:pPr>
          </w:p>
        </w:tc>
      </w:tr>
      <w:tr>
        <w:trPr>
          <w:trHeight w:val="237"/>
        </w:trPr>
        <w:tc>
          <w:tcPr>
            <w:tcW w:w="2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Array</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345,261</w:t>
            </w:r>
          </w:p>
        </w:tc>
        <w:tc>
          <w:tcPr>
            <w:tcW w:w="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347,177</w:t>
            </w: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(1,916)</w:t>
            </w:r>
          </w:p>
        </w:tc>
        <w:tc>
          <w:tcPr>
            <w:tcW w:w="10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650,465</w:t>
            </w:r>
          </w:p>
        </w:tc>
        <w:tc>
          <w:tcPr>
            <w:tcW w:w="1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597,829</w:t>
            </w:r>
          </w:p>
        </w:tc>
        <w:tc>
          <w:tcPr>
            <w:tcW w:w="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52,636</w:t>
            </w:r>
          </w:p>
        </w:tc>
        <w:tc>
          <w:tcPr>
            <w:tcW w:w="8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9 %</w:t>
            </w:r>
          </w:p>
        </w:tc>
        <w:tc>
          <w:tcPr>
            <w:tcW w:w="0" w:type="dxa"/>
            <w:vAlign w:val="bottom"/>
          </w:tcPr>
          <w:p>
            <w:pPr>
              <w:spacing w:after="0"/>
              <w:rPr>
                <w:sz w:val="1"/>
                <w:szCs w:val="1"/>
                <w:color w:val="auto"/>
              </w:rPr>
            </w:pPr>
          </w:p>
        </w:tc>
      </w:tr>
      <w:tr>
        <w:trPr>
          <w:trHeight w:val="257"/>
        </w:trPr>
        <w:tc>
          <w:tcPr>
            <w:tcW w:w="206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STI</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162,464</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72,688</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89,776</w:t>
            </w:r>
          </w:p>
        </w:tc>
        <w:tc>
          <w:tcPr>
            <w:tcW w:w="100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124 %</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234,033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122,622</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111,411</w:t>
            </w:r>
          </w:p>
        </w:tc>
        <w:tc>
          <w:tcPr>
            <w:tcW w:w="980" w:type="dxa"/>
            <w:vAlign w:val="bottom"/>
            <w:tcBorders>
              <w:bottom w:val="single" w:sz="8" w:color="CCEEFF"/>
            </w:tcBorders>
            <w:gridSpan w:val="2"/>
          </w:tcPr>
          <w:p>
            <w:pPr>
              <w:jc w:val="right"/>
              <w:spacing w:after="0"/>
              <w:rPr>
                <w:sz w:val="20"/>
                <w:szCs w:val="20"/>
                <w:color w:val="auto"/>
              </w:rPr>
            </w:pPr>
            <w:r>
              <w:rPr>
                <w:rFonts w:ascii="Arial" w:cs="Arial" w:eastAsia="Arial" w:hAnsi="Arial"/>
                <w:sz w:val="20"/>
                <w:szCs w:val="20"/>
                <w:color w:val="auto"/>
              </w:rPr>
              <w:t>91 %</w:t>
            </w: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507,725</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419,865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87,860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884,498</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720,451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164,047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23 %</w:t>
            </w:r>
          </w:p>
        </w:tc>
        <w:tc>
          <w:tcPr>
            <w:tcW w:w="0" w:type="dxa"/>
            <w:vAlign w:val="bottom"/>
          </w:tcPr>
          <w:p>
            <w:pPr>
              <w:spacing w:after="0"/>
              <w:rPr>
                <w:sz w:val="1"/>
                <w:szCs w:val="1"/>
                <w:color w:val="auto"/>
              </w:rPr>
            </w:pPr>
          </w:p>
        </w:tc>
      </w:tr>
      <w:tr>
        <w:trPr>
          <w:trHeight w:val="237"/>
        </w:trPr>
        <w:tc>
          <w:tcPr>
            <w:tcW w:w="2060" w:type="dxa"/>
            <w:vAlign w:val="bottom"/>
          </w:tcPr>
          <w:p>
            <w:pPr>
              <w:ind w:left="20"/>
              <w:spacing w:after="0"/>
              <w:rPr>
                <w:sz w:val="20"/>
                <w:szCs w:val="20"/>
                <w:color w:val="auto"/>
              </w:rPr>
            </w:pPr>
            <w:r>
              <w:rPr>
                <w:rFonts w:ascii="Arial" w:cs="Arial" w:eastAsia="Arial" w:hAnsi="Arial"/>
                <w:sz w:val="20"/>
                <w:szCs w:val="20"/>
                <w:b w:val="1"/>
                <w:bCs w:val="1"/>
                <w:color w:val="auto"/>
              </w:rPr>
              <w:t>Gross Profit</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60" w:type="dxa"/>
            <w:vAlign w:val="bottom"/>
            <w:shd w:val="clear" w:color="auto" w:fill="CCEEFF"/>
          </w:tcPr>
          <w:p>
            <w:pPr>
              <w:ind w:left="20"/>
              <w:spacing w:after="0"/>
              <w:rPr>
                <w:sz w:val="20"/>
                <w:szCs w:val="20"/>
                <w:color w:val="auto"/>
              </w:rPr>
            </w:pPr>
            <w:r>
              <w:rPr>
                <w:rFonts w:ascii="Arial" w:cs="Arial" w:eastAsia="Arial" w:hAnsi="Arial"/>
                <w:sz w:val="20"/>
                <w:szCs w:val="20"/>
                <w:color w:val="auto"/>
              </w:rPr>
              <w:t>Array</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106,590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33,840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72,750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215 %</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190,064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55,108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1"/>
              <w:spacing w:after="0"/>
              <w:rPr>
                <w:sz w:val="20"/>
                <w:szCs w:val="20"/>
                <w:color w:val="auto"/>
              </w:rPr>
            </w:pPr>
            <w:r>
              <w:rPr>
                <w:rFonts w:ascii="Arial" w:cs="Arial" w:eastAsia="Arial" w:hAnsi="Arial"/>
                <w:sz w:val="20"/>
                <w:szCs w:val="20"/>
                <w:color w:val="auto"/>
              </w:rPr>
              <w:t>134,956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245 %</w:t>
            </w:r>
          </w:p>
        </w:tc>
        <w:tc>
          <w:tcPr>
            <w:tcW w:w="0" w:type="dxa"/>
            <w:vAlign w:val="bottom"/>
          </w:tcPr>
          <w:p>
            <w:pPr>
              <w:spacing w:after="0"/>
              <w:rPr>
                <w:sz w:val="1"/>
                <w:szCs w:val="1"/>
                <w:color w:val="auto"/>
              </w:rPr>
            </w:pPr>
          </w:p>
        </w:tc>
      </w:tr>
      <w:tr>
        <w:trPr>
          <w:trHeight w:val="257"/>
        </w:trPr>
        <w:tc>
          <w:tcPr>
            <w:tcW w:w="2060" w:type="dxa"/>
            <w:vAlign w:val="bottom"/>
          </w:tcPr>
          <w:p>
            <w:pPr>
              <w:ind w:left="20"/>
              <w:spacing w:after="0"/>
              <w:rPr>
                <w:sz w:val="20"/>
                <w:szCs w:val="20"/>
                <w:color w:val="auto"/>
              </w:rPr>
            </w:pPr>
            <w:r>
              <w:rPr>
                <w:rFonts w:ascii="Arial" w:cs="Arial" w:eastAsia="Arial" w:hAnsi="Arial"/>
                <w:sz w:val="20"/>
                <w:szCs w:val="20"/>
                <w:color w:val="auto"/>
              </w:rPr>
              <w:t>STI</w:t>
            </w: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43,452</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6,106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37,346</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612 %</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61,157</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11,425</w:t>
            </w:r>
          </w:p>
        </w:tc>
        <w:tc>
          <w:tcPr>
            <w:tcW w:w="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color w:val="auto"/>
              </w:rPr>
              <w:t>49,732</w:t>
            </w:r>
          </w:p>
        </w:tc>
        <w:tc>
          <w:tcPr>
            <w:tcW w:w="980" w:type="dxa"/>
            <w:vAlign w:val="bottom"/>
            <w:gridSpan w:val="2"/>
          </w:tcPr>
          <w:p>
            <w:pPr>
              <w:jc w:val="right"/>
              <w:spacing w:after="0"/>
              <w:rPr>
                <w:sz w:val="20"/>
                <w:szCs w:val="20"/>
                <w:color w:val="auto"/>
              </w:rPr>
            </w:pPr>
            <w:r>
              <w:rPr>
                <w:rFonts w:ascii="Arial" w:cs="Arial" w:eastAsia="Arial" w:hAnsi="Arial"/>
                <w:sz w:val="20"/>
                <w:szCs w:val="20"/>
                <w:color w:val="auto"/>
              </w:rPr>
              <w:t>435 %</w:t>
            </w:r>
          </w:p>
        </w:tc>
        <w:tc>
          <w:tcPr>
            <w:tcW w:w="0" w:type="dxa"/>
            <w:vAlign w:val="bottom"/>
          </w:tcPr>
          <w:p>
            <w:pPr>
              <w:spacing w:after="0"/>
              <w:rPr>
                <w:sz w:val="1"/>
                <w:szCs w:val="1"/>
                <w:color w:val="auto"/>
              </w:rPr>
            </w:pPr>
          </w:p>
        </w:tc>
      </w:tr>
      <w:tr>
        <w:trPr>
          <w:trHeight w:val="250"/>
        </w:trPr>
        <w:tc>
          <w:tcPr>
            <w:tcW w:w="206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Gross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150,042</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39,946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110,096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276 %</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251,221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66,533</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20"/>
                <w:szCs w:val="20"/>
                <w:color w:val="auto"/>
              </w:rPr>
              <w:t>184,688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278 %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three months ended June 30, 2023 and 2022</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Consolidated revenue increased $87.9 million, or 21%, driven by an increase in STI Operations of 124%, which more than offset a slight decline of 1% in Array Legacy Operations.</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1% revenue decrease in Array Legacy Operations was driven by an 8% reduction in the number of MWs shipped due to project delays. The reduction in MWs was partially offset by an increase in ASP of 8%.</w:t>
      </w:r>
    </w:p>
    <w:p>
      <w:pPr>
        <w:spacing w:after="0" w:line="202" w:lineRule="exact"/>
        <w:rPr>
          <w:sz w:val="20"/>
          <w:szCs w:val="20"/>
          <w:color w:val="auto"/>
        </w:rPr>
      </w:pPr>
    </w:p>
    <w:p>
      <w:pPr>
        <w:jc w:val="both"/>
        <w:spacing w:after="0" w:line="317" w:lineRule="auto"/>
        <w:rPr>
          <w:sz w:val="20"/>
          <w:szCs w:val="20"/>
          <w:color w:val="auto"/>
        </w:rPr>
      </w:pPr>
      <w:r>
        <w:rPr>
          <w:rFonts w:ascii="Arial" w:cs="Arial" w:eastAsia="Arial" w:hAnsi="Arial"/>
          <w:sz w:val="19"/>
          <w:szCs w:val="19"/>
          <w:color w:val="auto"/>
        </w:rPr>
        <w:t>The $89.8 million, or 124% revenue increase in STI Operations was driven by an increase in the number of megawatts shipped, most notably in the Brazil region, which offset lower ASP due to a smaller percentage of construction services being offered.</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Consolidated cost of revenue decreased $22.2 million, or 6%, driven primarily by lower input costs.</w:t>
      </w:r>
    </w:p>
    <w:p>
      <w:pPr>
        <w:spacing w:after="0" w:line="270"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gross profit increased $110.1 million, or 276%. As a percentage of revenue, consolidated gross profit increased to 30% for the three months ended June 30, 2023, as compared to 9.5% for the prior year. The increase was driven by higher STI Operations volume and an increase in gross profit as a percent of revenue in both operating segments.</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Legacy Operations gross profit increased $72.8 million, or 215%. As a percentage of revenue, gross profit increased to 31% from 10% for the three months ended June 30, 2023 and 2022, respectively. The increase in gross profit as a percent of revenue was driven by an improvement in pass through pricing to customers, in addition to cost savings opportunities in logistics and raw materials, as well as a higher proportion of higher margin non-tracker revenue.</w:t>
      </w:r>
    </w:p>
    <w:p>
      <w:pPr>
        <w:spacing w:after="0" w:line="21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STI Operations gross profit increased $37.3 million, or 612%. As a percentage of revenue, gross profit for STI Operations increased to 27% from 8% for the three months ended June 30, 2023 and 2022, respectively, driven primarily by improved pass through pricing, cost savings opportunities on raw materials and a reduced impact of lower margin construction related services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general and administrative expenses increased by $11.3 million, or 39%. The increase was driven by higher payroll related expenses incurred to increase headcount in support of our growth and innovation strategy and higher professional fees for accounting and SOX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contingent consideration expense increased by $2.4 million, or 142% as a result of the increased valuation of the TRA liability, which was driven by a decrease in the credit spread used in the valuation, consistent with the overall downward trend of credit spreads subsequent to 2022.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depreciation and amortization decreased by $13.2 million or 51% due to the decrease in the amortization of intangibles of $13.4 million, as the backlog related to the STI Acquisition had a one-year life and was fully amortized as of January 11, 2023.</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interest expense decreased by $2.1 million, or 26%, primarily due to increased variable interest rates charged on our Term Loan Facility as well as the write off of $1.1 million of non-cash interest expense related to the accelerated principle payments made against the outstanding Term Loan balance.</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We expect interest expense to be higher for the remainder of 2023 compared to 2022 as a result of continued higher variable interest rates.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Consolidated income tax increased by $40.8 million, or 222%. The Company recorded income tax expense of $22.4 million for the three months ended June 30, 2023, compared to a benefit of $18.4 million for the three months ended June 30, 2022. Our effective tax rate was 25.7% for the three months ended June 30, 2023 and 78.6% for the three months ended June 30, 2022. The tax expense for the three months ended June 30, 2023 was unfavorably impacted by higher income reported in non-U.S. jurisdictions and an increase in income tax expense related to the Purchasers’ delayed draw commitment under the Securities Purchase Agreement for the Series A Shares (the “Put Option”), partially offset by benefits related to excess stock compensation deductions recorded discretely during the quarter. The tax benefit for the three months ended June 30, 2022 was favorably impacted by losses in non-U.S. jurisdictions which have higher tax rates than the U.S., partially offset by non-deductible expenses.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Consolidated net income increased $69.8 million, or 1390%, driven by a $87.9 million increase in consolidated revenue, a 276% increase in consolidated gross profit, partially offset by a $40.8 million increase in income tax expense.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Comparison of the six months ended June 30,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Consolidated revenue increased $164.0 million, or 23%, driven by increases in both Array Legacy Operations and STI Operations of $52.6 million and $111.4 million, respectively.</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43" w:name="page44"/>
    <w:bookmarkEnd w:id="43"/>
    <w:p>
      <w:pPr>
        <w:spacing w:after="0" w:line="1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The $52.6 million, or 9% revenue increase in Array Legacy Operations was driven by an increase in ASP of 11%, as a result of pass-through pricing to our customers, which was offset by a 2% decrease in MWs shipped.</w:t>
      </w:r>
    </w:p>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$111.4 million, or 91% revenue increase in STI Operations was driven by an increase in the number of megawatts shipped, most notably in the Brazil region, which offset lower ASP due to a smaller percentage of construction services being offered.</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Cost of Revenue and Gross Profit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color w:val="auto"/>
        </w:rPr>
        <w:t>Consolidated cost of revenue decreased $20.6 million, or 3%, driven primarily by lower input costs.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gross profit increased $184.7 million, or 278%. As a percentage of revenue, consolidated gross profit increased to 28% for the three and six months ended June 30, 2023, as compared to 9% for the prior year. The increase in gross profit dollars was driven by both higher volume and an increase in gross profit as a percent of revenue in both operating segments.</w:t>
      </w:r>
    </w:p>
    <w:p>
      <w:pPr>
        <w:spacing w:after="0" w:line="206"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Array Legacy Operations gross profit increased $135.0 million, or 245%. As a percentage of revenue, gross profit at Array Legacy increased to 29% from 9% for the six months ended June 30, 2023 and 2022, respectively. The increase in gross profit as a percent of revenue was driven by an improvement in pass through pricing to customers, in addition to cost savings opportunities in logistics and raw materials as well as higher proportion of higher margin non-tracker revenue.</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STI Operations gross profit increased $49.7 million, or 435.3%. As a percentage of revenue, gross profit for STI Operations increased to 26% from 9% for the six months ended June 30, 2023 and 2022, respectively, driven primarily by improved pass through pricing and a reduced impact of lower margin construction related services provided.</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General and Administrative</w:t>
      </w:r>
    </w:p>
    <w:p>
      <w:pPr>
        <w:spacing w:after="0" w:line="127"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Consolidated general and administrative expenses increased by $4.0 million, or 5%. The increase was driven by higher payroll and related expenses incurred to increase headcount in support of our growth and innovation strategy, as well as higher professional fees for accounting and SOX initiatives. These increases were partially offset by no acquisition related expenses in 2023 compared to expenses related to the acquisition of STI in 2022.</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Contingent Consideration</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contingent consideration expense increased by $7.5 million, or 138% as a result of the increased valuation of the TRA liability, which was driven by a decrease in the credit spread used in the valuation, consistent with the overall downward trend of credit spreads subsequent to 2022.</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Depreciation and Amortization</w:t>
      </w:r>
    </w:p>
    <w:p>
      <w:pPr>
        <w:spacing w:after="0" w:line="12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depreciation and amortization decreased by $22.2 million or 45% due to the decrease in the amortization of intangibles of $22.7 million, as the backlog intangible asset related to the STI Acquisition had a one-year life and was fully amortized as of January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rPr>
          <w:sz w:val="20"/>
          <w:szCs w:val="20"/>
          <w:color w:val="auto"/>
        </w:rPr>
      </w:pPr>
      <w:r>
        <w:rPr>
          <w:rFonts w:ascii="Arial" w:cs="Arial" w:eastAsia="Arial" w:hAnsi="Arial"/>
          <w:sz w:val="20"/>
          <w:szCs w:val="20"/>
          <w:b w:val="1"/>
          <w:bCs w:val="1"/>
          <w:i w:val="1"/>
          <w:iCs w:val="1"/>
          <w:color w:val="auto"/>
        </w:rPr>
        <w:t>Interest Expense</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Consolidated interest expense decreased by $4.6 million, or 31%, primarily due to increased variable interest rates charged on our Term Loan Facility as well as the write off of $1.7 million of non-cash interest expense related to the accelerated principle payments made against the outstanding Term Loan balance.</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Income Tax Expense (Benefit)</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Consolidated income tax increased by $65.5 million, or 197%. The Company recorded income tax expense of $32.3 million for the six months ended June 30, 2023 compared to a benefit of $33.2 million for the six months ended June 30, 2022. Our effective tax rate was 26.2% for the six months ended June 30, 2023 and 51.7% for the six months ended June 30, 2022. The tax expense for the six months ended June 30, 2023 was unfavorably impacted by higher income reported in non-U.S. jurisdictions and an increase in income tax expense related to the Put Option, partially offset by benefits related to excess stock compensation deductions recorded discretely during the quarter. The tax benefit for the six months ended June 30, 2022 was favorably impacted by losses in non-U.S. jurisdictions which have higher tax rates than the U.S., partially offset by non-deductible expenses.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Net Income</w:t>
      </w:r>
    </w:p>
    <w:p>
      <w:pPr>
        <w:spacing w:after="0" w:line="145"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auto"/>
        </w:rPr>
        <w:t>Consolidated net income increased $121.9 million, or 394%, driven by a $164.0 million increase in consolidated revenue, a 278% increase in consolidated gross profit margin and an $10.7 million reduction in operating expenses, partially offset by a $65.5 million increase in income tax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6520" w:type="dxa"/>
            <w:vAlign w:val="bottom"/>
          </w:tcPr>
          <w:p>
            <w:pPr>
              <w:spacing w:after="0"/>
              <w:rPr>
                <w:sz w:val="20"/>
                <w:szCs w:val="20"/>
                <w:color w:val="auto"/>
              </w:rPr>
            </w:pPr>
            <w:r>
              <w:rPr>
                <w:rFonts w:ascii="Arial" w:cs="Arial" w:eastAsia="Arial" w:hAnsi="Arial"/>
                <w:sz w:val="20"/>
                <w:szCs w:val="20"/>
                <w:b w:val="1"/>
                <w:bCs w:val="1"/>
                <w:color w:val="auto"/>
              </w:rPr>
              <w:t>Liquidity and Capital Resources</w:t>
            </w:r>
          </w:p>
        </w:tc>
        <w:tc>
          <w:tcPr>
            <w:tcW w:w="1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520" w:type="dxa"/>
            <w:vAlign w:val="bottom"/>
          </w:tcPr>
          <w:p>
            <w:pPr>
              <w:spacing w:after="0"/>
              <w:rPr>
                <w:sz w:val="20"/>
                <w:szCs w:val="20"/>
                <w:color w:val="auto"/>
              </w:rPr>
            </w:pPr>
            <w:r>
              <w:rPr>
                <w:rFonts w:ascii="Arial" w:cs="Arial" w:eastAsia="Arial" w:hAnsi="Arial"/>
                <w:sz w:val="20"/>
                <w:szCs w:val="20"/>
                <w:b w:val="1"/>
                <w:bCs w:val="1"/>
                <w:color w:val="auto"/>
              </w:rPr>
              <w:t xml:space="preserve">Cash Flows </w:t>
            </w:r>
            <w:r>
              <w:rPr>
                <w:rFonts w:ascii="Arial" w:cs="Arial" w:eastAsia="Arial" w:hAnsi="Arial"/>
                <w:sz w:val="20"/>
                <w:szCs w:val="20"/>
                <w:i w:val="1"/>
                <w:iCs w:val="1"/>
                <w:color w:val="auto"/>
              </w:rPr>
              <w:t>(in thousands)</w:t>
            </w:r>
          </w:p>
        </w:tc>
        <w:tc>
          <w:tcPr>
            <w:tcW w:w="3820" w:type="dxa"/>
            <w:vAlign w:val="bottom"/>
            <w:gridSpan w:val="4"/>
            <w:vMerge w:val="restart"/>
          </w:tcPr>
          <w:p>
            <w:pPr>
              <w:jc w:val="right"/>
              <w:ind w:right="81"/>
              <w:spacing w:after="0"/>
              <w:rPr>
                <w:sz w:val="20"/>
                <w:szCs w:val="20"/>
                <w:color w:val="auto"/>
              </w:rPr>
            </w:pPr>
            <w:r>
              <w:rPr>
                <w:rFonts w:ascii="Arial" w:cs="Arial" w:eastAsia="Arial" w:hAnsi="Arial"/>
                <w:sz w:val="20"/>
                <w:szCs w:val="20"/>
                <w:b w:val="1"/>
                <w:bCs w:val="1"/>
                <w:color w:val="auto"/>
              </w:rPr>
              <w:t>Six Months Ended June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3820" w:type="dxa"/>
            <w:vAlign w:val="bottom"/>
            <w:tcBorders>
              <w:bottom w:val="single" w:sz="8" w:color="auto"/>
            </w:tcBorders>
            <w:gridSpan w:val="4"/>
            <w:vMerge w:val="continue"/>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2023</w:t>
            </w: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2022</w:t>
            </w:r>
          </w:p>
        </w:tc>
        <w:tc>
          <w:tcPr>
            <w:tcW w:w="9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provided by (used in) operating activities</w:t>
            </w:r>
          </w:p>
        </w:tc>
        <w:tc>
          <w:tcPr>
            <w:tcW w:w="1460" w:type="dxa"/>
            <w:vAlign w:val="bottom"/>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66,356</w:t>
            </w:r>
          </w:p>
        </w:tc>
        <w:tc>
          <w:tcPr>
            <w:tcW w:w="1500" w:type="dxa"/>
            <w:vAlign w:val="bottom"/>
            <w:gridSpan w:val="2"/>
            <w:shd w:val="clear" w:color="auto" w:fill="CCEEFF"/>
          </w:tcPr>
          <w:p>
            <w:pPr>
              <w:jc w:val="right"/>
              <w:ind w:right="1181"/>
              <w:spacing w:after="0"/>
              <w:rPr>
                <w:sz w:val="20"/>
                <w:szCs w:val="20"/>
                <w:color w:val="auto"/>
              </w:rPr>
            </w:pPr>
            <w:r>
              <w:rPr>
                <w:rFonts w:ascii="Arial" w:cs="Arial" w:eastAsia="Arial" w:hAnsi="Arial"/>
                <w:sz w:val="20"/>
                <w:szCs w:val="20"/>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(60,764)</w:t>
            </w:r>
          </w:p>
        </w:tc>
        <w:tc>
          <w:tcPr>
            <w:tcW w:w="0" w:type="dxa"/>
            <w:vAlign w:val="bottom"/>
          </w:tcPr>
          <w:p>
            <w:pPr>
              <w:spacing w:after="0"/>
              <w:rPr>
                <w:sz w:val="1"/>
                <w:szCs w:val="1"/>
                <w:color w:val="auto"/>
              </w:rPr>
            </w:pPr>
          </w:p>
        </w:tc>
      </w:tr>
      <w:tr>
        <w:trPr>
          <w:trHeight w:val="279"/>
        </w:trPr>
        <w:tc>
          <w:tcPr>
            <w:tcW w:w="6520" w:type="dxa"/>
            <w:vAlign w:val="bottom"/>
          </w:tcPr>
          <w:p>
            <w:pPr>
              <w:ind w:left="20"/>
              <w:spacing w:after="0"/>
              <w:rPr>
                <w:sz w:val="20"/>
                <w:szCs w:val="20"/>
                <w:color w:val="auto"/>
              </w:rPr>
            </w:pPr>
            <w:r>
              <w:rPr>
                <w:rFonts w:ascii="Arial" w:cs="Arial" w:eastAsia="Arial" w:hAnsi="Arial"/>
                <w:sz w:val="20"/>
                <w:szCs w:val="20"/>
                <w:color w:val="auto"/>
              </w:rPr>
              <w:t>Net cash used in investing activities</w:t>
            </w:r>
          </w:p>
        </w:tc>
        <w:tc>
          <w:tcPr>
            <w:tcW w:w="14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20"/>
                <w:szCs w:val="20"/>
                <w:color w:val="auto"/>
              </w:rPr>
              <w:t>(9,424)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20"/>
                <w:szCs w:val="20"/>
                <w:color w:val="auto"/>
              </w:rPr>
              <w:t>(377,713)</w:t>
            </w:r>
          </w:p>
        </w:tc>
        <w:tc>
          <w:tcPr>
            <w:tcW w:w="0" w:type="dxa"/>
            <w:vAlign w:val="bottom"/>
          </w:tcPr>
          <w:p>
            <w:pPr>
              <w:spacing w:after="0"/>
              <w:rPr>
                <w:sz w:val="1"/>
                <w:szCs w:val="1"/>
                <w:color w:val="auto"/>
              </w:rPr>
            </w:pPr>
          </w:p>
        </w:tc>
      </w:tr>
      <w:tr>
        <w:trPr>
          <w:trHeight w:val="288"/>
        </w:trPr>
        <w:tc>
          <w:tcPr>
            <w:tcW w:w="6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Net cash (used in) provided by financing activities</w:t>
            </w:r>
          </w:p>
        </w:tc>
        <w:tc>
          <w:tcPr>
            <w:tcW w:w="14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(39,314)</w:t>
            </w:r>
          </w:p>
        </w:tc>
        <w:tc>
          <w:tcPr>
            <w:tcW w:w="1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122,697</w:t>
            </w:r>
          </w:p>
        </w:tc>
        <w:tc>
          <w:tcPr>
            <w:tcW w:w="0" w:type="dxa"/>
            <w:vAlign w:val="bottom"/>
          </w:tcPr>
          <w:p>
            <w:pPr>
              <w:spacing w:after="0"/>
              <w:rPr>
                <w:sz w:val="1"/>
                <w:szCs w:val="1"/>
                <w:color w:val="auto"/>
              </w:rPr>
            </w:pPr>
          </w:p>
        </w:tc>
      </w:tr>
      <w:tr>
        <w:trPr>
          <w:trHeight w:val="265"/>
        </w:trPr>
        <w:tc>
          <w:tcPr>
            <w:tcW w:w="6520" w:type="dxa"/>
            <w:vAlign w:val="bottom"/>
          </w:tcPr>
          <w:p>
            <w:pPr>
              <w:ind w:left="20"/>
              <w:spacing w:after="0"/>
              <w:rPr>
                <w:sz w:val="20"/>
                <w:szCs w:val="20"/>
                <w:color w:val="auto"/>
              </w:rPr>
            </w:pPr>
            <w:r>
              <w:rPr>
                <w:rFonts w:ascii="Arial" w:cs="Arial" w:eastAsia="Arial" w:hAnsi="Arial"/>
                <w:sz w:val="20"/>
                <w:szCs w:val="20"/>
                <w:color w:val="auto"/>
              </w:rPr>
              <w:t>Effect of exchange rate changes on cash and cash equivalents</w:t>
            </w:r>
          </w:p>
        </w:tc>
        <w:tc>
          <w:tcPr>
            <w:tcW w:w="1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4,447</w:t>
            </w:r>
          </w:p>
        </w:tc>
        <w:tc>
          <w:tcPr>
            <w:tcW w:w="10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(844)</w:t>
            </w:r>
          </w:p>
        </w:tc>
        <w:tc>
          <w:tcPr>
            <w:tcW w:w="0" w:type="dxa"/>
            <w:vAlign w:val="bottom"/>
          </w:tcPr>
          <w:p>
            <w:pPr>
              <w:spacing w:after="0"/>
              <w:rPr>
                <w:sz w:val="1"/>
                <w:szCs w:val="1"/>
                <w:color w:val="auto"/>
              </w:rPr>
            </w:pPr>
          </w:p>
        </w:tc>
      </w:tr>
      <w:tr>
        <w:trPr>
          <w:trHeight w:val="307"/>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Net change in cash and cash equivalents</w:t>
            </w:r>
          </w:p>
        </w:tc>
        <w:tc>
          <w:tcPr>
            <w:tcW w:w="1460" w:type="dxa"/>
            <w:vAlign w:val="bottom"/>
            <w:tcBorders>
              <w:bottom w:val="single" w:sz="8" w:color="CCEEFF"/>
            </w:tcBorders>
            <w:shd w:val="clear" w:color="auto" w:fill="CCEEFF"/>
          </w:tcPr>
          <w:p>
            <w:pPr>
              <w:jc w:val="right"/>
              <w:ind w:right="1221"/>
              <w:spacing w:after="0"/>
              <w:rPr>
                <w:sz w:val="20"/>
                <w:szCs w:val="20"/>
                <w:color w:val="auto"/>
              </w:rPr>
            </w:pPr>
            <w:r>
              <w:rPr>
                <w:rFonts w:ascii="Arial" w:cs="Arial" w:eastAsia="Arial" w:hAnsi="Arial"/>
                <w:sz w:val="20"/>
                <w:szCs w:val="20"/>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22,065</w:t>
            </w:r>
          </w:p>
        </w:tc>
        <w:tc>
          <w:tcPr>
            <w:tcW w:w="1500" w:type="dxa"/>
            <w:vAlign w:val="bottom"/>
            <w:tcBorders>
              <w:bottom w:val="single" w:sz="8" w:color="CCEEFF"/>
            </w:tcBorders>
            <w:gridSpan w:val="2"/>
            <w:shd w:val="clear" w:color="auto" w:fill="CCEEFF"/>
          </w:tcPr>
          <w:p>
            <w:pPr>
              <w:jc w:val="right"/>
              <w:ind w:right="1201"/>
              <w:spacing w:after="0"/>
              <w:rPr>
                <w:sz w:val="20"/>
                <w:szCs w:val="20"/>
                <w:color w:val="auto"/>
              </w:rPr>
            </w:pPr>
            <w:r>
              <w:rPr>
                <w:rFonts w:ascii="Arial" w:cs="Arial" w:eastAsia="Arial" w:hAnsi="Arial"/>
                <w:sz w:val="20"/>
                <w:szCs w:val="20"/>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(316,624)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have historically financed our operations primarily with the proceeds from contributions, operating cash flows and short and long-term borrowings. Our ability to generate positive cash flow from operations is dependent on the strength our gross margins as well as our ability to quickly turn our working capital. Based on our past performance and current expectations, we believe that operating cash flows will be sufficient to meet our future cash needs.</w:t>
      </w:r>
    </w:p>
    <w:p>
      <w:pPr>
        <w:spacing w:after="0" w:line="213"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As of June 30, 2023, our cash balance was $156.0 million, of which $60.7 million was held outside the U.S., and net working capital was $473.3 million. We had outstanding borrowings of $290.3 million under our $575 million Term Loan Facility and $173.3 million available to us under our $200 million Revolving Credit Facility.</w:t>
      </w:r>
    </w:p>
    <w:p>
      <w:pPr>
        <w:spacing w:after="0" w:line="20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Company continually monitors and reviews its liquidity position and funding needs. Management believes that the Company’s ability to generate operating cash flows in the future and available borrowing capacity under its Senior Secured Credit Facility will be sufficient to meet its future liquidity needs.</w:t>
      </w:r>
    </w:p>
    <w:p>
      <w:pPr>
        <w:sectPr>
          <w:pgSz w:w="11900" w:h="16838" w:orient="portrait"/>
          <w:cols w:equalWidth="0" w:num="1">
            <w:col w:w="11240"/>
          </w:cols>
          <w:pgMar w:left="320" w:top="120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20"/>
          <w:szCs w:val="20"/>
          <w:b w:val="1"/>
          <w:bCs w:val="1"/>
          <w:i w:val="1"/>
          <w:iCs w:val="1"/>
          <w:color w:val="auto"/>
        </w:rPr>
        <w:t>Operating Activities</w:t>
      </w:r>
    </w:p>
    <w:p>
      <w:pPr>
        <w:spacing w:after="0" w:line="131" w:lineRule="exact"/>
        <w:rPr>
          <w:sz w:val="20"/>
          <w:szCs w:val="20"/>
          <w:color w:val="auto"/>
        </w:rPr>
      </w:pPr>
    </w:p>
    <w:p>
      <w:pPr>
        <w:jc w:val="both"/>
        <w:spacing w:after="0" w:line="266" w:lineRule="auto"/>
        <w:rPr>
          <w:sz w:val="20"/>
          <w:szCs w:val="20"/>
          <w:color w:val="auto"/>
        </w:rPr>
      </w:pPr>
      <w:r>
        <w:rPr>
          <w:rFonts w:ascii="Arial" w:cs="Arial" w:eastAsia="Arial" w:hAnsi="Arial"/>
          <w:sz w:val="20"/>
          <w:szCs w:val="20"/>
          <w:color w:val="auto"/>
        </w:rPr>
        <w:t>For the six months ended June 30, 2023, cash provided by operating activities was $66.4 million, of which $139.9 million was generated from net income as adjusted for the impact of non-cash expenses, consisting primarily of deferred tax expense, depreciation and amortization, equity-based compensation and both a $30.5 million increase in accounts payable and a $22.8 million decrease in inventory. These increases were partially offset by an $81.0 million increase in accounts receivable and a $64.1 million decrease in deferred revenue.</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For the six months ended June 30, 2022, cash used in operating activities was $60.8 million, primarily due to an increase in accounts receivable and inventories of $106.5 million and $77.2 million, respectively. Inventories increased as a result of a build up of product due to supply chain difficulties and accounts receivable is higher due to higher sales. This increase was offset in part by an increase in accounts payable of $74.5 million due to higher expenses associated with increased sales.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Investing Activities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For the six months ended June 30, 2023, net cash used in investing activities was $9.4 million, all of which was related to the purchase of property, plant and equipment.</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For the six months ended June 30, 2022, net cash used in investing activities was $377.7 million, primarily due to cash used in the STI Acquisition.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Financing Activities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For the six months ended June 30, 2023, net cash used by financing activities was $39.3 million, driven primarily by $22.2 million in payments on our Term Loan and a $14.5 million net reduction of other debt.</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For the six months ended June 30, 2022, net cash provided by financing activities was $122.7 million, of which $101.0 million related to proceeds under the Revolving Facility and $48.4 million related to proceeds from the Additional Closing in January 2022 offset by payments of $33.0 million on the Revolving Facility.</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Series A Redeemable Perpetual Preferred Stock</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On August 10, 2021, we entered into a Securities Purchase Agreement (the “Securities Purchase Agreement”) with certain investors (the “Purchasers”). Pursuant to the Securities Purchase Agreement, on August 11, 2021, we issued and sold to the Purchaser 350,000 shares of a newly designated Series A Redeemable Perpetual Preferred Stock, par value $0.001 per share (the “Series A Shares”), having the powers, designations, preferences, and other rights set forth in the Certificate of Designations, and 7,098,765 shares of our common stock, par value $0.001 per share, for an aggregate purchase price of $346.0 million. Further, pursuant to the Securities Purchase Agreement, and subject to the terms and conditions set forth therein, as amended, we have issued and sold to the Purchasers 776,235 shares of common stock for an aggregate purchase price of $776.</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In January 2022, we issued 50,000 of Series A Shares, and 1,125,000 shares of our common stock in an Additional Closing for an aggregate purchase price of $49,376,125.</w:t>
      </w:r>
    </w:p>
    <w:p>
      <w:pPr>
        <w:spacing w:after="0" w:line="215"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For more information related to the Series A Shares, see </w:t>
      </w:r>
      <w:r>
        <w:rPr>
          <w:rFonts w:ascii="Arial" w:cs="Arial" w:eastAsia="Arial" w:hAnsi="Arial"/>
          <w:sz w:val="20"/>
          <w:szCs w:val="20"/>
          <w:u w:val="single" w:color="auto"/>
          <w:color w:val="0000FF"/>
        </w:rPr>
        <w:t>Note 8 – Redeemable Perpetual Preferred Stock</w:t>
      </w:r>
      <w:r>
        <w:rPr>
          <w:rFonts w:ascii="Arial" w:cs="Arial" w:eastAsia="Arial" w:hAnsi="Arial"/>
          <w:sz w:val="20"/>
          <w:szCs w:val="20"/>
          <w:color w:val="auto"/>
        </w:rPr>
        <w:t>,” to the accompanying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6" w:name="page47"/>
    <w:bookmarkEnd w:id="46"/>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Obligations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 xml:space="preserve">For a discussion of our debt obligations see </w:t>
      </w:r>
      <w:r>
        <w:rPr>
          <w:rFonts w:ascii="Arial" w:cs="Arial" w:eastAsia="Arial" w:hAnsi="Arial"/>
          <w:sz w:val="20"/>
          <w:szCs w:val="20"/>
          <w:u w:val="single" w:color="auto"/>
          <w:color w:val="0000FF"/>
        </w:rPr>
        <w:t>Note 7 – Debt</w:t>
      </w:r>
      <w:r>
        <w:rPr>
          <w:rFonts w:ascii="Arial" w:cs="Arial" w:eastAsia="Arial" w:hAnsi="Arial"/>
          <w:sz w:val="20"/>
          <w:szCs w:val="20"/>
          <w:color w:val="auto"/>
        </w:rPr>
        <w:t xml:space="preserve"> to our condensed consolidated financial statements included in this Quarterly Report.</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Surety Bonds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required to provide surety bonds to various parties as required for certain transactions initiated during the ordinary course of business to guarantee our performance in accordance with contractual or legal obligations. As of June 30, 2023, we posted surety bonds in the total amount of approximately $220.9 million. These off-balance sheet arrangements do not adversely impact our liquidity or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Significant Management Estimates</w:t>
      </w:r>
    </w:p>
    <w:p>
      <w:pPr>
        <w:spacing w:after="0" w:line="13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Our condensed consolidated financial statements are prepared in accordance with accounting principles generally accepted in the (“U.S. GAAP”). In connection with the preparation of our condensed consolidated financial statements, we are required to make assumptions and estimates about future events and apply judgments that affect the reported amounts of assets, liabilities, revenue, expenses and related disclosures. We base our assumptions, estimates and judgments on historical experience, current trends and other factors that management believes to be relevant at the time our condensed consolidated financial statements are prepared. On a regular basis, we review the accounting policies, assumptions, estimates and judgments to ensure that our condensed consolidated financial statements are presented fairly and in accordance with U.S. GAAP. However, because future events and their effects cannot be determined with certainty, actual results could differ from our assumptions and estimates. To the extent that there are material differences between these estimates and actual results, our future financial statement presentation, financial condition, results of operations and cash flows will be affected.</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We consider an accounting policy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condensed consolidated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Fair Value of Financial Instruments</w:t>
      </w:r>
    </w:p>
    <w:p>
      <w:pPr>
        <w:spacing w:after="0" w:line="127"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The capped call option agreements associated with conversion of the Convertible Notes ( the “Capped Calls”) are accounted for as an asset that is recorded at fair value within Derivative assets in the consolidated balance sheets. The changes in fair value to Derivative assets are recorded within change in fair value of derivative assets in the Condensed Consolidated Statements of Operations. See </w:t>
      </w:r>
      <w:r>
        <w:rPr>
          <w:rFonts w:ascii="Arial" w:cs="Arial" w:eastAsia="Arial" w:hAnsi="Arial"/>
          <w:sz w:val="20"/>
          <w:szCs w:val="20"/>
          <w:u w:val="single" w:color="auto"/>
          <w:color w:val="0000FF"/>
        </w:rPr>
        <w:t>Note 1 – Organization, Business and Out of Period Adjustments</w:t>
      </w:r>
      <w:r>
        <w:rPr>
          <w:rFonts w:ascii="Arial" w:cs="Arial" w:eastAsia="Arial" w:hAnsi="Arial"/>
          <w:sz w:val="20"/>
          <w:szCs w:val="20"/>
          <w:color w:val="auto"/>
        </w:rPr>
        <w:t xml:space="preserve">, and </w:t>
      </w:r>
      <w:r>
        <w:rPr>
          <w:rFonts w:ascii="Arial" w:cs="Arial" w:eastAsia="Arial" w:hAnsi="Arial"/>
          <w:sz w:val="20"/>
          <w:szCs w:val="20"/>
          <w:u w:val="single" w:color="auto"/>
          <w:color w:val="0000FF"/>
        </w:rPr>
        <w:t>Note 2 – Summary of Significant</w:t>
      </w:r>
      <w:r>
        <w:rPr>
          <w:rFonts w:ascii="Arial" w:cs="Arial" w:eastAsia="Arial" w:hAnsi="Arial"/>
          <w:sz w:val="20"/>
          <w:szCs w:val="20"/>
          <w:color w:val="auto"/>
        </w:rPr>
        <w:t xml:space="preserve"> </w:t>
      </w:r>
      <w:r>
        <w:rPr>
          <w:rFonts w:ascii="Arial" w:cs="Arial" w:eastAsia="Arial" w:hAnsi="Arial"/>
          <w:sz w:val="20"/>
          <w:szCs w:val="20"/>
          <w:u w:val="single" w:color="auto"/>
          <w:color w:val="0000FF"/>
        </w:rPr>
        <w:t>Accounting Policies</w:t>
      </w:r>
      <w:r>
        <w:rPr>
          <w:rFonts w:ascii="Arial" w:cs="Arial" w:eastAsia="Arial" w:hAnsi="Arial"/>
          <w:sz w:val="20"/>
          <w:szCs w:val="20"/>
          <w:color w:val="000000"/>
        </w:rPr>
        <w:t>, of the condensed consolidated financial statements for further information regarding the accounting of</w:t>
      </w:r>
      <w:r>
        <w:rPr>
          <w:rFonts w:ascii="Arial" w:cs="Arial" w:eastAsia="Arial" w:hAnsi="Arial"/>
          <w:sz w:val="20"/>
          <w:szCs w:val="20"/>
          <w:color w:val="0000FF"/>
        </w:rPr>
        <w:t xml:space="preserve"> </w:t>
      </w:r>
      <w:r>
        <w:rPr>
          <w:rFonts w:ascii="Arial" w:cs="Arial" w:eastAsia="Arial" w:hAnsi="Arial"/>
          <w:sz w:val="20"/>
          <w:szCs w:val="20"/>
          <w:color w:val="000000"/>
        </w:rPr>
        <w:t>these instruments.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Capped Calls are valued using a Black-Scholes model, with the most judgmental non-observable input being the volatility measure. Changes in the assumptions around the volatility can cause significant changes in the estimated fair value of the Capped Call.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and Recently Issued Accounting Pronouncements</w:t>
      </w: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 xml:space="preserve">Refer to </w:t>
      </w:r>
      <w:r>
        <w:rPr>
          <w:rFonts w:ascii="Arial" w:cs="Arial" w:eastAsia="Arial" w:hAnsi="Arial"/>
          <w:sz w:val="20"/>
          <w:szCs w:val="20"/>
          <w:u w:val="single" w:color="auto"/>
          <w:color w:val="0000FF"/>
        </w:rPr>
        <w:t>Note 2 – Summary of Significant Accounting Policies</w:t>
      </w:r>
      <w:r>
        <w:rPr>
          <w:rFonts w:ascii="Arial" w:cs="Arial" w:eastAsia="Arial" w:hAnsi="Arial"/>
          <w:sz w:val="20"/>
          <w:szCs w:val="20"/>
          <w:color w:val="auto"/>
        </w:rPr>
        <w:t xml:space="preserve"> to our condensed consolidated financial statements for a discussion of adoption of new and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Customer Financing Exposure</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We are also indirectly exposed to interest rate risk because many of our customers depend on debt financings to purchase our product. An increase in interest rates could make it challenging for our customers to obtain the capital necessary to make such purchases on favorable terms, or at all. Such factors could reduce demand or lower the price we can charge for our product, thereby reducing our net sales and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Commodity and Component Risk</w:t>
      </w:r>
    </w:p>
    <w:p>
      <w:pPr>
        <w:spacing w:after="0" w:line="127"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We are exposed to price risks for the raw materials, components, logistics services, and energy costs used in the manufacturing and transportation of our product. Additionally, some of our raw materials and components are sourced from a limited number of suppliers or a single supplier. We evaluate our suppliers using a robust qualification process. In some cases, we also enter into long-term supply contracts for raw materials and components. Accordingly, we are exposed to price changes in the raw materials and components used in our product. In addition, the failure of a key supplier could disrupt our supply chain, which could result in higher prices and/or a disruption in our manufacturing process. We may be unable to pass along changes in the costs of the raw materials and components for our product, or the costs associated with logistics services for the distribution of our product, to our customers and may be in default of our delivery obligations if we experience a manufacturing disruption.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45"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 maintain “disclosure controls and procedures,” as defined in Rules 13a-15(e) and 15d-15(e) under the Securities Exchange Act of 1934, as amended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20"/>
          <w:szCs w:val="20"/>
          <w:color w:val="auto"/>
        </w:rPr>
        <w:t>Our management, with the participation of our Chief Executive Officer and Chief Financial Officer, evaluated the effectiveness of our disclosure controls and procedures as of June 30, 2023. Based upon the evaluation, our Chief Executive Officer and Chief Financial Officer concluded that, as of such date, our disclosure controls and procedures were not effective at a reasonable assurance level, due to the material weaknesses previously identified and disclosed in our 2022 Annual Report and listed below. A material weakness is a deficiency, or combination of deficiencies, in internal control over financial reporting (“ICFR”) such that there is a reasonable possibility that a material misstatement of our annual or interim financial statements will not be prevented or detected on a timely basis.</w:t>
      </w: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Management determined that the previously disclosed material weaknesses in its ICFR continue to exist at June 30, 2023.</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Specifically:</w:t>
      </w:r>
    </w:p>
    <w:p>
      <w:pPr>
        <w:spacing w:after="0" w:line="242" w:lineRule="exact"/>
        <w:rPr>
          <w:sz w:val="20"/>
          <w:szCs w:val="20"/>
          <w:color w:val="auto"/>
        </w:rPr>
      </w:pPr>
    </w:p>
    <w:p>
      <w:pPr>
        <w:jc w:val="both"/>
        <w:spacing w:after="0" w:line="274" w:lineRule="auto"/>
        <w:rPr>
          <w:sz w:val="20"/>
          <w:szCs w:val="20"/>
          <w:color w:val="auto"/>
        </w:rPr>
      </w:pPr>
      <w:r>
        <w:rPr>
          <w:rFonts w:ascii="Arial" w:cs="Arial" w:eastAsia="Arial" w:hAnsi="Arial"/>
          <w:sz w:val="20"/>
          <w:szCs w:val="20"/>
          <w:i w:val="1"/>
          <w:iCs w:val="1"/>
          <w:color w:val="auto"/>
        </w:rPr>
        <w:t xml:space="preserve">Control Environment, Risk Assessment and Monitoring Activities </w:t>
      </w:r>
      <w:r>
        <w:rPr>
          <w:rFonts w:ascii="Arial" w:cs="Arial" w:eastAsia="Arial" w:hAnsi="Arial"/>
          <w:sz w:val="20"/>
          <w:szCs w:val="20"/>
          <w:color w:val="auto"/>
        </w:rPr>
        <w:t>– We did not maintain appropriately designed entity-level</w:t>
      </w:r>
      <w:r>
        <w:rPr>
          <w:rFonts w:ascii="Arial" w:cs="Arial" w:eastAsia="Arial" w:hAnsi="Arial"/>
          <w:sz w:val="20"/>
          <w:szCs w:val="20"/>
          <w:i w:val="1"/>
          <w:iCs w:val="1"/>
          <w:color w:val="auto"/>
        </w:rPr>
        <w:t xml:space="preserve"> </w:t>
      </w:r>
      <w:r>
        <w:rPr>
          <w:rFonts w:ascii="Arial" w:cs="Arial" w:eastAsia="Arial" w:hAnsi="Arial"/>
          <w:sz w:val="20"/>
          <w:szCs w:val="20"/>
          <w:color w:val="auto"/>
        </w:rPr>
        <w:t>controls impacting the control environment and effective monitoring controls to prevent or detect material misstatements to the consolidated financial statements. These deficiencies were attributed to (i) a lack</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48" w:name="page49"/>
    <w:bookmarkEnd w:id="48"/>
    <w:p>
      <w:pPr>
        <w:jc w:val="both"/>
        <w:spacing w:after="0" w:line="271" w:lineRule="auto"/>
        <w:rPr>
          <w:sz w:val="20"/>
          <w:szCs w:val="20"/>
          <w:color w:val="auto"/>
        </w:rPr>
      </w:pPr>
      <w:r>
        <w:rPr>
          <w:rFonts w:ascii="Arial" w:cs="Arial" w:eastAsia="Arial" w:hAnsi="Arial"/>
          <w:sz w:val="20"/>
          <w:szCs w:val="20"/>
          <w:color w:val="auto"/>
        </w:rPr>
        <w:t>of a sufficient number of qualified resources and inadequate oversight and accountability over the performance of control activities, (ii) ineffective identification and assessment of risks to properly design and implement relevant controls, and (iii) ineffective evaluation and determination as to whether the components of internal control were present and functioning.</w:t>
      </w:r>
    </w:p>
    <w:p>
      <w:pPr>
        <w:spacing w:after="0" w:line="200" w:lineRule="exact"/>
        <w:rPr>
          <w:sz w:val="20"/>
          <w:szCs w:val="20"/>
          <w:color w:val="auto"/>
        </w:rPr>
      </w:pPr>
    </w:p>
    <w:p>
      <w:pPr>
        <w:jc w:val="both"/>
        <w:spacing w:after="0" w:line="281" w:lineRule="auto"/>
        <w:rPr>
          <w:sz w:val="20"/>
          <w:szCs w:val="20"/>
          <w:color w:val="auto"/>
        </w:rPr>
      </w:pPr>
      <w:r>
        <w:rPr>
          <w:rFonts w:ascii="Arial" w:cs="Arial" w:eastAsia="Arial" w:hAnsi="Arial"/>
          <w:sz w:val="20"/>
          <w:szCs w:val="20"/>
          <w:i w:val="1"/>
          <w:iCs w:val="1"/>
          <w:color w:val="auto"/>
        </w:rPr>
        <w:t xml:space="preserve">Control Activities </w:t>
      </w:r>
      <w:r>
        <w:rPr>
          <w:rFonts w:ascii="Arial" w:cs="Arial" w:eastAsia="Arial" w:hAnsi="Arial"/>
          <w:sz w:val="20"/>
          <w:szCs w:val="20"/>
          <w:color w:val="auto"/>
        </w:rPr>
        <w:t>– These material weaknesses contributed to the following additional material weaknesses within certain</w:t>
      </w:r>
      <w:r>
        <w:rPr>
          <w:rFonts w:ascii="Arial" w:cs="Arial" w:eastAsia="Arial" w:hAnsi="Arial"/>
          <w:sz w:val="20"/>
          <w:szCs w:val="20"/>
          <w:i w:val="1"/>
          <w:iCs w:val="1"/>
          <w:color w:val="auto"/>
        </w:rPr>
        <w:t xml:space="preserve"> </w:t>
      </w:r>
      <w:r>
        <w:rPr>
          <w:rFonts w:ascii="Arial" w:cs="Arial" w:eastAsia="Arial" w:hAnsi="Arial"/>
          <w:sz w:val="20"/>
          <w:szCs w:val="20"/>
          <w:color w:val="auto"/>
        </w:rPr>
        <w:t>business processes:</w:t>
      </w:r>
    </w:p>
    <w:p>
      <w:pPr>
        <w:spacing w:after="0" w:line="204" w:lineRule="exact"/>
        <w:rPr>
          <w:sz w:val="20"/>
          <w:szCs w:val="20"/>
          <w:color w:val="auto"/>
        </w:rPr>
      </w:pPr>
    </w:p>
    <w:p>
      <w:pPr>
        <w:ind w:left="660" w:hanging="328"/>
        <w:spacing w:after="0" w:line="281"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did not appropriately design, implement, and execute controls over the existence, accuracy, and cutoff of</w:t>
      </w:r>
      <w:r>
        <w:rPr>
          <w:rFonts w:ascii="Arial" w:cs="Arial" w:eastAsia="Arial" w:hAnsi="Arial"/>
          <w:sz w:val="20"/>
          <w:szCs w:val="20"/>
          <w:i w:val="1"/>
          <w:iCs w:val="1"/>
          <w:color w:val="auto"/>
        </w:rPr>
        <w:t xml:space="preserve"> </w:t>
      </w:r>
      <w:r>
        <w:rPr>
          <w:rFonts w:ascii="Arial" w:cs="Arial" w:eastAsia="Arial" w:hAnsi="Arial"/>
          <w:sz w:val="20"/>
          <w:szCs w:val="20"/>
          <w:color w:val="auto"/>
        </w:rPr>
        <w:t>inventory.</w:t>
      </w:r>
    </w:p>
    <w:p>
      <w:pPr>
        <w:spacing w:after="0" w:line="55" w:lineRule="exact"/>
        <w:rPr>
          <w:rFonts w:ascii="Arial" w:cs="Arial" w:eastAsia="Arial" w:hAnsi="Arial"/>
          <w:sz w:val="20"/>
          <w:szCs w:val="20"/>
          <w:color w:val="auto"/>
        </w:rPr>
      </w:pPr>
    </w:p>
    <w:p>
      <w:pPr>
        <w:jc w:val="both"/>
        <w:ind w:left="660" w:hanging="328"/>
        <w:spacing w:after="0" w:line="274"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 </w:t>
      </w:r>
      <w:r>
        <w:rPr>
          <w:rFonts w:ascii="Arial" w:cs="Arial" w:eastAsia="Arial" w:hAnsi="Arial"/>
          <w:sz w:val="20"/>
          <w:szCs w:val="20"/>
          <w:color w:val="auto"/>
        </w:rPr>
        <w:t>We did not appropriately design, implement and maintain effective controls over revenue</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recognition, relating to the proper application of Accounting Standards Codification Topic 606, </w:t>
      </w:r>
      <w:r>
        <w:rPr>
          <w:rFonts w:ascii="Arial" w:cs="Arial" w:eastAsia="Arial" w:hAnsi="Arial"/>
          <w:sz w:val="20"/>
          <w:szCs w:val="20"/>
          <w:i w:val="1"/>
          <w:iCs w:val="1"/>
          <w:color w:val="auto"/>
        </w:rPr>
        <w:t>Revenue from Contracts</w:t>
      </w:r>
      <w:r>
        <w:rPr>
          <w:rFonts w:ascii="Arial" w:cs="Arial" w:eastAsia="Arial" w:hAnsi="Arial"/>
          <w:sz w:val="20"/>
          <w:szCs w:val="20"/>
          <w:color w:val="auto"/>
        </w:rPr>
        <w:t xml:space="preserve"> </w:t>
      </w:r>
      <w:r>
        <w:rPr>
          <w:rFonts w:ascii="Arial" w:cs="Arial" w:eastAsia="Arial" w:hAnsi="Arial"/>
          <w:sz w:val="20"/>
          <w:szCs w:val="20"/>
          <w:i w:val="1"/>
          <w:iCs w:val="1"/>
          <w:color w:val="auto"/>
        </w:rPr>
        <w:t>with Customers.</w:t>
      </w:r>
    </w:p>
    <w:p>
      <w:pPr>
        <w:spacing w:after="0" w:line="62" w:lineRule="exact"/>
        <w:rPr>
          <w:rFonts w:ascii="Arial" w:cs="Arial" w:eastAsia="Arial" w:hAnsi="Arial"/>
          <w:sz w:val="20"/>
          <w:szCs w:val="20"/>
          <w:color w:val="auto"/>
        </w:rPr>
      </w:pPr>
    </w:p>
    <w:p>
      <w:pPr>
        <w:jc w:val="both"/>
        <w:ind w:left="660" w:hanging="328"/>
        <w:spacing w:after="0" w:line="274"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Accounts Receivable </w:t>
      </w:r>
      <w:r>
        <w:rPr>
          <w:rFonts w:ascii="Arial" w:cs="Arial" w:eastAsia="Arial" w:hAnsi="Arial"/>
          <w:sz w:val="20"/>
          <w:szCs w:val="20"/>
          <w:color w:val="auto"/>
        </w:rPr>
        <w:t>– We did not appropriately design, implement and maintain effective controls over the existence of</w:t>
      </w:r>
      <w:r>
        <w:rPr>
          <w:rFonts w:ascii="Arial" w:cs="Arial" w:eastAsia="Arial" w:hAnsi="Arial"/>
          <w:sz w:val="20"/>
          <w:szCs w:val="20"/>
          <w:i w:val="1"/>
          <w:iCs w:val="1"/>
          <w:color w:val="auto"/>
        </w:rPr>
        <w:t xml:space="preserve"> </w:t>
      </w:r>
      <w:r>
        <w:rPr>
          <w:rFonts w:ascii="Arial" w:cs="Arial" w:eastAsia="Arial" w:hAnsi="Arial"/>
          <w:sz w:val="20"/>
          <w:szCs w:val="20"/>
          <w:color w:val="auto"/>
        </w:rPr>
        <w:t>accounts receivable. Specifically, we did not design certain controls at an appropriate precision level to ensure the identification of material misstatements.</w:t>
      </w:r>
    </w:p>
    <w:p>
      <w:pPr>
        <w:spacing w:after="0" w:line="62" w:lineRule="exact"/>
        <w:rPr>
          <w:rFonts w:ascii="Arial" w:cs="Arial" w:eastAsia="Arial" w:hAnsi="Arial"/>
          <w:sz w:val="20"/>
          <w:szCs w:val="20"/>
          <w:color w:val="auto"/>
        </w:rPr>
      </w:pPr>
    </w:p>
    <w:p>
      <w:pPr>
        <w:jc w:val="both"/>
        <w:ind w:left="660" w:hanging="328"/>
        <w:spacing w:after="0" w:line="264"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Financial Reporting, Consolidation and Business Combination – </w:t>
      </w:r>
      <w:r>
        <w:rPr>
          <w:rFonts w:ascii="Arial" w:cs="Arial" w:eastAsia="Arial" w:hAnsi="Arial"/>
          <w:sz w:val="20"/>
          <w:szCs w:val="20"/>
          <w:color w:val="auto"/>
        </w:rPr>
        <w:t>We did not appropriately design, implement and</w:t>
      </w:r>
      <w:r>
        <w:rPr>
          <w:rFonts w:ascii="Arial" w:cs="Arial" w:eastAsia="Arial" w:hAnsi="Arial"/>
          <w:sz w:val="20"/>
          <w:szCs w:val="20"/>
          <w:i w:val="1"/>
          <w:iCs w:val="1"/>
          <w:color w:val="auto"/>
        </w:rPr>
        <w:t xml:space="preserve"> </w:t>
      </w:r>
      <w:r>
        <w:rPr>
          <w:rFonts w:ascii="Arial" w:cs="Arial" w:eastAsia="Arial" w:hAnsi="Arial"/>
          <w:sz w:val="20"/>
          <w:szCs w:val="20"/>
          <w:color w:val="auto"/>
        </w:rPr>
        <w:t>maintain effective controls over the financial reporting process. Specifically, we did not maintain effective controls related to (i) preparation of consolidated financial statements, (ii) the accounting for the business combination, including management review controls over the valuation and purchase price allocation, at an appropriate level of precision to detect a material misstatement, and (iii) consolidation of our subsidiaries. In addition, we did not maintain sufficient appropriate audit evidence to demonstrate execution of the related controls.</w:t>
      </w:r>
    </w:p>
    <w:p>
      <w:pPr>
        <w:spacing w:after="0" w:line="75" w:lineRule="exact"/>
        <w:rPr>
          <w:rFonts w:ascii="Arial" w:cs="Arial" w:eastAsia="Arial" w:hAnsi="Arial"/>
          <w:sz w:val="20"/>
          <w:szCs w:val="20"/>
          <w:color w:val="auto"/>
        </w:rPr>
      </w:pPr>
    </w:p>
    <w:p>
      <w:pPr>
        <w:jc w:val="both"/>
        <w:ind w:left="660" w:hanging="328"/>
        <w:spacing w:after="0" w:line="267"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Foreign Currency </w:t>
      </w:r>
      <w:r>
        <w:rPr>
          <w:rFonts w:ascii="Arial" w:cs="Arial" w:eastAsia="Arial" w:hAnsi="Arial"/>
          <w:sz w:val="20"/>
          <w:szCs w:val="20"/>
          <w:color w:val="auto"/>
        </w:rPr>
        <w:t>– We did not appropriately design, implement, and execute controls over foreign currency, including (i)</w:t>
      </w:r>
      <w:r>
        <w:rPr>
          <w:rFonts w:ascii="Arial" w:cs="Arial" w:eastAsia="Arial" w:hAnsi="Arial"/>
          <w:sz w:val="20"/>
          <w:szCs w:val="20"/>
          <w:i w:val="1"/>
          <w:iCs w:val="1"/>
          <w:color w:val="auto"/>
        </w:rPr>
        <w:t xml:space="preserve"> </w:t>
      </w:r>
      <w:r>
        <w:rPr>
          <w:rFonts w:ascii="Arial" w:cs="Arial" w:eastAsia="Arial" w:hAnsi="Arial"/>
          <w:sz w:val="20"/>
          <w:szCs w:val="20"/>
          <w:color w:val="auto"/>
        </w:rPr>
        <w:t>lack of identifying and recording our foreign subsidiaries’ goodwill and intangibles balances in the proper functional currency in our consolidated financial statements, and (ii) performing proper foreign currency translations. This resulted in the restatement of the Company’s interim unaudited condensed consolidated financial statements.</w:t>
      </w:r>
    </w:p>
    <w:p>
      <w:pPr>
        <w:spacing w:after="0" w:line="83" w:lineRule="exact"/>
        <w:rPr>
          <w:rFonts w:ascii="Arial" w:cs="Arial" w:eastAsia="Arial" w:hAnsi="Arial"/>
          <w:sz w:val="20"/>
          <w:szCs w:val="20"/>
          <w:color w:val="auto"/>
        </w:rPr>
      </w:pPr>
    </w:p>
    <w:p>
      <w:pPr>
        <w:ind w:left="660" w:hanging="328"/>
        <w:spacing w:after="0" w:line="281" w:lineRule="auto"/>
        <w:tabs>
          <w:tab w:leader="none" w:pos="660" w:val="left"/>
        </w:tabs>
        <w:numPr>
          <w:ilvl w:val="0"/>
          <w:numId w:val="21"/>
        </w:numPr>
        <w:rPr>
          <w:rFonts w:ascii="Arial" w:cs="Arial" w:eastAsia="Arial" w:hAnsi="Arial"/>
          <w:sz w:val="20"/>
          <w:szCs w:val="20"/>
          <w:color w:val="auto"/>
        </w:rPr>
      </w:pPr>
      <w:r>
        <w:rPr>
          <w:rFonts w:ascii="Arial" w:cs="Arial" w:eastAsia="Arial" w:hAnsi="Arial"/>
          <w:sz w:val="20"/>
          <w:szCs w:val="20"/>
          <w:i w:val="1"/>
          <w:iCs w:val="1"/>
          <w:color w:val="auto"/>
        </w:rPr>
        <w:t xml:space="preserve">STI - </w:t>
      </w:r>
      <w:r>
        <w:rPr>
          <w:rFonts w:ascii="Arial" w:cs="Arial" w:eastAsia="Arial" w:hAnsi="Arial"/>
          <w:sz w:val="20"/>
          <w:szCs w:val="20"/>
          <w:color w:val="auto"/>
        </w:rPr>
        <w:t>Although management did not conduct a formal ICFR assessment of STI as of June 30, 2023, management has</w:t>
      </w:r>
      <w:r>
        <w:rPr>
          <w:rFonts w:ascii="Arial" w:cs="Arial" w:eastAsia="Arial" w:hAnsi="Arial"/>
          <w:sz w:val="20"/>
          <w:szCs w:val="20"/>
          <w:i w:val="1"/>
          <w:iCs w:val="1"/>
          <w:color w:val="auto"/>
        </w:rPr>
        <w:t xml:space="preserve"> </w:t>
      </w:r>
      <w:r>
        <w:rPr>
          <w:rFonts w:ascii="Arial" w:cs="Arial" w:eastAsia="Arial" w:hAnsi="Arial"/>
          <w:sz w:val="20"/>
          <w:szCs w:val="20"/>
          <w:color w:val="auto"/>
        </w:rPr>
        <w:t>identified material weaknesses in STI’s ICFR as follows:</w:t>
      </w:r>
    </w:p>
    <w:p>
      <w:pPr>
        <w:spacing w:after="0" w:line="61" w:lineRule="exact"/>
        <w:rPr>
          <w:rFonts w:ascii="Arial" w:cs="Arial" w:eastAsia="Arial" w:hAnsi="Arial"/>
          <w:sz w:val="20"/>
          <w:szCs w:val="20"/>
          <w:color w:val="auto"/>
        </w:rPr>
      </w:pPr>
    </w:p>
    <w:p>
      <w:pPr>
        <w:jc w:val="both"/>
        <w:ind w:left="1300" w:hanging="320"/>
        <w:spacing w:after="0" w:line="271" w:lineRule="auto"/>
        <w:tabs>
          <w:tab w:leader="none" w:pos="1339" w:val="left"/>
        </w:tabs>
        <w:numPr>
          <w:ilvl w:val="1"/>
          <w:numId w:val="21"/>
        </w:numPr>
        <w:rPr>
          <w:rFonts w:ascii="Arial" w:cs="Arial" w:eastAsia="Arial" w:hAnsi="Arial"/>
          <w:sz w:val="20"/>
          <w:szCs w:val="20"/>
          <w:color w:val="auto"/>
        </w:rPr>
      </w:pPr>
      <w:r>
        <w:rPr>
          <w:rFonts w:ascii="Arial" w:cs="Arial" w:eastAsia="Arial" w:hAnsi="Arial"/>
          <w:sz w:val="20"/>
          <w:szCs w:val="20"/>
          <w:color w:val="auto"/>
        </w:rPr>
        <w:t>We did not design, implement and monitor general information technology controls in the areas of program change management, user access, and segregation of duties for systems supporting substantially all of STI’s internal control processes.</w:t>
      </w:r>
    </w:p>
    <w:p>
      <w:pPr>
        <w:spacing w:after="0" w:line="71" w:lineRule="exact"/>
        <w:rPr>
          <w:rFonts w:ascii="Arial" w:cs="Arial" w:eastAsia="Arial" w:hAnsi="Arial"/>
          <w:sz w:val="20"/>
          <w:szCs w:val="20"/>
          <w:color w:val="auto"/>
        </w:rPr>
      </w:pPr>
    </w:p>
    <w:p>
      <w:pPr>
        <w:jc w:val="both"/>
        <w:ind w:left="1300" w:hanging="320"/>
        <w:spacing w:after="0" w:line="271" w:lineRule="auto"/>
        <w:tabs>
          <w:tab w:leader="none" w:pos="1312" w:val="left"/>
        </w:tabs>
        <w:numPr>
          <w:ilvl w:val="1"/>
          <w:numId w:val="21"/>
        </w:numPr>
        <w:rPr>
          <w:rFonts w:ascii="Arial" w:cs="Arial" w:eastAsia="Arial" w:hAnsi="Arial"/>
          <w:sz w:val="20"/>
          <w:szCs w:val="20"/>
          <w:color w:val="auto"/>
        </w:rPr>
      </w:pPr>
      <w:r>
        <w:rPr>
          <w:rFonts w:ascii="Arial" w:cs="Arial" w:eastAsia="Arial" w:hAnsi="Arial"/>
          <w:sz w:val="20"/>
          <w:szCs w:val="20"/>
          <w:color w:val="auto"/>
        </w:rPr>
        <w:t>We did not design and implement formal accounting policies, procedures and controls across substantially all of STI’s business processes to achieve timely, complete and accurate financial accounting, reporting, and disclosures.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After giving full consideration to these material weaknesses, and the additional analyses and other procedures that we performed to ensure that our condensed consolidated financial statements included in this Quarterly Report were prepared in accordance with U.S. GAAP, our management has concluded that our condensed consolidated financial statements present fairly, in all material respects, our financial position, results of operations and cash flows for the periods disclosed in conformity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49" w:name="page50"/>
    <w:bookmarkEnd w:id="49"/>
    <w:p>
      <w:pPr>
        <w:spacing w:after="0"/>
        <w:rPr>
          <w:sz w:val="20"/>
          <w:szCs w:val="20"/>
          <w:color w:val="auto"/>
        </w:rPr>
      </w:pPr>
      <w:r>
        <w:rPr>
          <w:rFonts w:ascii="Arial" w:cs="Arial" w:eastAsia="Arial" w:hAnsi="Arial"/>
          <w:sz w:val="20"/>
          <w:szCs w:val="20"/>
          <w:b w:val="1"/>
          <w:bCs w:val="1"/>
          <w:i w:val="1"/>
          <w:iCs w:val="1"/>
          <w:color w:val="auto"/>
        </w:rPr>
        <w:t>Remediation Plan for Existing Material Weaknesses</w:t>
      </w:r>
    </w:p>
    <w:p>
      <w:pPr>
        <w:spacing w:after="0" w:line="131" w:lineRule="exact"/>
        <w:rPr>
          <w:sz w:val="20"/>
          <w:szCs w:val="20"/>
          <w:color w:val="auto"/>
        </w:rPr>
      </w:pPr>
    </w:p>
    <w:p>
      <w:pPr>
        <w:jc w:val="both"/>
        <w:spacing w:after="0" w:line="289" w:lineRule="auto"/>
        <w:rPr>
          <w:sz w:val="20"/>
          <w:szCs w:val="20"/>
          <w:color w:val="auto"/>
        </w:rPr>
      </w:pPr>
      <w:r>
        <w:rPr>
          <w:rFonts w:ascii="Arial" w:cs="Arial" w:eastAsia="Arial" w:hAnsi="Arial"/>
          <w:sz w:val="20"/>
          <w:szCs w:val="20"/>
          <w:color w:val="auto"/>
        </w:rPr>
        <w:t>We are in the process of, and continue to focus on, designing and implementing effective measures to strengthen our ICFR and remediate the material weaknesses. Our planned remediation efforts include the following:</w:t>
      </w:r>
    </w:p>
    <w:p>
      <w:pPr>
        <w:spacing w:after="0" w:line="183" w:lineRule="exact"/>
        <w:rPr>
          <w:sz w:val="20"/>
          <w:szCs w:val="20"/>
          <w:color w:val="auto"/>
        </w:rPr>
      </w:pPr>
    </w:p>
    <w:p>
      <w:pPr>
        <w:jc w:val="both"/>
        <w:spacing w:after="0" w:line="278" w:lineRule="auto"/>
        <w:rPr>
          <w:sz w:val="20"/>
          <w:szCs w:val="20"/>
          <w:color w:val="auto"/>
        </w:rPr>
      </w:pPr>
      <w:r>
        <w:rPr>
          <w:rFonts w:ascii="Arial" w:cs="Arial" w:eastAsia="Arial" w:hAnsi="Arial"/>
          <w:sz w:val="19"/>
          <w:szCs w:val="19"/>
          <w:i w:val="1"/>
          <w:iCs w:val="1"/>
          <w:color w:val="auto"/>
        </w:rPr>
        <w:t xml:space="preserve">Control Environment, Risk Assessment and Monitoring – </w:t>
      </w:r>
      <w:r>
        <w:rPr>
          <w:rFonts w:ascii="Arial" w:cs="Arial" w:eastAsia="Arial" w:hAnsi="Arial"/>
          <w:sz w:val="19"/>
          <w:szCs w:val="19"/>
          <w:color w:val="auto"/>
        </w:rPr>
        <w:t>We have hired and will continue to hire additional resources throughout</w:t>
      </w:r>
      <w:r>
        <w:rPr>
          <w:rFonts w:ascii="Arial" w:cs="Arial" w:eastAsia="Arial" w:hAnsi="Arial"/>
          <w:sz w:val="19"/>
          <w:szCs w:val="19"/>
          <w:i w:val="1"/>
          <w:iCs w:val="1"/>
          <w:color w:val="auto"/>
        </w:rPr>
        <w:t xml:space="preserve"> </w:t>
      </w:r>
      <w:r>
        <w:rPr>
          <w:rFonts w:ascii="Arial" w:cs="Arial" w:eastAsia="Arial" w:hAnsi="Arial"/>
          <w:sz w:val="19"/>
          <w:szCs w:val="19"/>
          <w:color w:val="auto"/>
        </w:rPr>
        <w:t>2023 in accounting and IT to supplement our existing capabilities and capacity; and we will concentrate on retaining key accounting, IT, and operational personnel. In 2023, we have engaged an outside global consulting firm to support our continued enhancement of the design and operation of monitoring controls and other activities that will allow us to timely assess the design and the operating effectiveness of our ICFR. In addition to enhancing our ICFR overall, the consulting firm has been specifically focused on the identification of new controls and the improvement of existing controls related to STI, inventory management, revenue recognition and accounts receivable as well as business combination controls for future acquisitions.</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Control Activities:</w:t>
      </w:r>
    </w:p>
    <w:p>
      <w:pPr>
        <w:spacing w:after="0" w:line="135" w:lineRule="exact"/>
        <w:rPr>
          <w:sz w:val="20"/>
          <w:szCs w:val="20"/>
          <w:color w:val="auto"/>
        </w:rPr>
      </w:pPr>
    </w:p>
    <w:p>
      <w:pPr>
        <w:jc w:val="both"/>
        <w:ind w:left="660" w:hanging="328"/>
        <w:spacing w:after="0" w:line="262"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Inventory </w:t>
      </w:r>
      <w:r>
        <w:rPr>
          <w:rFonts w:ascii="Arial" w:cs="Arial" w:eastAsia="Arial" w:hAnsi="Arial"/>
          <w:sz w:val="20"/>
          <w:szCs w:val="20"/>
          <w:color w:val="auto"/>
        </w:rPr>
        <w:t>– We continue to implement planned information system enhancements and the expansion of current</w:t>
      </w:r>
      <w:r>
        <w:rPr>
          <w:rFonts w:ascii="Arial" w:cs="Arial" w:eastAsia="Arial" w:hAnsi="Arial"/>
          <w:sz w:val="20"/>
          <w:szCs w:val="20"/>
          <w:i w:val="1"/>
          <w:iCs w:val="1"/>
          <w:color w:val="auto"/>
        </w:rPr>
        <w:t xml:space="preserve"> </w:t>
      </w:r>
      <w:r>
        <w:rPr>
          <w:rFonts w:ascii="Arial" w:cs="Arial" w:eastAsia="Arial" w:hAnsi="Arial"/>
          <w:sz w:val="20"/>
          <w:szCs w:val="20"/>
          <w:color w:val="auto"/>
        </w:rPr>
        <w:t>information system capabilities, which will result in improved reliance on automated controls and less reliance on manual controls. Additionally, we are enhancing existing controls and are implementing new controls over the accounting, processing and recording of inventory. Specifically, we have strengthened the operation of control activities over inventory-in-transit, deploying multiple levels of review and validation of information and supporting documentation. We expect to deploy final phases of information system enhancements by the end of 2023.</w:t>
      </w:r>
    </w:p>
    <w:p>
      <w:pPr>
        <w:spacing w:after="0" w:line="86" w:lineRule="exact"/>
        <w:rPr>
          <w:rFonts w:ascii="Arial" w:cs="Arial" w:eastAsia="Arial" w:hAnsi="Arial"/>
          <w:sz w:val="20"/>
          <w:szCs w:val="20"/>
          <w:color w:val="auto"/>
        </w:rPr>
      </w:pPr>
    </w:p>
    <w:p>
      <w:pPr>
        <w:jc w:val="both"/>
        <w:ind w:left="660" w:hanging="328"/>
        <w:spacing w:after="0" w:line="262" w:lineRule="auto"/>
        <w:tabs>
          <w:tab w:leader="none" w:pos="660" w:val="left"/>
        </w:tabs>
        <w:numPr>
          <w:ilvl w:val="0"/>
          <w:numId w:val="22"/>
        </w:numPr>
        <w:rPr>
          <w:rFonts w:ascii="Arial" w:cs="Arial" w:eastAsia="Arial" w:hAnsi="Arial"/>
          <w:sz w:val="20"/>
          <w:szCs w:val="20"/>
          <w:color w:val="auto"/>
        </w:rPr>
      </w:pPr>
      <w:r>
        <w:rPr>
          <w:rFonts w:ascii="Arial" w:cs="Arial" w:eastAsia="Arial" w:hAnsi="Arial"/>
          <w:sz w:val="20"/>
          <w:szCs w:val="20"/>
          <w:i w:val="1"/>
          <w:iCs w:val="1"/>
          <w:color w:val="auto"/>
        </w:rPr>
        <w:t xml:space="preserve">Revenue Recognition and Accounts Receivable </w:t>
      </w:r>
      <w:r>
        <w:rPr>
          <w:rFonts w:ascii="Arial" w:cs="Arial" w:eastAsia="Arial" w:hAnsi="Arial"/>
          <w:sz w:val="20"/>
          <w:szCs w:val="20"/>
          <w:color w:val="auto"/>
        </w:rPr>
        <w:t>– We are in the process of evaluating our information system capabilities</w:t>
      </w:r>
      <w:r>
        <w:rPr>
          <w:rFonts w:ascii="Arial" w:cs="Arial" w:eastAsia="Arial" w:hAnsi="Arial"/>
          <w:sz w:val="20"/>
          <w:szCs w:val="20"/>
          <w:i w:val="1"/>
          <w:iCs w:val="1"/>
          <w:color w:val="auto"/>
        </w:rPr>
        <w:t xml:space="preserve"> </w:t>
      </w:r>
      <w:r>
        <w:rPr>
          <w:rFonts w:ascii="Arial" w:cs="Arial" w:eastAsia="Arial" w:hAnsi="Arial"/>
          <w:sz w:val="20"/>
          <w:szCs w:val="20"/>
          <w:color w:val="auto"/>
        </w:rPr>
        <w:t>in order to reduce the manual calculations within the revenue recognition business processes. We have begun to deploy information systems enhancements targeted at eliminating manual processes. Additionally, we are enhancing the design of existing controls to ensure completeness and accuracy of underlying source data for revenue recognition and customer billing. Lastly, we will continue to supplement our accounting staff with more experienced personnel which will enable us to incorporate an additional level of review.</w:t>
      </w:r>
    </w:p>
    <w:p>
      <w:pPr>
        <w:spacing w:after="0" w:line="235" w:lineRule="exact"/>
        <w:rPr>
          <w:rFonts w:ascii="Arial" w:cs="Arial" w:eastAsia="Arial" w:hAnsi="Arial"/>
          <w:sz w:val="20"/>
          <w:szCs w:val="20"/>
          <w:color w:val="auto"/>
        </w:rPr>
      </w:pPr>
    </w:p>
    <w:p>
      <w:pPr>
        <w:jc w:val="both"/>
        <w:ind w:left="660" w:hanging="328"/>
        <w:spacing w:after="0" w:line="259" w:lineRule="auto"/>
        <w:tabs>
          <w:tab w:leader="none" w:pos="660" w:val="left"/>
        </w:tabs>
        <w:numPr>
          <w:ilvl w:val="0"/>
          <w:numId w:val="22"/>
        </w:numPr>
        <w:rPr>
          <w:rFonts w:ascii="Arial" w:cs="Arial" w:eastAsia="Arial" w:hAnsi="Arial"/>
          <w:sz w:val="22"/>
          <w:szCs w:val="22"/>
          <w:color w:val="auto"/>
        </w:rPr>
      </w:pPr>
      <w:r>
        <w:rPr>
          <w:rFonts w:ascii="Arial" w:cs="Arial" w:eastAsia="Arial" w:hAnsi="Arial"/>
          <w:sz w:val="20"/>
          <w:szCs w:val="20"/>
          <w:i w:val="1"/>
          <w:iCs w:val="1"/>
          <w:color w:val="auto"/>
        </w:rPr>
        <w:t xml:space="preserve">Foreign Currency – </w:t>
      </w:r>
      <w:r>
        <w:rPr>
          <w:rFonts w:ascii="Arial" w:cs="Arial" w:eastAsia="Arial" w:hAnsi="Arial"/>
          <w:sz w:val="20"/>
          <w:szCs w:val="20"/>
          <w:color w:val="auto"/>
        </w:rPr>
        <w:t>We have implemented information system enhancements which automate this previously manual</w:t>
      </w:r>
      <w:r>
        <w:rPr>
          <w:rFonts w:ascii="Arial" w:cs="Arial" w:eastAsia="Arial" w:hAnsi="Arial"/>
          <w:sz w:val="20"/>
          <w:szCs w:val="20"/>
          <w:i w:val="1"/>
          <w:iCs w:val="1"/>
          <w:color w:val="auto"/>
        </w:rPr>
        <w:t xml:space="preserve"> </w:t>
      </w:r>
      <w:r>
        <w:rPr>
          <w:rFonts w:ascii="Arial" w:cs="Arial" w:eastAsia="Arial" w:hAnsi="Arial"/>
          <w:sz w:val="20"/>
          <w:szCs w:val="20"/>
          <w:color w:val="auto"/>
        </w:rPr>
        <w:t>process. We will we utilize the enhancements in parallel with our manual process for the near term until we are fully automated. We have continued to enhance the design of existing controls and processes related to the foreign currency translation process and over the consolidation of foreign entities into our condensed consolidated financial statements.</w:t>
      </w:r>
    </w:p>
    <w:p>
      <w:pPr>
        <w:spacing w:after="0" w:line="224" w:lineRule="exact"/>
        <w:rPr>
          <w:rFonts w:ascii="Arial" w:cs="Arial" w:eastAsia="Arial" w:hAnsi="Arial"/>
          <w:sz w:val="22"/>
          <w:szCs w:val="22"/>
          <w:color w:val="auto"/>
        </w:rPr>
      </w:pPr>
    </w:p>
    <w:p>
      <w:pPr>
        <w:jc w:val="both"/>
        <w:ind w:left="660" w:hanging="328"/>
        <w:spacing w:after="0" w:line="274" w:lineRule="auto"/>
        <w:tabs>
          <w:tab w:leader="none" w:pos="660" w:val="left"/>
        </w:tabs>
        <w:numPr>
          <w:ilvl w:val="0"/>
          <w:numId w:val="22"/>
        </w:numPr>
        <w:rPr>
          <w:rFonts w:ascii="Arial" w:cs="Arial" w:eastAsia="Arial" w:hAnsi="Arial"/>
          <w:sz w:val="19"/>
          <w:szCs w:val="19"/>
          <w:color w:val="auto"/>
        </w:rPr>
      </w:pPr>
      <w:r>
        <w:rPr>
          <w:rFonts w:ascii="Arial" w:cs="Arial" w:eastAsia="Arial" w:hAnsi="Arial"/>
          <w:sz w:val="19"/>
          <w:szCs w:val="19"/>
          <w:i w:val="1"/>
          <w:iCs w:val="1"/>
          <w:color w:val="auto"/>
        </w:rPr>
        <w:t xml:space="preserve">Other Areas </w:t>
      </w:r>
      <w:r>
        <w:rPr>
          <w:rFonts w:ascii="Arial" w:cs="Arial" w:eastAsia="Arial" w:hAnsi="Arial"/>
          <w:sz w:val="19"/>
          <w:szCs w:val="19"/>
          <w:color w:val="auto"/>
        </w:rPr>
        <w:t>– We are in the process of remediation activities, including enhancing the design and operating</w:t>
      </w:r>
      <w:r>
        <w:rPr>
          <w:rFonts w:ascii="Arial" w:cs="Arial" w:eastAsia="Arial" w:hAnsi="Arial"/>
          <w:sz w:val="19"/>
          <w:szCs w:val="19"/>
          <w:i w:val="1"/>
          <w:iCs w:val="1"/>
          <w:color w:val="auto"/>
        </w:rPr>
        <w:t xml:space="preserve"> </w:t>
      </w:r>
      <w:r>
        <w:rPr>
          <w:rFonts w:ascii="Arial" w:cs="Arial" w:eastAsia="Arial" w:hAnsi="Arial"/>
          <w:sz w:val="19"/>
          <w:szCs w:val="19"/>
          <w:color w:val="auto"/>
        </w:rPr>
        <w:t>effectiveness of controls around our ICFR. We are actively working with an outside global consulting firm to assist us with</w:t>
      </w:r>
    </w:p>
    <w:p>
      <w:pPr>
        <w:spacing w:after="0" w:line="1" w:lineRule="exact"/>
        <w:rPr>
          <w:rFonts w:ascii="Arial" w:cs="Arial" w:eastAsia="Arial" w:hAnsi="Arial"/>
          <w:sz w:val="19"/>
          <w:szCs w:val="19"/>
          <w:color w:val="auto"/>
        </w:rPr>
      </w:pPr>
    </w:p>
    <w:p>
      <w:pPr>
        <w:jc w:val="both"/>
        <w:ind w:left="660" w:hanging="4"/>
        <w:spacing w:after="0" w:line="262" w:lineRule="auto"/>
        <w:tabs>
          <w:tab w:leader="none" w:pos="892" w:val="left"/>
        </w:tabs>
        <w:numPr>
          <w:ilvl w:val="1"/>
          <w:numId w:val="22"/>
        </w:numPr>
        <w:rPr>
          <w:rFonts w:ascii="Arial" w:cs="Arial" w:eastAsia="Arial" w:hAnsi="Arial"/>
          <w:sz w:val="20"/>
          <w:szCs w:val="20"/>
          <w:color w:val="auto"/>
        </w:rPr>
      </w:pPr>
      <w:r>
        <w:rPr>
          <w:rFonts w:ascii="Arial" w:cs="Arial" w:eastAsia="Arial" w:hAnsi="Arial"/>
          <w:sz w:val="20"/>
          <w:szCs w:val="20"/>
          <w:color w:val="auto"/>
        </w:rPr>
        <w:t>reviewing our current processes, procedures, and systems to assess our ICFR to identify opportunities to enhance the design of controls to address relevant risks identified by management, and (ii) enhancing and implementing protocols to retain sufficient documentary evidence of operating effectiveness of such controls. Additional activities in process include the following:</w:t>
      </w:r>
    </w:p>
    <w:p>
      <w:pPr>
        <w:spacing w:after="0" w:line="94" w:lineRule="exact"/>
        <w:rPr>
          <w:rFonts w:ascii="Arial" w:cs="Arial" w:eastAsia="Arial" w:hAnsi="Arial"/>
          <w:sz w:val="20"/>
          <w:szCs w:val="20"/>
          <w:color w:val="auto"/>
        </w:rPr>
      </w:pPr>
    </w:p>
    <w:p>
      <w:pPr>
        <w:ind w:left="1300" w:hanging="320"/>
        <w:spacing w:after="0" w:line="275" w:lineRule="auto"/>
        <w:tabs>
          <w:tab w:leader="none" w:pos="1311" w:val="left"/>
        </w:tabs>
        <w:numPr>
          <w:ilvl w:val="2"/>
          <w:numId w:val="22"/>
        </w:numPr>
        <w:rPr>
          <w:rFonts w:ascii="Arial" w:cs="Arial" w:eastAsia="Arial" w:hAnsi="Arial"/>
          <w:sz w:val="20"/>
          <w:szCs w:val="20"/>
          <w:color w:val="auto"/>
        </w:rPr>
      </w:pPr>
      <w:r>
        <w:rPr>
          <w:rFonts w:ascii="Arial" w:cs="Arial" w:eastAsia="Arial" w:hAnsi="Arial"/>
          <w:sz w:val="20"/>
          <w:szCs w:val="20"/>
          <w:color w:val="auto"/>
        </w:rPr>
        <w:t>Continuing to enhance and formalize our accounting and business operations policies, procedures, and controls to achieve complete, accurate, and timely financial accounting, reporting and necessary disclosures;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50" w:name="page51"/>
    <w:bookmarkEnd w:id="50"/>
    <w:p>
      <w:pPr>
        <w:jc w:val="both"/>
        <w:ind w:left="1300" w:hanging="320"/>
        <w:spacing w:after="0" w:line="271" w:lineRule="auto"/>
        <w:tabs>
          <w:tab w:leader="none" w:pos="1322" w:val="left"/>
        </w:tabs>
        <w:numPr>
          <w:ilvl w:val="0"/>
          <w:numId w:val="23"/>
        </w:numPr>
        <w:rPr>
          <w:rFonts w:ascii="Arial" w:cs="Arial" w:eastAsia="Arial" w:hAnsi="Arial"/>
          <w:sz w:val="20"/>
          <w:szCs w:val="20"/>
          <w:color w:val="auto"/>
        </w:rPr>
      </w:pPr>
      <w:r>
        <w:rPr>
          <w:rFonts w:ascii="Arial" w:cs="Arial" w:eastAsia="Arial" w:hAnsi="Arial"/>
          <w:sz w:val="20"/>
          <w:szCs w:val="20"/>
          <w:color w:val="auto"/>
        </w:rPr>
        <w:t>Enhancing policies and procedures to retain adequate documentary evidence for relevant management review controls over certain business processes including precision of review and evidence of review procedures performed to demonstrate effective operation of such controls; and</w:t>
      </w:r>
    </w:p>
    <w:p>
      <w:pPr>
        <w:spacing w:after="0" w:line="71" w:lineRule="exact"/>
        <w:rPr>
          <w:rFonts w:ascii="Arial" w:cs="Arial" w:eastAsia="Arial" w:hAnsi="Arial"/>
          <w:sz w:val="20"/>
          <w:szCs w:val="20"/>
          <w:color w:val="auto"/>
        </w:rPr>
      </w:pPr>
    </w:p>
    <w:p>
      <w:pPr>
        <w:ind w:left="1300" w:hanging="320"/>
        <w:spacing w:after="0" w:line="275" w:lineRule="auto"/>
        <w:tabs>
          <w:tab w:leader="none" w:pos="1328" w:val="left"/>
        </w:tabs>
        <w:numPr>
          <w:ilvl w:val="0"/>
          <w:numId w:val="23"/>
        </w:numPr>
        <w:rPr>
          <w:rFonts w:ascii="Arial" w:cs="Arial" w:eastAsia="Arial" w:hAnsi="Arial"/>
          <w:sz w:val="20"/>
          <w:szCs w:val="20"/>
          <w:color w:val="auto"/>
        </w:rPr>
      </w:pPr>
      <w:r>
        <w:rPr>
          <w:rFonts w:ascii="Arial" w:cs="Arial" w:eastAsia="Arial" w:hAnsi="Arial"/>
          <w:sz w:val="20"/>
          <w:szCs w:val="20"/>
          <w:color w:val="auto"/>
        </w:rPr>
        <w:t>Developing monitoring controls and protocols that will allow us to timely assess the design and the operating effectiveness of controls over financial reporting and make necessary changes to the design of controls, if any.</w:t>
      </w:r>
    </w:p>
    <w:p>
      <w:pPr>
        <w:spacing w:after="0" w:line="215" w:lineRule="exact"/>
        <w:rPr>
          <w:sz w:val="20"/>
          <w:szCs w:val="20"/>
          <w:color w:val="auto"/>
        </w:rPr>
      </w:pPr>
    </w:p>
    <w:p>
      <w:pPr>
        <w:jc w:val="both"/>
        <w:spacing w:after="0" w:line="265" w:lineRule="auto"/>
        <w:rPr>
          <w:sz w:val="20"/>
          <w:szCs w:val="20"/>
          <w:color w:val="auto"/>
        </w:rPr>
      </w:pPr>
      <w:r>
        <w:rPr>
          <w:rFonts w:ascii="Arial" w:cs="Arial" w:eastAsia="Arial" w:hAnsi="Arial"/>
          <w:sz w:val="20"/>
          <w:szCs w:val="20"/>
          <w:color w:val="auto"/>
        </w:rPr>
        <w:t>While these actions currently in process are subject to ongoing management evaluation and will require validation and testing of the design and operating effectiveness of internal controls over a sustained period of financial reporting cycles, we are committed to the continuous improvement of our internal control over financial reporting and will continue to review our internal control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Other than as discussed above, there were no other changes to our internal control over financial reporting during the three months ended June 30, 2023, that have materially affected, or that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PART II—OTHER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266" w:lineRule="exact"/>
        <w:rPr>
          <w:sz w:val="20"/>
          <w:szCs w:val="20"/>
          <w:color w:val="auto"/>
        </w:rPr>
      </w:pPr>
    </w:p>
    <w:p>
      <w:pPr>
        <w:jc w:val="both"/>
        <w:spacing w:after="0" w:line="280" w:lineRule="auto"/>
        <w:rPr>
          <w:sz w:val="20"/>
          <w:szCs w:val="20"/>
          <w:color w:val="auto"/>
        </w:rPr>
      </w:pPr>
      <w:r>
        <w:rPr>
          <w:rFonts w:ascii="Arial" w:cs="Arial" w:eastAsia="Arial" w:hAnsi="Arial"/>
          <w:sz w:val="19"/>
          <w:szCs w:val="19"/>
          <w:color w:val="auto"/>
        </w:rPr>
        <w:t xml:space="preserve">See </w:t>
      </w:r>
      <w:r>
        <w:rPr>
          <w:rFonts w:ascii="Arial" w:cs="Arial" w:eastAsia="Arial" w:hAnsi="Arial"/>
          <w:sz w:val="19"/>
          <w:szCs w:val="19"/>
          <w:u w:val="single" w:color="auto"/>
          <w:color w:val="0000FF"/>
        </w:rPr>
        <w:t>Note 11 – Commitments and Contingencies</w:t>
      </w:r>
      <w:r>
        <w:rPr>
          <w:rFonts w:ascii="Arial" w:cs="Arial" w:eastAsia="Arial" w:hAnsi="Arial"/>
          <w:sz w:val="19"/>
          <w:szCs w:val="19"/>
          <w:color w:val="auto"/>
        </w:rPr>
        <w:t xml:space="preserve"> under the heading “Legal Proceedings” of our condensed consolidated financial statements for legal proceedings and related matters. In addition to the lawsuits described in Note 11 to our condensed consolidated financial statements, from time to time we may be involved in claims arising in the ordinary course of business. To our knowledge, other than the cases described in Note 11 to our condensed consolidated financial statements, no material legal proceedings, governmental actions, investigations or claims are currently pending against us or involve us that, in the opinion of our management, could reasonably be expected to have a material adverse effect on our business and financial condition.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266" w:lineRule="exact"/>
        <w:rPr>
          <w:sz w:val="20"/>
          <w:szCs w:val="20"/>
          <w:color w:val="auto"/>
        </w:rPr>
      </w:pPr>
    </w:p>
    <w:p>
      <w:pPr>
        <w:jc w:val="both"/>
        <w:spacing w:after="0" w:line="265" w:lineRule="auto"/>
        <w:rPr>
          <w:rFonts w:ascii="Arial" w:cs="Arial" w:eastAsia="Arial" w:hAnsi="Arial"/>
          <w:sz w:val="20"/>
          <w:szCs w:val="20"/>
          <w:color w:val="0000FF"/>
        </w:rPr>
      </w:pPr>
      <w:r>
        <w:rPr>
          <w:rFonts w:ascii="Arial" w:cs="Arial" w:eastAsia="Arial" w:hAnsi="Arial"/>
          <w:sz w:val="20"/>
          <w:szCs w:val="20"/>
          <w:color w:val="auto"/>
        </w:rPr>
        <w:t xml:space="preserve">Except to the extent additional factual information disclosed elsewhere in this Quarterly Report relates to such risk factors (including, without limitation, the matters discussed in </w:t>
      </w:r>
      <w:r>
        <w:rPr>
          <w:rFonts w:ascii="Arial" w:cs="Arial" w:eastAsia="Arial" w:hAnsi="Arial"/>
          <w:sz w:val="20"/>
          <w:szCs w:val="20"/>
          <w:u w:val="single" w:color="auto"/>
          <w:color w:val="0000FF"/>
        </w:rPr>
        <w:t>Part I, Item 2, “Management’s Discussion and Analysis of Financial</w:t>
      </w:r>
      <w:r>
        <w:rPr>
          <w:rFonts w:ascii="Arial" w:cs="Arial" w:eastAsia="Arial" w:hAnsi="Arial"/>
          <w:sz w:val="20"/>
          <w:szCs w:val="20"/>
          <w:color w:val="auto"/>
        </w:rPr>
        <w:t xml:space="preserve"> </w:t>
      </w:r>
      <w:hyperlink r:id="rId86">
        <w:r>
          <w:rPr>
            <w:rFonts w:ascii="Arial" w:cs="Arial" w:eastAsia="Arial" w:hAnsi="Arial"/>
            <w:sz w:val="20"/>
            <w:szCs w:val="20"/>
            <w:u w:val="single" w:color="auto"/>
            <w:color w:val="0000FF"/>
          </w:rPr>
          <w:t>Condition and Results of Operations”</w:t>
        </w:r>
        <w:r>
          <w:rPr>
            <w:rFonts w:ascii="Arial" w:cs="Arial" w:eastAsia="Arial" w:hAnsi="Arial"/>
            <w:sz w:val="20"/>
            <w:szCs w:val="20"/>
            <w:color w:val="000000"/>
          </w:rPr>
          <w:t>) there were no material changes to the risk factors disclosed in Part I, Item 1A, in our</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2022</w:t>
        </w:r>
      </w:hyperlink>
      <w:r>
        <w:rPr>
          <w:rFonts w:ascii="Arial" w:cs="Arial" w:eastAsia="Arial" w:hAnsi="Arial"/>
          <w:sz w:val="20"/>
          <w:szCs w:val="20"/>
          <w:color w:val="0000FF"/>
        </w:rPr>
        <w:t xml:space="preserve"> </w:t>
      </w:r>
      <w:hyperlink r:id="rId86">
        <w:r>
          <w:rPr>
            <w:rFonts w:ascii="Arial" w:cs="Arial" w:eastAsia="Arial" w:hAnsi="Arial"/>
            <w:sz w:val="20"/>
            <w:szCs w:val="20"/>
            <w:u w:val="single" w:color="auto"/>
            <w:color w:val="0000FF"/>
          </w:rPr>
          <w:t>Annual Report</w:t>
        </w:r>
        <w:r>
          <w:rPr>
            <w:rFonts w:ascii="Arial" w:cs="Arial" w:eastAsia="Arial" w:hAnsi="Arial"/>
            <w:sz w:val="20"/>
            <w:szCs w:val="20"/>
            <w:color w:val="000000"/>
          </w:rPr>
          <w:t>.</w:t>
        </w:r>
      </w:hyperlink>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Use of Proceeds and Issuer Purchases of Equity Securities</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28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During the second quarter of 2023, certain of our directors and officers (as defined in Rule 16a-1(f) under the Securities Exchange Act of 1934, as amended (the “Exchange Act”)) entered into contracts, instructions or written plans for the purchase or sale of our securities that are intended to satisfy the conditions specified in Rule 10b5-1(c) under the Exchange Act for an affirmative defense against liability for trading in securities on the basis of material nonpublic information. We refer to these contracts, instructions, and written plans as “Trading Plans” and each one as a “Trading Plan.”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the material terms of these Trading Plans:</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60" w:type="dxa"/>
            <w:vAlign w:val="bottom"/>
          </w:tcPr>
          <w:p>
            <w:pPr>
              <w:jc w:val="center"/>
              <w:ind w:left="1"/>
              <w:spacing w:after="0"/>
              <w:rPr>
                <w:sz w:val="20"/>
                <w:szCs w:val="20"/>
                <w:color w:val="auto"/>
              </w:rPr>
            </w:pPr>
            <w:r>
              <w:rPr>
                <w:rFonts w:ascii="Arial" w:cs="Arial" w:eastAsia="Arial" w:hAnsi="Arial"/>
                <w:sz w:val="20"/>
                <w:szCs w:val="20"/>
                <w:b w:val="1"/>
                <w:bCs w:val="1"/>
                <w:color w:val="auto"/>
                <w:w w:val="99"/>
              </w:rPr>
              <w:t>Maximum Number of</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20" w:type="dxa"/>
            <w:vAlign w:val="bottom"/>
            <w:vMerge w:val="restart"/>
          </w:tcPr>
          <w:p>
            <w:pPr>
              <w:jc w:val="center"/>
              <w:ind w:right="7"/>
              <w:spacing w:after="0"/>
              <w:rPr>
                <w:sz w:val="20"/>
                <w:szCs w:val="20"/>
                <w:color w:val="auto"/>
              </w:rPr>
            </w:pPr>
            <w:r>
              <w:rPr>
                <w:rFonts w:ascii="Arial" w:cs="Arial" w:eastAsia="Arial" w:hAnsi="Arial"/>
                <w:sz w:val="20"/>
                <w:szCs w:val="20"/>
                <w:b w:val="1"/>
                <w:bCs w:val="1"/>
                <w:color w:val="auto"/>
                <w:w w:val="98"/>
              </w:rPr>
              <w:t>Scheduled</w:t>
            </w:r>
          </w:p>
        </w:tc>
        <w:tc>
          <w:tcPr>
            <w:tcW w:w="1040" w:type="dxa"/>
            <w:vAlign w:val="bottom"/>
          </w:tcPr>
          <w:p>
            <w:pPr>
              <w:spacing w:after="0"/>
              <w:rPr>
                <w:sz w:val="18"/>
                <w:szCs w:val="18"/>
                <w:color w:val="auto"/>
              </w:rPr>
            </w:pPr>
          </w:p>
        </w:tc>
        <w:tc>
          <w:tcPr>
            <w:tcW w:w="2260" w:type="dxa"/>
            <w:vAlign w:val="bottom"/>
          </w:tcPr>
          <w:p>
            <w:pPr>
              <w:jc w:val="center"/>
              <w:ind w:left="1"/>
              <w:spacing w:after="0" w:line="216" w:lineRule="exact"/>
              <w:rPr>
                <w:sz w:val="20"/>
                <w:szCs w:val="20"/>
                <w:color w:val="auto"/>
              </w:rPr>
            </w:pPr>
            <w:r>
              <w:rPr>
                <w:rFonts w:ascii="Arial" w:cs="Arial" w:eastAsia="Arial" w:hAnsi="Arial"/>
                <w:sz w:val="20"/>
                <w:szCs w:val="20"/>
                <w:b w:val="1"/>
                <w:bCs w:val="1"/>
                <w:color w:val="auto"/>
                <w:w w:val="99"/>
              </w:rPr>
              <w:t>Securities to be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800" w:type="dxa"/>
            <w:vAlign w:val="bottom"/>
          </w:tcPr>
          <w:p>
            <w:pPr>
              <w:spacing w:after="0"/>
              <w:rPr>
                <w:sz w:val="7"/>
                <w:szCs w:val="7"/>
                <w:color w:val="auto"/>
              </w:rPr>
            </w:pPr>
          </w:p>
        </w:tc>
        <w:tc>
          <w:tcPr>
            <w:tcW w:w="1400" w:type="dxa"/>
            <w:vAlign w:val="bottom"/>
            <w:vMerge w:val="restart"/>
          </w:tcPr>
          <w:p>
            <w:pPr>
              <w:jc w:val="center"/>
              <w:ind w:left="1"/>
              <w:spacing w:after="0"/>
              <w:rPr>
                <w:sz w:val="20"/>
                <w:szCs w:val="20"/>
                <w:color w:val="auto"/>
              </w:rPr>
            </w:pPr>
            <w:r>
              <w:rPr>
                <w:rFonts w:ascii="Arial" w:cs="Arial" w:eastAsia="Arial" w:hAnsi="Arial"/>
                <w:sz w:val="20"/>
                <w:szCs w:val="20"/>
                <w:b w:val="1"/>
                <w:bCs w:val="1"/>
                <w:color w:val="auto"/>
                <w:w w:val="99"/>
              </w:rPr>
              <w:t>Action &amp;</w:t>
            </w:r>
          </w:p>
        </w:tc>
        <w:tc>
          <w:tcPr>
            <w:tcW w:w="1880" w:type="dxa"/>
            <w:vAlign w:val="bottom"/>
          </w:tcPr>
          <w:p>
            <w:pPr>
              <w:spacing w:after="0"/>
              <w:rPr>
                <w:sz w:val="7"/>
                <w:szCs w:val="7"/>
                <w:color w:val="auto"/>
              </w:rPr>
            </w:pPr>
          </w:p>
        </w:tc>
        <w:tc>
          <w:tcPr>
            <w:tcW w:w="162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2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Purchased or Sold</w:t>
            </w: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Covers</w:t>
            </w: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1620" w:type="dxa"/>
            <w:vAlign w:val="bottom"/>
            <w:vMerge w:val="restart"/>
          </w:tcPr>
          <w:p>
            <w:pPr>
              <w:jc w:val="center"/>
              <w:ind w:right="7"/>
              <w:spacing w:after="0" w:line="216" w:lineRule="exact"/>
              <w:rPr>
                <w:sz w:val="20"/>
                <w:szCs w:val="20"/>
                <w:color w:val="auto"/>
              </w:rPr>
            </w:pPr>
            <w:r>
              <w:rPr>
                <w:rFonts w:ascii="Arial" w:cs="Arial" w:eastAsia="Arial" w:hAnsi="Arial"/>
                <w:sz w:val="20"/>
                <w:szCs w:val="20"/>
                <w:b w:val="1"/>
                <w:bCs w:val="1"/>
                <w:color w:val="auto"/>
                <w:w w:val="97"/>
              </w:rPr>
              <w:t>Termination of</w:t>
            </w:r>
          </w:p>
        </w:tc>
        <w:tc>
          <w:tcPr>
            <w:tcW w:w="1040" w:type="dxa"/>
            <w:vAlign w:val="bottom"/>
          </w:tcPr>
          <w:p>
            <w:pPr>
              <w:spacing w:after="0"/>
              <w:rPr>
                <w:sz w:val="12"/>
                <w:szCs w:val="12"/>
                <w:color w:val="auto"/>
              </w:rPr>
            </w:pPr>
          </w:p>
        </w:tc>
        <w:tc>
          <w:tcPr>
            <w:tcW w:w="226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1400" w:type="dxa"/>
            <w:vAlign w:val="bottom"/>
            <w:vMerge w:val="restart"/>
          </w:tcPr>
          <w:p>
            <w:pPr>
              <w:jc w:val="center"/>
              <w:ind w:left="1"/>
              <w:spacing w:after="0"/>
              <w:rPr>
                <w:sz w:val="20"/>
                <w:szCs w:val="20"/>
                <w:color w:val="auto"/>
              </w:rPr>
            </w:pPr>
            <w:r>
              <w:rPr>
                <w:rFonts w:ascii="Arial" w:cs="Arial" w:eastAsia="Arial" w:hAnsi="Arial"/>
                <w:sz w:val="20"/>
                <w:szCs w:val="20"/>
                <w:b w:val="1"/>
                <w:bCs w:val="1"/>
                <w:color w:val="auto"/>
                <w:w w:val="97"/>
              </w:rPr>
              <w:t>Date of</w:t>
            </w:r>
          </w:p>
        </w:tc>
        <w:tc>
          <w:tcPr>
            <w:tcW w:w="188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Commencement of</w:t>
            </w:r>
          </w:p>
        </w:tc>
        <w:tc>
          <w:tcPr>
            <w:tcW w:w="162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8"/>
              </w:rPr>
              <w:t>Security</w:t>
            </w:r>
          </w:p>
        </w:tc>
        <w:tc>
          <w:tcPr>
            <w:tcW w:w="2260" w:type="dxa"/>
            <w:vAlign w:val="bottom"/>
            <w:vMerge w:val="restart"/>
          </w:tcPr>
          <w:p>
            <w:pPr>
              <w:jc w:val="center"/>
              <w:spacing w:after="0"/>
              <w:rPr>
                <w:sz w:val="20"/>
                <w:szCs w:val="20"/>
                <w:color w:val="auto"/>
              </w:rPr>
            </w:pPr>
            <w:r>
              <w:rPr>
                <w:rFonts w:ascii="Arial" w:cs="Arial" w:eastAsia="Arial" w:hAnsi="Arial"/>
                <w:sz w:val="20"/>
                <w:szCs w:val="20"/>
                <w:b w:val="1"/>
                <w:bCs w:val="1"/>
                <w:color w:val="auto"/>
                <w:w w:val="99"/>
              </w:rPr>
              <w:t>Pursuant to the Rule</w:t>
            </w:r>
          </w:p>
        </w:tc>
        <w:tc>
          <w:tcPr>
            <w:tcW w:w="124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Purchase or</w:t>
            </w:r>
          </w:p>
        </w:tc>
        <w:tc>
          <w:tcPr>
            <w:tcW w:w="0" w:type="dxa"/>
            <w:vAlign w:val="bottom"/>
          </w:tcPr>
          <w:p>
            <w:pPr>
              <w:spacing w:after="0"/>
              <w:rPr>
                <w:sz w:val="1"/>
                <w:szCs w:val="1"/>
                <w:color w:val="auto"/>
              </w:rPr>
            </w:pPr>
          </w:p>
        </w:tc>
      </w:tr>
      <w:tr>
        <w:trPr>
          <w:trHeight w:val="203"/>
        </w:trPr>
        <w:tc>
          <w:tcPr>
            <w:tcW w:w="18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Director/Officer</w:t>
            </w:r>
          </w:p>
        </w:tc>
        <w:tc>
          <w:tcPr>
            <w:tcW w:w="1400" w:type="dxa"/>
            <w:vAlign w:val="bottom"/>
            <w:vMerge w:val="continue"/>
          </w:tcPr>
          <w:p>
            <w:pPr>
              <w:spacing w:after="0"/>
              <w:rPr>
                <w:sz w:val="17"/>
                <w:szCs w:val="17"/>
                <w:color w:val="auto"/>
              </w:rPr>
            </w:pPr>
          </w:p>
        </w:tc>
        <w:tc>
          <w:tcPr>
            <w:tcW w:w="1880" w:type="dxa"/>
            <w:vAlign w:val="bottom"/>
            <w:vMerge w:val="continue"/>
          </w:tcPr>
          <w:p>
            <w:pPr>
              <w:spacing w:after="0"/>
              <w:rPr>
                <w:sz w:val="17"/>
                <w:szCs w:val="17"/>
                <w:color w:val="auto"/>
              </w:rPr>
            </w:pPr>
          </w:p>
        </w:tc>
        <w:tc>
          <w:tcPr>
            <w:tcW w:w="1620" w:type="dxa"/>
            <w:vAlign w:val="bottom"/>
          </w:tcPr>
          <w:p>
            <w:pPr>
              <w:jc w:val="center"/>
              <w:spacing w:after="0" w:line="203" w:lineRule="exact"/>
              <w:rPr>
                <w:sz w:val="20"/>
                <w:szCs w:val="20"/>
                <w:color w:val="auto"/>
              </w:rPr>
            </w:pPr>
            <w:r>
              <w:rPr>
                <w:rFonts w:ascii="Arial" w:cs="Arial" w:eastAsia="Arial" w:hAnsi="Arial"/>
                <w:sz w:val="20"/>
                <w:szCs w:val="20"/>
                <w:b w:val="1"/>
                <w:bCs w:val="1"/>
                <w:color w:val="auto"/>
                <w:w w:val="97"/>
              </w:rPr>
              <w:t>Trading Period</w:t>
            </w:r>
          </w:p>
        </w:tc>
        <w:tc>
          <w:tcPr>
            <w:tcW w:w="104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tcPr>
          <w:p>
            <w:pPr>
              <w:jc w:val="center"/>
              <w:ind w:left="1"/>
              <w:spacing w:after="0" w:line="216" w:lineRule="exact"/>
              <w:rPr>
                <w:sz w:val="20"/>
                <w:szCs w:val="20"/>
                <w:color w:val="auto"/>
              </w:rPr>
            </w:pPr>
            <w:r>
              <w:rPr>
                <w:rFonts w:ascii="Arial" w:cs="Arial" w:eastAsia="Arial" w:hAnsi="Arial"/>
                <w:sz w:val="20"/>
                <w:szCs w:val="20"/>
                <w:b w:val="1"/>
                <w:bCs w:val="1"/>
                <w:color w:val="auto"/>
                <w:w w:val="99"/>
              </w:rPr>
              <w:t>Action</w:t>
            </w:r>
          </w:p>
        </w:tc>
        <w:tc>
          <w:tcPr>
            <w:tcW w:w="188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7"/>
              </w:rPr>
              <w:t>Trading Period</w:t>
            </w: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(1)</w:t>
            </w:r>
          </w:p>
        </w:tc>
        <w:tc>
          <w:tcPr>
            <w:tcW w:w="10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7"/>
              </w:rPr>
              <w:t>Covered</w:t>
            </w:r>
          </w:p>
        </w:tc>
        <w:tc>
          <w:tcPr>
            <w:tcW w:w="2260" w:type="dxa"/>
            <w:vAlign w:val="bottom"/>
            <w:tcBorders>
              <w:bottom w:val="single" w:sz="8" w:color="auto"/>
            </w:tcBorders>
          </w:tcPr>
          <w:p>
            <w:pPr>
              <w:jc w:val="center"/>
              <w:ind w:left="1"/>
              <w:spacing w:after="0" w:line="216" w:lineRule="exact"/>
              <w:rPr>
                <w:sz w:val="20"/>
                <w:szCs w:val="20"/>
                <w:color w:val="auto"/>
              </w:rPr>
            </w:pPr>
            <w:r>
              <w:rPr>
                <w:rFonts w:ascii="Arial" w:cs="Arial" w:eastAsia="Arial" w:hAnsi="Arial"/>
                <w:sz w:val="20"/>
                <w:szCs w:val="20"/>
                <w:b w:val="1"/>
                <w:bCs w:val="1"/>
                <w:color w:val="auto"/>
                <w:w w:val="96"/>
              </w:rPr>
              <w:t xml:space="preserve">10b5-1 Trading Plan </w:t>
            </w:r>
            <w:r>
              <w:rPr>
                <w:rFonts w:ascii="Arial" w:cs="Arial" w:eastAsia="Arial" w:hAnsi="Arial"/>
                <w:sz w:val="25"/>
                <w:szCs w:val="25"/>
                <w:b w:val="1"/>
                <w:bCs w:val="1"/>
                <w:color w:val="auto"/>
                <w:w w:val="96"/>
                <w:vertAlign w:val="superscript"/>
              </w:rPr>
              <w:t>(2)</w:t>
            </w:r>
          </w:p>
        </w:tc>
        <w:tc>
          <w:tcPr>
            <w:tcW w:w="124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20"/>
                <w:szCs w:val="20"/>
                <w:b w:val="1"/>
                <w:bCs w:val="1"/>
                <w:color w:val="auto"/>
                <w:w w:val="97"/>
              </w:rPr>
              <w:t>Sale?</w:t>
            </w:r>
          </w:p>
        </w:tc>
        <w:tc>
          <w:tcPr>
            <w:tcW w:w="0" w:type="dxa"/>
            <w:vAlign w:val="bottom"/>
          </w:tcPr>
          <w:p>
            <w:pPr>
              <w:spacing w:after="0"/>
              <w:rPr>
                <w:sz w:val="1"/>
                <w:szCs w:val="1"/>
                <w:color w:val="auto"/>
              </w:rPr>
            </w:pPr>
          </w:p>
        </w:tc>
      </w:tr>
      <w:tr>
        <w:trPr>
          <w:trHeight w:val="232"/>
        </w:trPr>
        <w:tc>
          <w:tcPr>
            <w:tcW w:w="1800" w:type="dxa"/>
            <w:vAlign w:val="bottom"/>
          </w:tcPr>
          <w:p>
            <w:pPr>
              <w:ind w:left="20"/>
              <w:spacing w:after="0"/>
              <w:rPr>
                <w:sz w:val="20"/>
                <w:szCs w:val="20"/>
                <w:color w:val="auto"/>
              </w:rPr>
            </w:pPr>
            <w:r>
              <w:rPr>
                <w:rFonts w:ascii="Arial" w:cs="Arial" w:eastAsia="Arial" w:hAnsi="Arial"/>
                <w:sz w:val="20"/>
                <w:szCs w:val="20"/>
                <w:color w:val="auto"/>
              </w:rPr>
              <w:t>Nipul Patel, Chief</w:t>
            </w:r>
          </w:p>
        </w:tc>
        <w:tc>
          <w:tcPr>
            <w:tcW w:w="1400" w:type="dxa"/>
            <w:vAlign w:val="bottom"/>
          </w:tcPr>
          <w:p>
            <w:pPr>
              <w:jc w:val="center"/>
              <w:ind w:left="1"/>
              <w:spacing w:after="0"/>
              <w:rPr>
                <w:sz w:val="20"/>
                <w:szCs w:val="20"/>
                <w:color w:val="auto"/>
              </w:rPr>
            </w:pPr>
            <w:r>
              <w:rPr>
                <w:rFonts w:ascii="Arial" w:cs="Arial" w:eastAsia="Arial" w:hAnsi="Arial"/>
                <w:sz w:val="20"/>
                <w:szCs w:val="20"/>
                <w:color w:val="auto"/>
                <w:w w:val="98"/>
              </w:rPr>
              <w:t>Adoption</w:t>
            </w:r>
          </w:p>
        </w:tc>
        <w:tc>
          <w:tcPr>
            <w:tcW w:w="1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Common</w:t>
            </w:r>
          </w:p>
        </w:tc>
        <w:tc>
          <w:tcPr>
            <w:tcW w:w="2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1800" w:type="dxa"/>
            <w:vAlign w:val="bottom"/>
          </w:tcPr>
          <w:p>
            <w:pPr>
              <w:ind w:left="20"/>
              <w:spacing w:after="0"/>
              <w:rPr>
                <w:sz w:val="20"/>
                <w:szCs w:val="20"/>
                <w:color w:val="auto"/>
              </w:rPr>
            </w:pPr>
            <w:r>
              <w:rPr>
                <w:rFonts w:ascii="Arial" w:cs="Arial" w:eastAsia="Arial" w:hAnsi="Arial"/>
                <w:sz w:val="20"/>
                <w:szCs w:val="20"/>
                <w:color w:val="auto"/>
              </w:rPr>
              <w:t>Financial Officer</w:t>
            </w:r>
          </w:p>
        </w:tc>
        <w:tc>
          <w:tcPr>
            <w:tcW w:w="1400" w:type="dxa"/>
            <w:vAlign w:val="bottom"/>
          </w:tcPr>
          <w:p>
            <w:pPr>
              <w:jc w:val="center"/>
              <w:spacing w:after="0"/>
              <w:rPr>
                <w:sz w:val="20"/>
                <w:szCs w:val="20"/>
                <w:color w:val="auto"/>
              </w:rPr>
            </w:pPr>
            <w:r>
              <w:rPr>
                <w:rFonts w:ascii="Arial" w:cs="Arial" w:eastAsia="Arial" w:hAnsi="Arial"/>
                <w:sz w:val="20"/>
                <w:szCs w:val="20"/>
                <w:color w:val="auto"/>
                <w:w w:val="98"/>
              </w:rPr>
              <w:t>May 15, 2023</w:t>
            </w:r>
          </w:p>
        </w:tc>
        <w:tc>
          <w:tcPr>
            <w:tcW w:w="1880" w:type="dxa"/>
            <w:vAlign w:val="bottom"/>
          </w:tcPr>
          <w:p>
            <w:pPr>
              <w:jc w:val="center"/>
              <w:spacing w:after="0"/>
              <w:rPr>
                <w:sz w:val="20"/>
                <w:szCs w:val="20"/>
                <w:color w:val="auto"/>
              </w:rPr>
            </w:pPr>
            <w:r>
              <w:rPr>
                <w:rFonts w:ascii="Arial" w:cs="Arial" w:eastAsia="Arial" w:hAnsi="Arial"/>
                <w:sz w:val="20"/>
                <w:szCs w:val="20"/>
                <w:color w:val="auto"/>
                <w:w w:val="98"/>
              </w:rPr>
              <w:t>August 14, 2023</w:t>
            </w:r>
          </w:p>
        </w:tc>
        <w:tc>
          <w:tcPr>
            <w:tcW w:w="1620" w:type="dxa"/>
            <w:vAlign w:val="bottom"/>
          </w:tcPr>
          <w:p>
            <w:pPr>
              <w:jc w:val="center"/>
              <w:spacing w:after="0"/>
              <w:rPr>
                <w:sz w:val="20"/>
                <w:szCs w:val="20"/>
                <w:color w:val="auto"/>
              </w:rPr>
            </w:pPr>
            <w:r>
              <w:rPr>
                <w:rFonts w:ascii="Arial" w:cs="Arial" w:eastAsia="Arial" w:hAnsi="Arial"/>
                <w:sz w:val="20"/>
                <w:szCs w:val="20"/>
                <w:color w:val="auto"/>
                <w:w w:val="99"/>
              </w:rPr>
              <w:t>May 3, 2024</w:t>
            </w:r>
          </w:p>
        </w:tc>
        <w:tc>
          <w:tcPr>
            <w:tcW w:w="1040" w:type="dxa"/>
            <w:vAlign w:val="bottom"/>
          </w:tcPr>
          <w:p>
            <w:pPr>
              <w:jc w:val="center"/>
              <w:spacing w:after="0"/>
              <w:rPr>
                <w:sz w:val="20"/>
                <w:szCs w:val="20"/>
                <w:color w:val="auto"/>
              </w:rPr>
            </w:pPr>
            <w:r>
              <w:rPr>
                <w:rFonts w:ascii="Arial" w:cs="Arial" w:eastAsia="Arial" w:hAnsi="Arial"/>
                <w:sz w:val="20"/>
                <w:szCs w:val="20"/>
                <w:color w:val="auto"/>
                <w:w w:val="99"/>
              </w:rPr>
              <w:t>Stock</w:t>
            </w:r>
          </w:p>
        </w:tc>
        <w:tc>
          <w:tcPr>
            <w:tcW w:w="2260" w:type="dxa"/>
            <w:vAlign w:val="bottom"/>
          </w:tcPr>
          <w:p>
            <w:pPr>
              <w:jc w:val="right"/>
              <w:ind w:right="681"/>
              <w:spacing w:after="0"/>
              <w:rPr>
                <w:sz w:val="20"/>
                <w:szCs w:val="20"/>
                <w:color w:val="auto"/>
              </w:rPr>
            </w:pPr>
            <w:r>
              <w:rPr>
                <w:rFonts w:ascii="Arial" w:cs="Arial" w:eastAsia="Arial" w:hAnsi="Arial"/>
                <w:sz w:val="20"/>
                <w:szCs w:val="20"/>
                <w:color w:val="auto"/>
              </w:rPr>
              <w:t>76,925</w:t>
            </w:r>
          </w:p>
        </w:tc>
        <w:tc>
          <w:tcPr>
            <w:tcW w:w="1240" w:type="dxa"/>
            <w:vAlign w:val="bottom"/>
          </w:tcPr>
          <w:p>
            <w:pPr>
              <w:jc w:val="center"/>
              <w:spacing w:after="0"/>
              <w:rPr>
                <w:sz w:val="20"/>
                <w:szCs w:val="20"/>
                <w:color w:val="auto"/>
              </w:rPr>
            </w:pPr>
            <w:r>
              <w:rPr>
                <w:rFonts w:ascii="Arial" w:cs="Arial" w:eastAsia="Arial" w:hAnsi="Arial"/>
                <w:sz w:val="20"/>
                <w:szCs w:val="20"/>
                <w:color w:val="auto"/>
                <w:w w:val="99"/>
              </w:rPr>
              <w:t>Sale</w:t>
            </w:r>
          </w:p>
        </w:tc>
        <w:tc>
          <w:tcPr>
            <w:tcW w:w="0" w:type="dxa"/>
            <w:vAlign w:val="bottom"/>
          </w:tcPr>
          <w:p>
            <w:pPr>
              <w:spacing w:after="0"/>
              <w:rPr>
                <w:sz w:val="1"/>
                <w:szCs w:val="1"/>
                <w:color w:val="auto"/>
              </w:rPr>
            </w:pPr>
          </w:p>
        </w:tc>
      </w:tr>
      <w:tr>
        <w:trPr>
          <w:trHeight w:val="248"/>
        </w:trPr>
        <w:tc>
          <w:tcPr>
            <w:tcW w:w="1800" w:type="dxa"/>
            <w:vAlign w:val="bottom"/>
          </w:tcPr>
          <w:p>
            <w:pPr>
              <w:ind w:left="20"/>
              <w:spacing w:after="0"/>
              <w:rPr>
                <w:sz w:val="20"/>
                <w:szCs w:val="20"/>
                <w:color w:val="auto"/>
              </w:rPr>
            </w:pPr>
            <w:r>
              <w:rPr>
                <w:rFonts w:ascii="Arial" w:cs="Arial" w:eastAsia="Arial" w:hAnsi="Arial"/>
                <w:sz w:val="20"/>
                <w:szCs w:val="20"/>
                <w:color w:val="auto"/>
              </w:rPr>
              <w:t>Tyson Hottinger,</w:t>
            </w:r>
          </w:p>
        </w:tc>
        <w:tc>
          <w:tcPr>
            <w:tcW w:w="1400" w:type="dxa"/>
            <w:vAlign w:val="bottom"/>
          </w:tcPr>
          <w:p>
            <w:pPr>
              <w:jc w:val="center"/>
              <w:ind w:left="1"/>
              <w:spacing w:after="0"/>
              <w:rPr>
                <w:sz w:val="20"/>
                <w:szCs w:val="20"/>
                <w:color w:val="auto"/>
              </w:rPr>
            </w:pPr>
            <w:r>
              <w:rPr>
                <w:rFonts w:ascii="Arial" w:cs="Arial" w:eastAsia="Arial" w:hAnsi="Arial"/>
                <w:sz w:val="20"/>
                <w:szCs w:val="20"/>
                <w:color w:val="auto"/>
                <w:w w:val="98"/>
              </w:rPr>
              <w:t>Adoption</w:t>
            </w:r>
          </w:p>
        </w:tc>
        <w:tc>
          <w:tcPr>
            <w:tcW w:w="18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20"/>
                <w:szCs w:val="20"/>
                <w:color w:val="auto"/>
                <w:w w:val="98"/>
              </w:rPr>
              <w:t>Common</w:t>
            </w:r>
          </w:p>
        </w:tc>
        <w:tc>
          <w:tcPr>
            <w:tcW w:w="2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1800" w:type="dxa"/>
            <w:vAlign w:val="bottom"/>
          </w:tcPr>
          <w:p>
            <w:pPr>
              <w:ind w:left="20"/>
              <w:spacing w:after="0"/>
              <w:rPr>
                <w:sz w:val="20"/>
                <w:szCs w:val="20"/>
                <w:color w:val="auto"/>
              </w:rPr>
            </w:pPr>
            <w:r>
              <w:rPr>
                <w:rFonts w:ascii="Arial" w:cs="Arial" w:eastAsia="Arial" w:hAnsi="Arial"/>
                <w:sz w:val="20"/>
                <w:szCs w:val="20"/>
                <w:color w:val="auto"/>
              </w:rPr>
              <w:t>Chief Legal Officer</w:t>
            </w:r>
          </w:p>
        </w:tc>
        <w:tc>
          <w:tcPr>
            <w:tcW w:w="3280" w:type="dxa"/>
            <w:vAlign w:val="bottom"/>
            <w:gridSpan w:val="2"/>
          </w:tcPr>
          <w:p>
            <w:pPr>
              <w:ind w:left="140"/>
              <w:spacing w:after="0"/>
              <w:rPr>
                <w:sz w:val="20"/>
                <w:szCs w:val="20"/>
                <w:color w:val="auto"/>
              </w:rPr>
            </w:pPr>
            <w:r>
              <w:rPr>
                <w:rFonts w:ascii="Arial" w:cs="Arial" w:eastAsia="Arial" w:hAnsi="Arial"/>
                <w:sz w:val="20"/>
                <w:szCs w:val="20"/>
                <w:color w:val="auto"/>
              </w:rPr>
              <w:t>May 31, 2023  September 1, 2023</w:t>
            </w:r>
          </w:p>
        </w:tc>
        <w:tc>
          <w:tcPr>
            <w:tcW w:w="1620" w:type="dxa"/>
            <w:vAlign w:val="bottom"/>
          </w:tcPr>
          <w:p>
            <w:pPr>
              <w:jc w:val="center"/>
              <w:ind w:right="7"/>
              <w:spacing w:after="0"/>
              <w:rPr>
                <w:sz w:val="20"/>
                <w:szCs w:val="20"/>
                <w:color w:val="auto"/>
              </w:rPr>
            </w:pPr>
            <w:r>
              <w:rPr>
                <w:rFonts w:ascii="Arial" w:cs="Arial" w:eastAsia="Arial" w:hAnsi="Arial"/>
                <w:sz w:val="20"/>
                <w:szCs w:val="20"/>
                <w:color w:val="auto"/>
                <w:w w:val="98"/>
              </w:rPr>
              <w:t>August 28, 2024</w:t>
            </w:r>
          </w:p>
        </w:tc>
        <w:tc>
          <w:tcPr>
            <w:tcW w:w="1040" w:type="dxa"/>
            <w:vAlign w:val="bottom"/>
          </w:tcPr>
          <w:p>
            <w:pPr>
              <w:jc w:val="center"/>
              <w:spacing w:after="0"/>
              <w:rPr>
                <w:sz w:val="20"/>
                <w:szCs w:val="20"/>
                <w:color w:val="auto"/>
              </w:rPr>
            </w:pPr>
            <w:r>
              <w:rPr>
                <w:rFonts w:ascii="Arial" w:cs="Arial" w:eastAsia="Arial" w:hAnsi="Arial"/>
                <w:sz w:val="20"/>
                <w:szCs w:val="20"/>
                <w:color w:val="auto"/>
                <w:w w:val="99"/>
              </w:rPr>
              <w:t>Stock</w:t>
            </w:r>
          </w:p>
        </w:tc>
        <w:tc>
          <w:tcPr>
            <w:tcW w:w="2260" w:type="dxa"/>
            <w:vAlign w:val="bottom"/>
          </w:tcPr>
          <w:p>
            <w:pPr>
              <w:jc w:val="right"/>
              <w:ind w:right="741"/>
              <w:spacing w:after="0"/>
              <w:rPr>
                <w:sz w:val="20"/>
                <w:szCs w:val="20"/>
                <w:color w:val="auto"/>
              </w:rPr>
            </w:pPr>
            <w:r>
              <w:rPr>
                <w:rFonts w:ascii="Arial" w:cs="Arial" w:eastAsia="Arial" w:hAnsi="Arial"/>
                <w:sz w:val="20"/>
                <w:szCs w:val="20"/>
                <w:color w:val="auto"/>
              </w:rPr>
              <w:t>9,000</w:t>
            </w:r>
          </w:p>
        </w:tc>
        <w:tc>
          <w:tcPr>
            <w:tcW w:w="1240" w:type="dxa"/>
            <w:vAlign w:val="bottom"/>
          </w:tcPr>
          <w:p>
            <w:pPr>
              <w:jc w:val="center"/>
              <w:spacing w:after="0"/>
              <w:rPr>
                <w:sz w:val="20"/>
                <w:szCs w:val="20"/>
                <w:color w:val="auto"/>
              </w:rPr>
            </w:pPr>
            <w:r>
              <w:rPr>
                <w:rFonts w:ascii="Arial" w:cs="Arial" w:eastAsia="Arial" w:hAnsi="Arial"/>
                <w:sz w:val="20"/>
                <w:szCs w:val="20"/>
                <w:color w:val="auto"/>
                <w:w w:val="99"/>
              </w:rPr>
              <w:t>Sale</w:t>
            </w: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left="660" w:hanging="328"/>
        <w:spacing w:after="0" w:line="260" w:lineRule="auto"/>
        <w:tabs>
          <w:tab w:leader="none" w:pos="8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plans are subject to earlier termination under certain circumstances specified in the plans, including upon the sale or purchase (as applicable) of all shares subject to the plan and upon either party to a plan giving notice of termination within the time prescribed under the plan.</w:t>
      </w:r>
    </w:p>
    <w:p>
      <w:pPr>
        <w:spacing w:after="0" w:line="2" w:lineRule="exact"/>
        <w:rPr>
          <w:rFonts w:ascii="Arial" w:cs="Arial" w:eastAsia="Arial" w:hAnsi="Arial"/>
          <w:sz w:val="18"/>
          <w:szCs w:val="18"/>
          <w:color w:val="auto"/>
        </w:rPr>
      </w:pPr>
    </w:p>
    <w:p>
      <w:pPr>
        <w:ind w:left="600" w:hanging="268"/>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Subject to adjustments for stock splits, stock combinations, stock dividends and other similar changes to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77"/>
        </w:trPr>
        <w:tc>
          <w:tcPr>
            <w:tcW w:w="1560" w:type="dxa"/>
            <w:vAlign w:val="bottom"/>
          </w:tcPr>
          <w:p>
            <w:pPr>
              <w:spacing w:after="0"/>
              <w:rPr>
                <w:sz w:val="20"/>
                <w:szCs w:val="20"/>
                <w:color w:val="auto"/>
              </w:rPr>
            </w:pPr>
            <w:r>
              <w:rPr>
                <w:rFonts w:ascii="Arial" w:cs="Arial" w:eastAsia="Arial" w:hAnsi="Arial"/>
                <w:sz w:val="20"/>
                <w:szCs w:val="20"/>
                <w:b w:val="1"/>
                <w:bCs w:val="1"/>
                <w:color w:val="auto"/>
              </w:rPr>
              <w:t>Item 6. Exhibits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506"/>
        </w:trPr>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20"/>
                <w:szCs w:val="20"/>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9"/>
          </w:tcPr>
          <w:p>
            <w:pPr>
              <w:ind w:left="1440"/>
              <w:spacing w:after="0"/>
              <w:rPr>
                <w:sz w:val="20"/>
                <w:szCs w:val="20"/>
                <w:color w:val="auto"/>
              </w:rPr>
            </w:pPr>
            <w:r>
              <w:rPr>
                <w:rFonts w:ascii="Arial" w:cs="Arial" w:eastAsia="Arial" w:hAnsi="Arial"/>
                <w:sz w:val="20"/>
                <w:szCs w:val="20"/>
                <w:b w:val="1"/>
                <w:bCs w:val="1"/>
                <w:color w:val="auto"/>
              </w:rPr>
              <w:t>Exhibit Description</w:t>
            </w:r>
          </w:p>
        </w:tc>
        <w:tc>
          <w:tcPr>
            <w:tcW w:w="10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Form</w:t>
            </w:r>
          </w:p>
        </w:tc>
        <w:tc>
          <w:tcPr>
            <w:tcW w:w="100" w:type="dxa"/>
            <w:vAlign w:val="bottom"/>
          </w:tcPr>
          <w:p>
            <w:pPr>
              <w:spacing w:after="0"/>
              <w:rPr>
                <w:sz w:val="24"/>
                <w:szCs w:val="24"/>
                <w:color w:val="auto"/>
              </w:rPr>
            </w:pPr>
          </w:p>
        </w:tc>
        <w:tc>
          <w:tcPr>
            <w:tcW w:w="1560" w:type="dxa"/>
            <w:vAlign w:val="bottom"/>
            <w:tcBorders>
              <w:bottom w:val="single" w:sz="8" w:color="auto"/>
            </w:tcBorders>
          </w:tcPr>
          <w:p>
            <w:pPr>
              <w:ind w:left="560"/>
              <w:spacing w:after="0"/>
              <w:rPr>
                <w:sz w:val="20"/>
                <w:szCs w:val="20"/>
                <w:color w:val="auto"/>
              </w:rPr>
            </w:pPr>
            <w:r>
              <w:rPr>
                <w:rFonts w:ascii="Arial" w:cs="Arial" w:eastAsia="Arial" w:hAnsi="Arial"/>
                <w:sz w:val="20"/>
                <w:szCs w:val="20"/>
                <w:b w:val="1"/>
                <w:bCs w:val="1"/>
                <w:color w:val="auto"/>
              </w:rPr>
              <w:t>Date</w:t>
            </w:r>
          </w:p>
        </w:tc>
        <w:tc>
          <w:tcPr>
            <w:tcW w:w="100" w:type="dxa"/>
            <w:vAlign w:val="bottom"/>
          </w:tcPr>
          <w:p>
            <w:pPr>
              <w:spacing w:after="0"/>
              <w:rPr>
                <w:sz w:val="24"/>
                <w:szCs w:val="24"/>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20"/>
                <w:szCs w:val="20"/>
                <w:b w:val="1"/>
                <w:bCs w:val="1"/>
                <w:color w:val="auto"/>
              </w:rPr>
              <w:t>No.</w:t>
            </w:r>
          </w:p>
        </w:tc>
      </w:tr>
      <w:tr>
        <w:trPr>
          <w:trHeight w:val="196"/>
        </w:trPr>
        <w:tc>
          <w:tcPr>
            <w:tcW w:w="156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rPr>
              <w:t>3.1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720" w:type="dxa"/>
            <w:vAlign w:val="bottom"/>
            <w:gridSpan w:val="10"/>
            <w:shd w:val="clear" w:color="auto" w:fill="CCEEFF"/>
          </w:tcPr>
          <w:p>
            <w:pPr>
              <w:spacing w:after="0" w:line="196" w:lineRule="exact"/>
              <w:rPr>
                <w:rFonts w:ascii="Arial" w:cs="Arial" w:eastAsia="Arial" w:hAnsi="Arial"/>
                <w:sz w:val="20"/>
                <w:szCs w:val="20"/>
                <w:color w:val="0000FF"/>
              </w:rPr>
            </w:pPr>
            <w:hyperlink r:id="rId88">
              <w:r>
                <w:rPr>
                  <w:rFonts w:ascii="Arial" w:cs="Arial" w:eastAsia="Arial" w:hAnsi="Arial"/>
                  <w:sz w:val="20"/>
                  <w:szCs w:val="20"/>
                  <w:color w:val="0000FF"/>
                </w:rPr>
                <w:t>Amended and Restated Certificate of Incorporation of Array</w:t>
              </w:r>
            </w:hyperlink>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line="196" w:lineRule="exact"/>
              <w:rPr>
                <w:sz w:val="20"/>
                <w:szCs w:val="20"/>
                <w:color w:val="auto"/>
              </w:rPr>
            </w:pPr>
            <w:r>
              <w:rPr>
                <w:rFonts w:ascii="Arial" w:cs="Arial" w:eastAsia="Arial" w:hAnsi="Arial"/>
                <w:sz w:val="20"/>
                <w:szCs w:val="20"/>
                <w:color w:val="auto"/>
                <w:w w:val="96"/>
              </w:rPr>
              <w:t>8-K</w:t>
            </w:r>
          </w:p>
        </w:tc>
        <w:tc>
          <w:tcPr>
            <w:tcW w:w="1660" w:type="dxa"/>
            <w:vAlign w:val="bottom"/>
            <w:gridSpan w:val="2"/>
            <w:shd w:val="clear" w:color="auto" w:fill="CCEEFF"/>
          </w:tcPr>
          <w:p>
            <w:pPr>
              <w:jc w:val="center"/>
              <w:ind w:left="1"/>
              <w:spacing w:after="0" w:line="196" w:lineRule="exact"/>
              <w:rPr>
                <w:sz w:val="20"/>
                <w:szCs w:val="20"/>
                <w:color w:val="auto"/>
              </w:rPr>
            </w:pPr>
            <w:r>
              <w:rPr>
                <w:rFonts w:ascii="Arial" w:cs="Arial" w:eastAsia="Arial" w:hAnsi="Arial"/>
                <w:sz w:val="20"/>
                <w:szCs w:val="20"/>
                <w:color w:val="auto"/>
                <w:w w:val="99"/>
              </w:rPr>
              <w:t>10/19/2020</w:t>
            </w:r>
          </w:p>
        </w:tc>
        <w:tc>
          <w:tcPr>
            <w:tcW w:w="1140" w:type="dxa"/>
            <w:vAlign w:val="bottom"/>
            <w:gridSpan w:val="2"/>
            <w:shd w:val="clear" w:color="auto" w:fill="CCEEFF"/>
          </w:tcPr>
          <w:p>
            <w:pPr>
              <w:ind w:left="480"/>
              <w:spacing w:after="0" w:line="196" w:lineRule="exact"/>
              <w:rPr>
                <w:sz w:val="20"/>
                <w:szCs w:val="20"/>
                <w:color w:val="auto"/>
              </w:rPr>
            </w:pPr>
            <w:r>
              <w:rPr>
                <w:rFonts w:ascii="Arial" w:cs="Arial" w:eastAsia="Arial" w:hAnsi="Arial"/>
                <w:sz w:val="20"/>
                <w:szCs w:val="20"/>
                <w:color w:val="auto"/>
              </w:rPr>
              <w:t>3.1</w:t>
            </w:r>
          </w:p>
        </w:tc>
      </w:tr>
      <w:tr>
        <w:trPr>
          <w:trHeight w:val="183"/>
        </w:trPr>
        <w:tc>
          <w:tcPr>
            <w:tcW w:w="1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220" w:type="dxa"/>
            <w:vAlign w:val="bottom"/>
            <w:tcBorders>
              <w:top w:val="single" w:sz="8" w:color="0000FF"/>
            </w:tcBorders>
            <w:gridSpan w:val="8"/>
            <w:shd w:val="clear" w:color="auto" w:fill="CCEEFF"/>
          </w:tcPr>
          <w:p>
            <w:pPr>
              <w:spacing w:after="0" w:line="183" w:lineRule="exact"/>
              <w:rPr>
                <w:rFonts w:ascii="Arial" w:cs="Arial" w:eastAsia="Arial" w:hAnsi="Arial"/>
                <w:sz w:val="20"/>
                <w:szCs w:val="20"/>
                <w:color w:val="0000FF"/>
              </w:rPr>
            </w:pPr>
            <w:hyperlink r:id="rId88">
              <w:r>
                <w:rPr>
                  <w:rFonts w:ascii="Arial" w:cs="Arial" w:eastAsia="Arial" w:hAnsi="Arial"/>
                  <w:sz w:val="20"/>
                  <w:szCs w:val="20"/>
                  <w:color w:val="0000FF"/>
                </w:rPr>
                <w:t>Technologies, Inc., dated October 19, 2020</w:t>
              </w:r>
            </w:hyperlink>
          </w:p>
        </w:tc>
        <w:tc>
          <w:tcPr>
            <w:tcW w:w="4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34"/>
        </w:trPr>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560" w:type="dxa"/>
            <w:vAlign w:val="bottom"/>
            <w:tcBorders>
              <w:top w:val="single" w:sz="8" w:color="0000FF"/>
            </w:tcBorders>
            <w:shd w:val="clear" w:color="auto" w:fill="CCEEFF"/>
          </w:tcPr>
          <w:p>
            <w:pPr>
              <w:spacing w:after="0"/>
              <w:rPr>
                <w:sz w:val="2"/>
                <w:szCs w:val="2"/>
                <w:color w:val="auto"/>
              </w:rPr>
            </w:pPr>
          </w:p>
        </w:tc>
        <w:tc>
          <w:tcPr>
            <w:tcW w:w="170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r>
      <w:tr>
        <w:trPr>
          <w:trHeight w:val="203"/>
        </w:trPr>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10"/>
          </w:tcPr>
          <w:p>
            <w:pPr>
              <w:spacing w:after="0" w:line="203" w:lineRule="exact"/>
              <w:rPr>
                <w:rFonts w:ascii="Arial" w:cs="Arial" w:eastAsia="Arial" w:hAnsi="Arial"/>
                <w:sz w:val="20"/>
                <w:szCs w:val="20"/>
                <w:color w:val="0000FF"/>
              </w:rPr>
            </w:pPr>
            <w:hyperlink r:id="rId89">
              <w:r>
                <w:rPr>
                  <w:rFonts w:ascii="Arial" w:cs="Arial" w:eastAsia="Arial" w:hAnsi="Arial"/>
                  <w:sz w:val="20"/>
                  <w:szCs w:val="20"/>
                  <w:color w:val="0000FF"/>
                </w:rPr>
                <w:t>Amended and Restated Bylaws of Array Technologies, Inc.,</w:t>
              </w:r>
            </w:hyperlink>
          </w:p>
        </w:tc>
        <w:tc>
          <w:tcPr>
            <w:tcW w:w="10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Arial" w:cs="Arial" w:eastAsia="Arial" w:hAnsi="Arial"/>
                <w:sz w:val="20"/>
                <w:szCs w:val="20"/>
                <w:color w:val="auto"/>
                <w:w w:val="96"/>
              </w:rPr>
              <w:t>8-K</w:t>
            </w:r>
          </w:p>
        </w:tc>
        <w:tc>
          <w:tcPr>
            <w:tcW w:w="1660" w:type="dxa"/>
            <w:vAlign w:val="bottom"/>
            <w:gridSpan w:val="2"/>
          </w:tcPr>
          <w:p>
            <w:pPr>
              <w:jc w:val="center"/>
              <w:ind w:left="1"/>
              <w:spacing w:after="0" w:line="203" w:lineRule="exact"/>
              <w:rPr>
                <w:sz w:val="20"/>
                <w:szCs w:val="20"/>
                <w:color w:val="auto"/>
              </w:rPr>
            </w:pPr>
            <w:r>
              <w:rPr>
                <w:rFonts w:ascii="Arial" w:cs="Arial" w:eastAsia="Arial" w:hAnsi="Arial"/>
                <w:sz w:val="20"/>
                <w:szCs w:val="20"/>
                <w:color w:val="auto"/>
                <w:w w:val="99"/>
              </w:rPr>
              <w:t>10/19/2020</w:t>
            </w:r>
          </w:p>
        </w:tc>
        <w:tc>
          <w:tcPr>
            <w:tcW w:w="1140" w:type="dxa"/>
            <w:vAlign w:val="bottom"/>
            <w:gridSpan w:val="2"/>
          </w:tcPr>
          <w:p>
            <w:pPr>
              <w:ind w:left="480"/>
              <w:spacing w:after="0" w:line="203" w:lineRule="exact"/>
              <w:rPr>
                <w:sz w:val="20"/>
                <w:szCs w:val="20"/>
                <w:color w:val="auto"/>
              </w:rPr>
            </w:pPr>
            <w:r>
              <w:rPr>
                <w:rFonts w:ascii="Arial" w:cs="Arial" w:eastAsia="Arial" w:hAnsi="Arial"/>
                <w:sz w:val="20"/>
                <w:szCs w:val="20"/>
                <w:color w:val="auto"/>
              </w:rPr>
              <w:t>3.2</w:t>
            </w:r>
          </w:p>
        </w:tc>
      </w:tr>
      <w:tr>
        <w:trPr>
          <w:trHeight w:val="169"/>
        </w:trPr>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top w:val="single" w:sz="8" w:color="0000FF"/>
            </w:tcBorders>
            <w:gridSpan w:val="7"/>
          </w:tcPr>
          <w:p>
            <w:pPr>
              <w:spacing w:after="0" w:line="169" w:lineRule="exact"/>
              <w:rPr>
                <w:rFonts w:ascii="Arial" w:cs="Arial" w:eastAsia="Arial" w:hAnsi="Arial"/>
                <w:sz w:val="19"/>
                <w:szCs w:val="19"/>
                <w:color w:val="0000FF"/>
              </w:rPr>
            </w:pPr>
            <w:hyperlink r:id="rId89">
              <w:r>
                <w:rPr>
                  <w:rFonts w:ascii="Arial" w:cs="Arial" w:eastAsia="Arial" w:hAnsi="Arial"/>
                  <w:sz w:val="19"/>
                  <w:szCs w:val="19"/>
                  <w:color w:val="0000FF"/>
                </w:rPr>
                <w:t>dated October 19, 2020</w:t>
              </w:r>
            </w:hyperlink>
          </w:p>
        </w:tc>
        <w:tc>
          <w:tcPr>
            <w:tcW w:w="4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560" w:type="dxa"/>
            <w:vAlign w:val="bottom"/>
            <w:tcBorders>
              <w:top w:val="single" w:sz="8" w:color="0000FF"/>
            </w:tcBorders>
          </w:tcPr>
          <w:p>
            <w:pPr>
              <w:spacing w:after="0"/>
              <w:rPr>
                <w:sz w:val="2"/>
                <w:szCs w:val="2"/>
                <w:color w:val="auto"/>
              </w:rPr>
            </w:pPr>
          </w:p>
        </w:tc>
        <w:tc>
          <w:tcPr>
            <w:tcW w:w="1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3"/>
        </w:trPr>
        <w:tc>
          <w:tcPr>
            <w:tcW w:w="156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5660" w:type="dxa"/>
            <w:vAlign w:val="bottom"/>
            <w:tcBorders>
              <w:bottom w:val="single" w:sz="8" w:color="0000FF"/>
            </w:tcBorders>
            <w:gridSpan w:val="9"/>
            <w:shd w:val="clear" w:color="auto" w:fill="CCEEFF"/>
          </w:tcPr>
          <w:p>
            <w:pPr>
              <w:spacing w:after="0" w:line="216" w:lineRule="exact"/>
              <w:rPr>
                <w:rFonts w:ascii="Arial" w:cs="Arial" w:eastAsia="Arial" w:hAnsi="Arial"/>
                <w:sz w:val="20"/>
                <w:szCs w:val="20"/>
                <w:color w:val="0000FF"/>
                <w:w w:val="98"/>
              </w:rPr>
            </w:pPr>
            <w:hyperlink r:id="rId90">
              <w:r>
                <w:rPr>
                  <w:rFonts w:ascii="Arial" w:cs="Arial" w:eastAsia="Arial" w:hAnsi="Arial"/>
                  <w:sz w:val="20"/>
                  <w:szCs w:val="20"/>
                  <w:color w:val="0000FF"/>
                  <w:w w:val="98"/>
                </w:rPr>
                <w:t>Certificate of Designations of Series A Perpetual Preferred Stock</w:t>
              </w:r>
            </w:hyperlink>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center"/>
              <w:spacing w:after="0" w:line="216" w:lineRule="exact"/>
              <w:rPr>
                <w:sz w:val="20"/>
                <w:szCs w:val="20"/>
                <w:color w:val="auto"/>
              </w:rPr>
            </w:pPr>
            <w:r>
              <w:rPr>
                <w:rFonts w:ascii="Arial" w:cs="Arial" w:eastAsia="Arial" w:hAnsi="Arial"/>
                <w:sz w:val="20"/>
                <w:szCs w:val="20"/>
                <w:color w:val="auto"/>
                <w:w w:val="96"/>
              </w:rPr>
              <w:t>8-K</w:t>
            </w:r>
          </w:p>
        </w:tc>
        <w:tc>
          <w:tcPr>
            <w:tcW w:w="1660" w:type="dxa"/>
            <w:vAlign w:val="bottom"/>
            <w:tcBorders>
              <w:bottom w:val="single" w:sz="8" w:color="CCEEFF"/>
            </w:tcBorders>
            <w:gridSpan w:val="2"/>
            <w:shd w:val="clear" w:color="auto" w:fill="CCEEFF"/>
          </w:tcPr>
          <w:p>
            <w:pPr>
              <w:jc w:val="center"/>
              <w:ind w:left="1"/>
              <w:spacing w:after="0" w:line="216" w:lineRule="exact"/>
              <w:rPr>
                <w:sz w:val="20"/>
                <w:szCs w:val="20"/>
                <w:color w:val="auto"/>
              </w:rPr>
            </w:pPr>
            <w:r>
              <w:rPr>
                <w:rFonts w:ascii="Arial" w:cs="Arial" w:eastAsia="Arial" w:hAnsi="Arial"/>
                <w:sz w:val="20"/>
                <w:szCs w:val="20"/>
                <w:color w:val="auto"/>
                <w:w w:val="98"/>
              </w:rPr>
              <w:t>8/11/2021</w:t>
            </w:r>
          </w:p>
        </w:tc>
        <w:tc>
          <w:tcPr>
            <w:tcW w:w="1140" w:type="dxa"/>
            <w:vAlign w:val="bottom"/>
            <w:tcBorders>
              <w:bottom w:val="single" w:sz="8" w:color="CCEEFF"/>
            </w:tcBorders>
            <w:gridSpan w:val="2"/>
            <w:shd w:val="clear" w:color="auto" w:fill="CCEEFF"/>
          </w:tcPr>
          <w:p>
            <w:pPr>
              <w:ind w:left="480"/>
              <w:spacing w:after="0" w:line="216" w:lineRule="exact"/>
              <w:rPr>
                <w:sz w:val="20"/>
                <w:szCs w:val="20"/>
                <w:color w:val="auto"/>
              </w:rPr>
            </w:pPr>
            <w:r>
              <w:rPr>
                <w:rFonts w:ascii="Arial" w:cs="Arial" w:eastAsia="Arial" w:hAnsi="Arial"/>
                <w:sz w:val="20"/>
                <w:szCs w:val="20"/>
                <w:color w:val="auto"/>
              </w:rPr>
              <w:t>3.1</w:t>
            </w:r>
          </w:p>
        </w:tc>
      </w:tr>
      <w:tr>
        <w:trPr>
          <w:trHeight w:val="203"/>
        </w:trPr>
        <w:tc>
          <w:tcPr>
            <w:tcW w:w="1560" w:type="dxa"/>
            <w:vAlign w:val="bottom"/>
          </w:tcPr>
          <w:p>
            <w:pPr>
              <w:jc w:val="center"/>
              <w:spacing w:after="0" w:line="203" w:lineRule="exact"/>
              <w:rPr>
                <w:sz w:val="20"/>
                <w:szCs w:val="20"/>
                <w:color w:val="auto"/>
              </w:rPr>
            </w:pPr>
            <w:r>
              <w:rPr>
                <w:rFonts w:ascii="Arial" w:cs="Arial" w:eastAsia="Arial" w:hAnsi="Arial"/>
                <w:sz w:val="20"/>
                <w:szCs w:val="20"/>
                <w:color w:val="auto"/>
                <w:w w:val="98"/>
              </w:rPr>
              <w:t>31.1*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10"/>
          </w:tcPr>
          <w:p>
            <w:pPr>
              <w:spacing w:after="0" w:line="203" w:lineRule="exact"/>
              <w:rPr>
                <w:sz w:val="20"/>
                <w:szCs w:val="20"/>
                <w:color w:val="auto"/>
              </w:rPr>
            </w:pPr>
            <w:r>
              <w:rPr>
                <w:rFonts w:ascii="Arial" w:cs="Arial" w:eastAsia="Arial" w:hAnsi="Arial"/>
                <w:sz w:val="20"/>
                <w:szCs w:val="20"/>
                <w:color w:val="0000FF"/>
              </w:rPr>
              <w:t>Certification of the Chief Executive Officer, as required by</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3"/>
        </w:trPr>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20" w:type="dxa"/>
            <w:vAlign w:val="bottom"/>
            <w:tcBorders>
              <w:top w:val="single" w:sz="8" w:color="0000FF"/>
              <w:bottom w:val="single" w:sz="8" w:color="0000FF"/>
            </w:tcBorders>
            <w:gridSpan w:val="5"/>
          </w:tcPr>
          <w:p>
            <w:pPr>
              <w:spacing w:after="0" w:line="183" w:lineRule="exact"/>
              <w:rPr>
                <w:sz w:val="20"/>
                <w:szCs w:val="20"/>
                <w:color w:val="auto"/>
              </w:rPr>
            </w:pPr>
            <w:r>
              <w:rPr>
                <w:rFonts w:ascii="Arial" w:cs="Arial" w:eastAsia="Arial" w:hAnsi="Arial"/>
                <w:sz w:val="20"/>
                <w:szCs w:val="20"/>
                <w:color w:val="0000FF"/>
                <w:w w:val="95"/>
              </w:rPr>
              <w:t>Section 302 of the Sarbanes- Oxley Act of 2002 (18 U.S.C.</w:t>
            </w:r>
          </w:p>
        </w:tc>
        <w:tc>
          <w:tcPr>
            <w:tcW w:w="140" w:type="dxa"/>
            <w:vAlign w:val="bottom"/>
            <w:tcBorders>
              <w:bottom w:val="single" w:sz="8" w:color="0000FF"/>
            </w:tcBorders>
          </w:tcPr>
          <w:p>
            <w:pPr>
              <w:spacing w:after="0"/>
              <w:rPr>
                <w:sz w:val="15"/>
                <w:szCs w:val="15"/>
                <w:color w:val="auto"/>
              </w:rPr>
            </w:pPr>
          </w:p>
        </w:tc>
        <w:tc>
          <w:tcPr>
            <w:tcW w:w="50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69"/>
        </w:trPr>
        <w:tc>
          <w:tcPr>
            <w:tcW w:w="15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520" w:type="dxa"/>
            <w:vAlign w:val="bottom"/>
            <w:tcBorders>
              <w:bottom w:val="single" w:sz="8" w:color="0000FF"/>
            </w:tcBorders>
          </w:tcPr>
          <w:p>
            <w:pPr>
              <w:spacing w:after="0" w:line="169" w:lineRule="exact"/>
              <w:rPr>
                <w:sz w:val="20"/>
                <w:szCs w:val="20"/>
                <w:color w:val="auto"/>
              </w:rPr>
            </w:pPr>
            <w:r>
              <w:rPr>
                <w:rFonts w:ascii="Arial" w:cs="Arial" w:eastAsia="Arial" w:hAnsi="Arial"/>
                <w:sz w:val="19"/>
                <w:szCs w:val="19"/>
                <w:color w:val="0000FF"/>
              </w:rPr>
              <w:t>1350)</w:t>
            </w:r>
          </w:p>
        </w:tc>
        <w:tc>
          <w:tcPr>
            <w:tcW w:w="1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4"/>
        </w:trPr>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156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8"/>
              </w:rPr>
              <w:t>31.2*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720" w:type="dxa"/>
            <w:vAlign w:val="bottom"/>
            <w:gridSpan w:val="10"/>
            <w:shd w:val="clear" w:color="auto" w:fill="CCEEFF"/>
          </w:tcPr>
          <w:p>
            <w:pPr>
              <w:spacing w:after="0" w:line="203" w:lineRule="exact"/>
              <w:rPr>
                <w:sz w:val="20"/>
                <w:szCs w:val="20"/>
                <w:color w:val="auto"/>
              </w:rPr>
            </w:pPr>
            <w:r>
              <w:rPr>
                <w:rFonts w:ascii="Arial" w:cs="Arial" w:eastAsia="Arial" w:hAnsi="Arial"/>
                <w:sz w:val="20"/>
                <w:szCs w:val="20"/>
                <w:color w:val="0000FF"/>
                <w:w w:val="99"/>
              </w:rPr>
              <w:t>Certification of the Chief Financial Officer, as required by Section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83"/>
        </w:trPr>
        <w:tc>
          <w:tcPr>
            <w:tcW w:w="1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660" w:type="dxa"/>
            <w:vAlign w:val="bottom"/>
            <w:tcBorders>
              <w:top w:val="single" w:sz="8" w:color="0000FF"/>
            </w:tcBorders>
            <w:gridSpan w:val="9"/>
            <w:shd w:val="clear" w:color="auto" w:fill="CCEEFF"/>
          </w:tcPr>
          <w:p>
            <w:pPr>
              <w:spacing w:after="0" w:line="183" w:lineRule="exact"/>
              <w:rPr>
                <w:sz w:val="20"/>
                <w:szCs w:val="20"/>
                <w:color w:val="auto"/>
              </w:rPr>
            </w:pPr>
            <w:r>
              <w:rPr>
                <w:rFonts w:ascii="Arial" w:cs="Arial" w:eastAsia="Arial" w:hAnsi="Arial"/>
                <w:sz w:val="20"/>
                <w:szCs w:val="20"/>
                <w:color w:val="0000FF"/>
              </w:rPr>
              <w:t>302 of the Sarbanes- Oxley Act of 2002 (18 U.S.C. 1350)</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CCEEFF"/>
            </w:tcBorders>
            <w:shd w:val="clear" w:color="auto" w:fill="CCEEFF"/>
          </w:tcPr>
          <w:p>
            <w:pPr>
              <w:spacing w:after="0"/>
              <w:rPr>
                <w:sz w:val="15"/>
                <w:szCs w:val="15"/>
                <w:color w:val="auto"/>
              </w:rPr>
            </w:pPr>
          </w:p>
        </w:tc>
      </w:tr>
      <w:tr>
        <w:trPr>
          <w:trHeight w:val="21"/>
        </w:trPr>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560" w:type="dxa"/>
            <w:vAlign w:val="bottom"/>
            <w:tcBorders>
              <w:top w:val="single" w:sz="8" w:color="0000FF"/>
            </w:tcBorders>
            <w:shd w:val="clear" w:color="auto" w:fill="CCEEFF"/>
          </w:tcPr>
          <w:p>
            <w:pPr>
              <w:spacing w:after="0" w:line="20" w:lineRule="exact"/>
              <w:rPr>
                <w:sz w:val="1"/>
                <w:szCs w:val="1"/>
                <w:color w:val="auto"/>
              </w:rPr>
            </w:pPr>
          </w:p>
        </w:tc>
        <w:tc>
          <w:tcPr>
            <w:tcW w:w="170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71"/>
        </w:trPr>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Number</w:t>
            </w: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720" w:type="dxa"/>
            <w:vAlign w:val="bottom"/>
            <w:tcBorders>
              <w:bottom w:val="single" w:sz="8" w:color="auto"/>
            </w:tcBorders>
            <w:gridSpan w:val="5"/>
          </w:tcPr>
          <w:p>
            <w:pPr>
              <w:ind w:left="1940"/>
              <w:spacing w:after="0"/>
              <w:rPr>
                <w:sz w:val="20"/>
                <w:szCs w:val="20"/>
                <w:color w:val="auto"/>
              </w:rPr>
            </w:pPr>
            <w:r>
              <w:rPr>
                <w:rFonts w:ascii="Arial" w:cs="Arial" w:eastAsia="Arial" w:hAnsi="Arial"/>
                <w:sz w:val="20"/>
                <w:szCs w:val="20"/>
                <w:b w:val="1"/>
                <w:bCs w:val="1"/>
                <w:color w:val="auto"/>
              </w:rPr>
              <w:t>Exhibit Description</w:t>
            </w:r>
          </w:p>
        </w:tc>
        <w:tc>
          <w:tcPr>
            <w:tcW w:w="100" w:type="dxa"/>
            <w:vAlign w:val="bottom"/>
          </w:tcPr>
          <w:p>
            <w:pPr>
              <w:spacing w:after="0"/>
              <w:rPr>
                <w:sz w:val="23"/>
                <w:szCs w:val="23"/>
                <w:color w:val="auto"/>
              </w:rPr>
            </w:pPr>
          </w:p>
        </w:tc>
        <w:tc>
          <w:tcPr>
            <w:tcW w:w="940" w:type="dxa"/>
            <w:vAlign w:val="bottom"/>
            <w:tcBorders>
              <w:bottom w:val="single" w:sz="8" w:color="auto"/>
            </w:tcBorders>
          </w:tcPr>
          <w:p>
            <w:pPr>
              <w:ind w:left="220"/>
              <w:spacing w:after="0"/>
              <w:rPr>
                <w:sz w:val="20"/>
                <w:szCs w:val="20"/>
                <w:color w:val="auto"/>
              </w:rPr>
            </w:pPr>
            <w:r>
              <w:rPr>
                <w:rFonts w:ascii="Arial" w:cs="Arial" w:eastAsia="Arial" w:hAnsi="Arial"/>
                <w:sz w:val="20"/>
                <w:szCs w:val="20"/>
                <w:b w:val="1"/>
                <w:bCs w:val="1"/>
                <w:color w:val="auto"/>
              </w:rPr>
              <w:t>Form</w:t>
            </w:r>
          </w:p>
        </w:tc>
        <w:tc>
          <w:tcPr>
            <w:tcW w:w="100" w:type="dxa"/>
            <w:vAlign w:val="bottom"/>
          </w:tcPr>
          <w:p>
            <w:pPr>
              <w:spacing w:after="0"/>
              <w:rPr>
                <w:sz w:val="23"/>
                <w:szCs w:val="23"/>
                <w:color w:val="auto"/>
              </w:rPr>
            </w:pPr>
          </w:p>
        </w:tc>
        <w:tc>
          <w:tcPr>
            <w:tcW w:w="1540" w:type="dxa"/>
            <w:vAlign w:val="bottom"/>
            <w:tcBorders>
              <w:bottom w:val="single" w:sz="8" w:color="auto"/>
            </w:tcBorders>
          </w:tcPr>
          <w:p>
            <w:pPr>
              <w:ind w:left="560"/>
              <w:spacing w:after="0"/>
              <w:rPr>
                <w:sz w:val="20"/>
                <w:szCs w:val="20"/>
                <w:color w:val="auto"/>
              </w:rPr>
            </w:pPr>
            <w:r>
              <w:rPr>
                <w:rFonts w:ascii="Arial" w:cs="Arial" w:eastAsia="Arial" w:hAnsi="Arial"/>
                <w:sz w:val="20"/>
                <w:szCs w:val="20"/>
                <w:b w:val="1"/>
                <w:bCs w:val="1"/>
                <w:color w:val="auto"/>
              </w:rPr>
              <w:t>Date</w:t>
            </w:r>
          </w:p>
        </w:tc>
        <w:tc>
          <w:tcPr>
            <w:tcW w:w="100" w:type="dxa"/>
            <w:vAlign w:val="bottom"/>
          </w:tcPr>
          <w:p>
            <w:pPr>
              <w:spacing w:after="0"/>
              <w:rPr>
                <w:sz w:val="23"/>
                <w:szCs w:val="23"/>
                <w:color w:val="auto"/>
              </w:rPr>
            </w:pP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20"/>
                <w:szCs w:val="20"/>
                <w:b w:val="1"/>
                <w:bCs w:val="1"/>
                <w:color w:val="auto"/>
              </w:rPr>
              <w:t>No.</w:t>
            </w:r>
          </w:p>
        </w:tc>
      </w:tr>
      <w:tr>
        <w:trPr>
          <w:trHeight w:val="190"/>
        </w:trPr>
        <w:tc>
          <w:tcPr>
            <w:tcW w:w="1580" w:type="dxa"/>
            <w:vAlign w:val="bottom"/>
          </w:tcPr>
          <w:p>
            <w:pPr>
              <w:jc w:val="center"/>
              <w:spacing w:after="0" w:line="183" w:lineRule="exact"/>
              <w:rPr>
                <w:sz w:val="20"/>
                <w:szCs w:val="20"/>
                <w:color w:val="auto"/>
              </w:rPr>
            </w:pPr>
            <w:r>
              <w:rPr>
                <w:rFonts w:ascii="Arial" w:cs="Arial" w:eastAsia="Arial" w:hAnsi="Arial"/>
                <w:sz w:val="20"/>
                <w:szCs w:val="20"/>
                <w:color w:val="auto"/>
                <w:w w:val="99"/>
              </w:rPr>
              <w:t>32.1**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720" w:type="dxa"/>
            <w:vAlign w:val="bottom"/>
            <w:gridSpan w:val="5"/>
          </w:tcPr>
          <w:p>
            <w:pPr>
              <w:spacing w:after="0" w:line="183" w:lineRule="exact"/>
              <w:rPr>
                <w:sz w:val="20"/>
                <w:szCs w:val="20"/>
                <w:color w:val="auto"/>
              </w:rPr>
            </w:pPr>
            <w:r>
              <w:rPr>
                <w:rFonts w:ascii="Arial" w:cs="Arial" w:eastAsia="Arial" w:hAnsi="Arial"/>
                <w:sz w:val="20"/>
                <w:szCs w:val="20"/>
                <w:color w:val="0000FF"/>
              </w:rPr>
              <w:t>Certification of the Chief Executive Officer, as required by</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75"/>
        </w:trPr>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0" w:type="dxa"/>
            <w:vAlign w:val="bottom"/>
            <w:tcBorders>
              <w:top w:val="single" w:sz="8" w:color="0000FF"/>
            </w:tcBorders>
            <w:gridSpan w:val="2"/>
          </w:tcPr>
          <w:p>
            <w:pPr>
              <w:spacing w:after="0" w:line="176" w:lineRule="exact"/>
              <w:rPr>
                <w:sz w:val="20"/>
                <w:szCs w:val="20"/>
                <w:color w:val="auto"/>
              </w:rPr>
            </w:pPr>
            <w:r>
              <w:rPr>
                <w:rFonts w:ascii="Arial" w:cs="Arial" w:eastAsia="Arial" w:hAnsi="Arial"/>
                <w:sz w:val="20"/>
                <w:szCs w:val="20"/>
                <w:color w:val="0000FF"/>
                <w:w w:val="96"/>
              </w:rPr>
              <w:t>Section 906 of the Sarbanes-Oxley Act of 2002 (18 U.S.C.</w:t>
            </w:r>
          </w:p>
        </w:tc>
        <w:tc>
          <w:tcPr>
            <w:tcW w:w="660" w:type="dxa"/>
            <w:vAlign w:val="bottom"/>
            <w:gridSpan w:val="2"/>
          </w:tcPr>
          <w:p>
            <w:pPr>
              <w:jc w:val="right"/>
              <w:ind w:right="20"/>
              <w:spacing w:after="0" w:line="176" w:lineRule="exact"/>
              <w:rPr>
                <w:sz w:val="20"/>
                <w:szCs w:val="20"/>
                <w:color w:val="auto"/>
              </w:rPr>
            </w:pPr>
            <w:r>
              <w:rPr>
                <w:rFonts w:ascii="Arial" w:cs="Arial" w:eastAsia="Arial" w:hAnsi="Arial"/>
                <w:sz w:val="20"/>
                <w:szCs w:val="20"/>
                <w:color w:val="0000FF"/>
              </w:rPr>
              <w:t>1350)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34"/>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94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1580" w:type="dxa"/>
            <w:vAlign w:val="bottom"/>
            <w:shd w:val="clear" w:color="auto" w:fill="CCEEFF"/>
          </w:tcPr>
          <w:p>
            <w:pPr>
              <w:jc w:val="center"/>
              <w:spacing w:after="0" w:line="203" w:lineRule="exact"/>
              <w:rPr>
                <w:sz w:val="20"/>
                <w:szCs w:val="20"/>
                <w:color w:val="auto"/>
              </w:rPr>
            </w:pPr>
            <w:r>
              <w:rPr>
                <w:rFonts w:ascii="Arial" w:cs="Arial" w:eastAsia="Arial" w:hAnsi="Arial"/>
                <w:sz w:val="20"/>
                <w:szCs w:val="20"/>
                <w:color w:val="auto"/>
                <w:w w:val="99"/>
              </w:rPr>
              <w:t>32.2**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720" w:type="dxa"/>
            <w:vAlign w:val="bottom"/>
            <w:gridSpan w:val="5"/>
            <w:shd w:val="clear" w:color="auto" w:fill="CCEEFF"/>
          </w:tcPr>
          <w:p>
            <w:pPr>
              <w:spacing w:after="0" w:line="203" w:lineRule="exact"/>
              <w:rPr>
                <w:sz w:val="20"/>
                <w:szCs w:val="20"/>
                <w:color w:val="auto"/>
              </w:rPr>
            </w:pPr>
            <w:r>
              <w:rPr>
                <w:rFonts w:ascii="Arial" w:cs="Arial" w:eastAsia="Arial" w:hAnsi="Arial"/>
                <w:sz w:val="20"/>
                <w:szCs w:val="20"/>
                <w:color w:val="0000FF"/>
                <w:w w:val="99"/>
              </w:rPr>
              <w:t>Certification of the Chief Financial Officer, as required by Section</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03"/>
        </w:trPr>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940" w:type="dxa"/>
            <w:vAlign w:val="bottom"/>
            <w:tcBorders>
              <w:top w:val="single" w:sz="8" w:color="0000FF"/>
              <w:bottom w:val="single" w:sz="8" w:color="0000FF"/>
            </w:tcBorders>
            <w:shd w:val="clear" w:color="auto" w:fill="CCEEFF"/>
          </w:tcPr>
          <w:p>
            <w:pPr>
              <w:spacing w:after="0" w:line="183" w:lineRule="exact"/>
              <w:rPr>
                <w:sz w:val="20"/>
                <w:szCs w:val="20"/>
                <w:color w:val="auto"/>
              </w:rPr>
            </w:pPr>
            <w:r>
              <w:rPr>
                <w:rFonts w:ascii="Arial" w:cs="Arial" w:eastAsia="Arial" w:hAnsi="Arial"/>
                <w:sz w:val="20"/>
                <w:szCs w:val="20"/>
                <w:color w:val="0000FF"/>
                <w:w w:val="98"/>
              </w:rPr>
              <w:t>906 of the Sarbanes-Oxley Act of 2002 (18 U.S.C. 1350)</w:t>
            </w:r>
          </w:p>
        </w:tc>
        <w:tc>
          <w:tcPr>
            <w:tcW w:w="72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5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198"/>
        </w:trPr>
        <w:tc>
          <w:tcPr>
            <w:tcW w:w="1580" w:type="dxa"/>
            <w:vAlign w:val="bottom"/>
          </w:tcPr>
          <w:p>
            <w:pPr>
              <w:jc w:val="center"/>
              <w:spacing w:after="0" w:line="199" w:lineRule="exact"/>
              <w:rPr>
                <w:sz w:val="20"/>
                <w:szCs w:val="20"/>
                <w:color w:val="auto"/>
              </w:rPr>
            </w:pPr>
            <w:r>
              <w:rPr>
                <w:rFonts w:ascii="Arial" w:cs="Arial" w:eastAsia="Arial" w:hAnsi="Arial"/>
                <w:sz w:val="20"/>
                <w:szCs w:val="20"/>
                <w:color w:val="auto"/>
                <w:w w:val="96"/>
              </w:rPr>
              <w:t>101.INS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5"/>
          </w:tcPr>
          <w:p>
            <w:pPr>
              <w:spacing w:after="0" w:line="199" w:lineRule="exact"/>
              <w:rPr>
                <w:sz w:val="20"/>
                <w:szCs w:val="20"/>
                <w:color w:val="auto"/>
              </w:rPr>
            </w:pPr>
            <w:r>
              <w:rPr>
                <w:rFonts w:ascii="Arial" w:cs="Arial" w:eastAsia="Arial" w:hAnsi="Arial"/>
                <w:sz w:val="20"/>
                <w:szCs w:val="20"/>
                <w:color w:val="auto"/>
              </w:rPr>
              <w:t>XBRL Instance Document – the instance document does not</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720" w:type="dxa"/>
            <w:vAlign w:val="bottom"/>
            <w:gridSpan w:val="5"/>
          </w:tcPr>
          <w:p>
            <w:pPr>
              <w:spacing w:after="0" w:line="203" w:lineRule="exact"/>
              <w:rPr>
                <w:sz w:val="20"/>
                <w:szCs w:val="20"/>
                <w:color w:val="auto"/>
              </w:rPr>
            </w:pPr>
            <w:r>
              <w:rPr>
                <w:rFonts w:ascii="Arial" w:cs="Arial" w:eastAsia="Arial" w:hAnsi="Arial"/>
                <w:sz w:val="20"/>
                <w:szCs w:val="20"/>
                <w:color w:val="auto"/>
              </w:rPr>
              <w:t>appear in the Interactive Data file because its XBRL tags are</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47"/>
        </w:trPr>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20" w:type="dxa"/>
            <w:vAlign w:val="bottom"/>
            <w:gridSpan w:val="5"/>
          </w:tcPr>
          <w:p>
            <w:pPr>
              <w:spacing w:after="0"/>
              <w:rPr>
                <w:sz w:val="20"/>
                <w:szCs w:val="20"/>
                <w:color w:val="auto"/>
              </w:rPr>
            </w:pPr>
            <w:r>
              <w:rPr>
                <w:rFonts w:ascii="Arial" w:cs="Arial" w:eastAsia="Arial" w:hAnsi="Arial"/>
                <w:sz w:val="20"/>
                <w:szCs w:val="20"/>
                <w:color w:val="auto"/>
              </w:rPr>
              <w:t>embedded within the Inline XBRL document</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7"/>
        </w:trPr>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101.SCH</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Schema Document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4"/>
        </w:trPr>
        <w:tc>
          <w:tcPr>
            <w:tcW w:w="1580" w:type="dxa"/>
            <w:vAlign w:val="bottom"/>
          </w:tcPr>
          <w:p>
            <w:pPr>
              <w:jc w:val="center"/>
              <w:spacing w:after="0"/>
              <w:rPr>
                <w:sz w:val="20"/>
                <w:szCs w:val="20"/>
                <w:color w:val="auto"/>
              </w:rPr>
            </w:pPr>
            <w:r>
              <w:rPr>
                <w:rFonts w:ascii="Arial" w:cs="Arial" w:eastAsia="Arial" w:hAnsi="Arial"/>
                <w:sz w:val="20"/>
                <w:szCs w:val="20"/>
                <w:color w:val="auto"/>
              </w:rPr>
              <w:t>101.CAL</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5"/>
          </w:tcPr>
          <w:p>
            <w:pPr>
              <w:spacing w:after="0"/>
              <w:rPr>
                <w:sz w:val="20"/>
                <w:szCs w:val="20"/>
                <w:color w:val="auto"/>
              </w:rPr>
            </w:pPr>
            <w:r>
              <w:rPr>
                <w:rFonts w:ascii="Arial" w:cs="Arial" w:eastAsia="Arial" w:hAnsi="Arial"/>
                <w:sz w:val="20"/>
                <w:szCs w:val="20"/>
                <w:color w:val="auto"/>
              </w:rPr>
              <w:t>XBRL Taxonomy Extension Calculation Linkbase Document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46"/>
        </w:trPr>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8"/>
              </w:rPr>
              <w:t>101.DEF</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Definition Linkbase Document</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4"/>
        </w:trPr>
        <w:tc>
          <w:tcPr>
            <w:tcW w:w="1580" w:type="dxa"/>
            <w:vAlign w:val="bottom"/>
          </w:tcPr>
          <w:p>
            <w:pPr>
              <w:jc w:val="center"/>
              <w:spacing w:after="0"/>
              <w:rPr>
                <w:sz w:val="20"/>
                <w:szCs w:val="20"/>
                <w:color w:val="auto"/>
              </w:rPr>
            </w:pPr>
            <w:r>
              <w:rPr>
                <w:rFonts w:ascii="Arial" w:cs="Arial" w:eastAsia="Arial" w:hAnsi="Arial"/>
                <w:sz w:val="20"/>
                <w:szCs w:val="20"/>
                <w:color w:val="auto"/>
                <w:w w:val="98"/>
              </w:rPr>
              <w:t>101.LAB</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720" w:type="dxa"/>
            <w:vAlign w:val="bottom"/>
            <w:gridSpan w:val="5"/>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59"/>
        </w:trPr>
        <w:tc>
          <w:tcPr>
            <w:tcW w:w="1580" w:type="dxa"/>
            <w:vAlign w:val="bottom"/>
            <w:shd w:val="clear" w:color="auto" w:fill="CCEEFF"/>
          </w:tcPr>
          <w:p>
            <w:pPr>
              <w:jc w:val="center"/>
              <w:spacing w:after="0"/>
              <w:rPr>
                <w:sz w:val="20"/>
                <w:szCs w:val="20"/>
                <w:color w:val="auto"/>
              </w:rPr>
            </w:pPr>
            <w:r>
              <w:rPr>
                <w:rFonts w:ascii="Arial" w:cs="Arial" w:eastAsia="Arial" w:hAnsi="Arial"/>
                <w:sz w:val="20"/>
                <w:szCs w:val="20"/>
                <w:color w:val="auto"/>
                <w:w w:val="97"/>
              </w:rPr>
              <w:t>101.PRE</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5720" w:type="dxa"/>
            <w:vAlign w:val="bottom"/>
            <w:gridSpan w:val="5"/>
            <w:shd w:val="clear" w:color="auto" w:fill="CCEEFF"/>
          </w:tcPr>
          <w:p>
            <w:pPr>
              <w:spacing w:after="0"/>
              <w:rPr>
                <w:sz w:val="20"/>
                <w:szCs w:val="20"/>
                <w:color w:val="auto"/>
              </w:rPr>
            </w:pPr>
            <w:r>
              <w:rPr>
                <w:rFonts w:ascii="Arial" w:cs="Arial" w:eastAsia="Arial" w:hAnsi="Arial"/>
                <w:sz w:val="20"/>
                <w:szCs w:val="20"/>
                <w:color w:val="auto"/>
              </w:rPr>
              <w:t>XBRL Taxonomy Extension Presentation Linkbase Document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bl>
    <w:p>
      <w:pPr>
        <w:ind w:left="1700" w:hanging="1077"/>
        <w:spacing w:after="0"/>
        <w:tabs>
          <w:tab w:leader="none" w:pos="1700" w:val="left"/>
        </w:tabs>
        <w:numPr>
          <w:ilvl w:val="1"/>
          <w:numId w:val="25"/>
        </w:numPr>
        <w:rPr>
          <w:rFonts w:ascii="Arial" w:cs="Arial" w:eastAsia="Arial" w:hAnsi="Arial"/>
          <w:sz w:val="20"/>
          <w:szCs w:val="20"/>
          <w:color w:val="auto"/>
        </w:rPr>
      </w:pPr>
      <w:r>
        <w:rPr>
          <w:rFonts w:ascii="Arial" w:cs="Arial" w:eastAsia="Arial" w:hAnsi="Arial"/>
          <w:sz w:val="20"/>
          <w:szCs w:val="20"/>
          <w:color w:val="auto"/>
        </w:rPr>
        <w:t>Cover Page Interactive Data Files</w:t>
      </w:r>
    </w:p>
    <w:p>
      <w:pPr>
        <w:spacing w:after="0" w:line="346"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Filed herewith</w:t>
      </w:r>
    </w:p>
    <w:p>
      <w:pPr>
        <w:spacing w:after="0" w:line="13" w:lineRule="exact"/>
        <w:rPr>
          <w:rFonts w:ascii="Arial" w:cs="Arial" w:eastAsia="Arial" w:hAnsi="Arial"/>
          <w:sz w:val="20"/>
          <w:szCs w:val="20"/>
          <w:color w:val="auto"/>
        </w:rPr>
      </w:pPr>
    </w:p>
    <w:p>
      <w:pPr>
        <w:ind w:left="220" w:hanging="212"/>
        <w:spacing w:after="0"/>
        <w:tabs>
          <w:tab w:leader="none" w:pos="2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3" w:name="page54"/>
    <w:bookmarkEnd w:id="53"/>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309" w:lineRule="exact"/>
        <w:rPr>
          <w:sz w:val="20"/>
          <w:szCs w:val="20"/>
          <w:color w:val="auto"/>
        </w:rPr>
      </w:pPr>
    </w:p>
    <w:p>
      <w:pPr>
        <w:spacing w:after="0" w:line="289" w:lineRule="auto"/>
        <w:rPr>
          <w:sz w:val="20"/>
          <w:szCs w:val="20"/>
          <w:color w:val="auto"/>
        </w:rPr>
      </w:pPr>
      <w:r>
        <w:rPr>
          <w:rFonts w:ascii="Arial" w:cs="Arial" w:eastAsia="Arial" w:hAnsi="Arial"/>
          <w:sz w:val="20"/>
          <w:szCs w:val="20"/>
          <w:color w:val="auto"/>
        </w:rPr>
        <w:t>Pursuant to the requirements of the Securities Exchange Act of 1934, as amended, the registrant has duly caused this report to be signed on its behalf by the undersigned, thereunto duly authorized.</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Array Technologies, Inc.</w:t>
      </w:r>
    </w:p>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61"/>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Kevin G. Hostetler</w:t>
            </w:r>
          </w:p>
        </w:tc>
        <w:tc>
          <w:tcPr>
            <w:tcW w:w="2060" w:type="dxa"/>
            <w:vAlign w:val="bottom"/>
          </w:tcPr>
          <w:p>
            <w:pPr>
              <w:ind w:left="1560"/>
              <w:spacing w:after="0"/>
              <w:rPr>
                <w:sz w:val="20"/>
                <w:szCs w:val="20"/>
                <w:color w:val="auto"/>
              </w:rPr>
            </w:pPr>
            <w:r>
              <w:rPr>
                <w:rFonts w:ascii="Arial" w:cs="Arial" w:eastAsia="Arial" w:hAnsi="Arial"/>
                <w:sz w:val="20"/>
                <w:szCs w:val="20"/>
                <w:color w:val="auto"/>
              </w:rPr>
              <w:t>Date:</w:t>
            </w:r>
          </w:p>
        </w:tc>
        <w:tc>
          <w:tcPr>
            <w:tcW w:w="270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August 8, 2023</w:t>
            </w:r>
          </w:p>
        </w:tc>
      </w:tr>
      <w:tr>
        <w:trPr>
          <w:trHeight w:val="245"/>
        </w:trPr>
        <w:tc>
          <w:tcPr>
            <w:tcW w:w="8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Kevin G. Hostetler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2"/>
        </w:trPr>
        <w:tc>
          <w:tcPr>
            <w:tcW w:w="8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Executive Officer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523"/>
        </w:trPr>
        <w:tc>
          <w:tcPr>
            <w:tcW w:w="880" w:type="dxa"/>
            <w:vAlign w:val="bottom"/>
          </w:tcPr>
          <w:p>
            <w:pPr>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Nipul Patel</w:t>
            </w:r>
          </w:p>
        </w:tc>
        <w:tc>
          <w:tcPr>
            <w:tcW w:w="2060" w:type="dxa"/>
            <w:vAlign w:val="bottom"/>
          </w:tcPr>
          <w:p>
            <w:pPr>
              <w:ind w:left="1560"/>
              <w:spacing w:after="0"/>
              <w:rPr>
                <w:sz w:val="20"/>
                <w:szCs w:val="20"/>
                <w:color w:val="auto"/>
              </w:rPr>
            </w:pPr>
            <w:r>
              <w:rPr>
                <w:rFonts w:ascii="Arial" w:cs="Arial" w:eastAsia="Arial" w:hAnsi="Arial"/>
                <w:sz w:val="20"/>
                <w:szCs w:val="20"/>
                <w:color w:val="auto"/>
              </w:rPr>
              <w:t>Date:</w:t>
            </w:r>
          </w:p>
        </w:tc>
        <w:tc>
          <w:tcPr>
            <w:tcW w:w="2700" w:type="dxa"/>
            <w:vAlign w:val="bottom"/>
            <w:tcBorders>
              <w:bottom w:val="single" w:sz="8" w:color="auto"/>
            </w:tcBorders>
          </w:tcPr>
          <w:p>
            <w:pPr>
              <w:ind w:left="680"/>
              <w:spacing w:after="0"/>
              <w:rPr>
                <w:sz w:val="20"/>
                <w:szCs w:val="20"/>
                <w:color w:val="auto"/>
              </w:rPr>
            </w:pPr>
            <w:r>
              <w:rPr>
                <w:rFonts w:ascii="Arial" w:cs="Arial" w:eastAsia="Arial" w:hAnsi="Arial"/>
                <w:sz w:val="20"/>
                <w:szCs w:val="20"/>
                <w:color w:val="auto"/>
              </w:rPr>
              <w:t>August 8, 2023</w:t>
            </w:r>
          </w:p>
        </w:tc>
      </w:tr>
      <w:tr>
        <w:trPr>
          <w:trHeight w:val="245"/>
        </w:trPr>
        <w:tc>
          <w:tcPr>
            <w:tcW w:w="8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Nipul Patel</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r>
        <w:trPr>
          <w:trHeight w:val="252"/>
        </w:trPr>
        <w:tc>
          <w:tcPr>
            <w:tcW w:w="880" w:type="dxa"/>
            <w:vAlign w:val="bottom"/>
          </w:tcPr>
          <w:p>
            <w:pPr>
              <w:spacing w:after="0"/>
              <w:rPr>
                <w:sz w:val="21"/>
                <w:szCs w:val="21"/>
                <w:color w:val="auto"/>
              </w:rPr>
            </w:pPr>
          </w:p>
        </w:tc>
        <w:tc>
          <w:tcPr>
            <w:tcW w:w="5160" w:type="dxa"/>
            <w:vAlign w:val="bottom"/>
          </w:tcPr>
          <w:p>
            <w:pPr>
              <w:ind w:left="20"/>
              <w:spacing w:after="0"/>
              <w:rPr>
                <w:sz w:val="20"/>
                <w:szCs w:val="20"/>
                <w:color w:val="auto"/>
              </w:rPr>
            </w:pPr>
            <w:r>
              <w:rPr>
                <w:rFonts w:ascii="Arial" w:cs="Arial" w:eastAsia="Arial" w:hAnsi="Arial"/>
                <w:sz w:val="20"/>
                <w:szCs w:val="20"/>
                <w:color w:val="auto"/>
              </w:rPr>
              <w:t>Chief Financial Officer</w:t>
            </w:r>
          </w:p>
        </w:tc>
        <w:tc>
          <w:tcPr>
            <w:tcW w:w="2060" w:type="dxa"/>
            <w:vAlign w:val="bottom"/>
          </w:tcPr>
          <w:p>
            <w:pPr>
              <w:spacing w:after="0"/>
              <w:rPr>
                <w:sz w:val="21"/>
                <w:szCs w:val="21"/>
                <w:color w:val="auto"/>
              </w:rPr>
            </w:pPr>
          </w:p>
        </w:tc>
        <w:tc>
          <w:tcPr>
            <w:tcW w:w="27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120"/>
          </w:cols>
          <w:pgMar w:left="320" w:top="1205"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Kevin G. Hostetler, certify that:</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Array Technologies, Inc.;</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0" w:hanging="320"/>
        <w:spacing w:after="0" w:line="275"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13970</wp:posOffset>
            </wp:positionV>
            <wp:extent cx="356616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Kevin G. Hostetler</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7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EXCHANGE ACT</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Nipul Patel, certify that:</w:t>
      </w:r>
    </w:p>
    <w:p>
      <w:pPr>
        <w:spacing w:after="0" w:line="26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0"/>
          <w:szCs w:val="20"/>
          <w:color w:val="auto"/>
        </w:rPr>
      </w:pPr>
      <w:r>
        <w:rPr>
          <w:rFonts w:ascii="Arial" w:cs="Arial" w:eastAsia="Arial" w:hAnsi="Arial"/>
          <w:sz w:val="18"/>
          <w:szCs w:val="18"/>
          <w:color w:val="auto"/>
        </w:rPr>
        <w:t>I have reviewed this Quarterly Report on Form 10-Q of Array Technologies, Inc.;</w:t>
      </w:r>
    </w:p>
    <w:p>
      <w:pPr>
        <w:spacing w:after="0" w:line="243" w:lineRule="exact"/>
        <w:rPr>
          <w:rFonts w:ascii="Arial" w:cs="Arial" w:eastAsia="Arial" w:hAnsi="Arial"/>
          <w:sz w:val="20"/>
          <w:szCs w:val="20"/>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0" w:hanging="320"/>
        <w:spacing w:after="0" w:line="263"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1300" w:hanging="320"/>
        <w:spacing w:after="0" w:line="275" w:lineRule="auto"/>
        <w:tabs>
          <w:tab w:leader="none" w:pos="13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4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42862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765"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June 30, 2023, as filed with the Securities and Exchange Commission on the date hereof (the “Report”), I, Kevin G. Hostetler, Chief Executive Officer of the Company, certify, pursuant to 18 U.S.C. Section 1350, as adopted pursuant to Section 906 of the Sarbanes-Oxley Act of 2002, that to my knowledge:</w:t>
      </w:r>
    </w:p>
    <w:p>
      <w:pPr>
        <w:spacing w:after="0" w:line="2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G. Hostetler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42862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G. Hostetler</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Executive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ectPr>
          <w:pgSz w:w="11900" w:h="16838" w:orient="portrait"/>
          <w:cols w:equalWidth="0" w:num="1">
            <w:col w:w="11240"/>
          </w:cols>
          <w:pgMar w:left="320" w:top="76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8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this Quarterly Report of Array Technologies, Inc. (the "Company") filed on Form 10-Q for the period ended June 30, 2023, as filed with the Securities and Exchange Commission on the date hereof (the “Report”), I, Nipul Patel, Chief Financial Officer of the Company, certify, pursuant to 18 U.S.C. Section 1350, as adopted pursuant to Section 906 of the Sarbanes-Oxley Act of 2002, that to my knowledge:</w:t>
      </w:r>
    </w:p>
    <w:p>
      <w:pPr>
        <w:spacing w:after="0" w:line="217"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hanging="328"/>
        <w:spacing w:after="0" w:line="27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Nipul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13970</wp:posOffset>
            </wp:positionV>
            <wp:extent cx="42862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Nipul Patel</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Chief Financial Officer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sectPr>
      <w:pgSz w:w="11900" w:h="16838" w:orient="portrait"/>
      <w:cols w:equalWidth="0" w:num="1">
        <w:col w:w="11240"/>
      </w:cols>
      <w:pgMar w:left="320" w:top="7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5"/>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lowerRoman"/>
      <w:start w:val="10"/>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5"/>
    </w:lvl>
  </w:abstractNum>
  <w:abstractNum w:abstractNumId="15">
    <w:nsid w:val="2D1D5AE9"/>
    <w:multiLevelType w:val="hybridMultilevel"/>
    <w:lvl w:ilvl="0">
      <w:lvlJc w:val="left"/>
      <w:lvlText w:val="%1."/>
      <w:numFmt w:val="decimal"/>
      <w:start w:val="12"/>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lvl w:ilvl="1">
      <w:lvlJc w:val="left"/>
      <w:lvlText w:val="◦"/>
      <w:numFmt w:val="bullet"/>
      <w:start w:val="1"/>
    </w:lvl>
  </w:abstractNum>
  <w:abstractNum w:abstractNumId="21">
    <w:nsid w:val="B03E0C6"/>
    <w:multiLevelType w:val="hybridMultilevel"/>
    <w:lvl w:ilvl="0">
      <w:lvlJc w:val="left"/>
      <w:lvlText w:val="•"/>
      <w:numFmt w:val="bullet"/>
      <w:start w:val="1"/>
    </w:lvl>
    <w:lvl w:ilvl="1">
      <w:lvlJc w:val="left"/>
      <w:lvlText w:val="(%2)"/>
      <w:numFmt w:val="lowerRoman"/>
      <w:start w:val="1"/>
    </w:lvl>
    <w:lvl w:ilvl="2">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
      <w:numFmt w:val="bullet"/>
      <w:start w:val="1"/>
    </w:lvl>
    <w:lvl w:ilvl="1">
      <w:lvlJc w:val="left"/>
      <w:lvlText w:val="%2"/>
      <w:numFmt w:val="decimal"/>
      <w:start w:val="104"/>
    </w:lvl>
  </w:abstractNum>
  <w:abstractNum w:abstractNumId="25">
    <w:nsid w:val="2CA88611"/>
    <w:multiLevelType w:val="hybridMultilevel"/>
    <w:lvl w:ilvl="0">
      <w:lvlJc w:val="left"/>
      <w:lvlText w:val="**"/>
      <w:numFmt w:val="bullet"/>
      <w:start w:val="1"/>
    </w:lvl>
    <w:lvl w:ilvl="1">
      <w:lvlJc w:val="left"/>
      <w:lvlText w:val="%2"/>
      <w:numFmt w:val="decimal"/>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7"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86" Type="http://schemas.openxmlformats.org/officeDocument/2006/relationships/hyperlink" Target="https://www.sec.gov/ix?doc=/Archives/edgar/data/1820721/000182072122000033/arry-20211231.htm#icfe32c6b4ab54bfe857c57aaba5fa86c_22" TargetMode="External"/><Relationship Id="rId88" Type="http://schemas.openxmlformats.org/officeDocument/2006/relationships/hyperlink" Target="http://www.sec.gov/Archives/edgar/data/1820721/000119312520272092/d50569dex31.htm" TargetMode="External"/><Relationship Id="rId89" Type="http://schemas.openxmlformats.org/officeDocument/2006/relationships/hyperlink" Target="http://www.sec.gov/Archives/edgar/data/1820721/000119312520272092/d50569dex32.htm" TargetMode="External"/><Relationship Id="rId90" Type="http://schemas.openxmlformats.org/officeDocument/2006/relationships/hyperlink" Target="https://www.sec.gov/Archives/edgar/data/0001820721/000182072121000057/helios-certificateofdesig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2023-08-08T16:31:15Z</dcterms:created>
  <dcterms:modified xsi:type="dcterms:W3CDTF">2023-08-08T16:31:15Z</dcterms:modified>
</cp:coreProperties>
</file>