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0" w:lineRule="exact"/>
        <w:rPr>
          <w:sz w:val="24"/>
          <w:szCs w:val="24"/>
          <w:color w:val="auto"/>
        </w:rPr>
      </w:pPr>
    </w:p>
    <w:p>
      <w:pPr>
        <w:jc w:val="center"/>
        <w:ind w:left="3580" w:right="920" w:hanging="2645"/>
        <w:spacing w:after="0" w:line="275" w:lineRule="auto"/>
        <w:tabs>
          <w:tab w:leader="none" w:pos="11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42"/>
        <w:spacing w:after="0" w:line="276" w:lineRule="auto"/>
        <w:tabs>
          <w:tab w:leader="none" w:pos="15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168275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380" w:type="dxa"/>
        <w:tblCellMar>
          <w:top w:w="0" w:type="dxa"/>
          <w:left w:w="0" w:type="dxa"/>
          <w:bottom w:w="0" w:type="dxa"/>
          <w:right w:w="0" w:type="dxa"/>
        </w:tblCellMar>
      </w:tblPr>
      <w:tr>
        <w:trPr>
          <w:trHeight w:val="271"/>
        </w:trPr>
        <w:tc>
          <w:tcPr>
            <w:tcW w:w="50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Delaware</w:t>
            </w:r>
          </w:p>
        </w:tc>
        <w:tc>
          <w:tcPr>
            <w:tcW w:w="100" w:type="dxa"/>
            <w:vAlign w:val="bottom"/>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3580" w:type="dxa"/>
            <w:vAlign w:val="bottom"/>
            <w:tcBorders>
              <w:bottom w:val="single" w:sz="8" w:color="auto"/>
            </w:tcBorders>
            <w:gridSpan w:val="3"/>
          </w:tcPr>
          <w:p>
            <w:pPr>
              <w:jc w:val="right"/>
              <w:ind w:right="183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40" w:type="dxa"/>
            <w:vAlign w:val="bottom"/>
            <w:gridSpan w:val="3"/>
          </w:tcPr>
          <w:p>
            <w:pPr>
              <w:jc w:val="center"/>
              <w:ind w:right="120"/>
              <w:spacing w:after="0"/>
              <w:rPr>
                <w:sz w:val="20"/>
                <w:szCs w:val="20"/>
                <w:color w:val="auto"/>
              </w:rPr>
            </w:pPr>
            <w:r>
              <w:rPr>
                <w:rFonts w:ascii="Arial" w:cs="Arial" w:eastAsia="Arial" w:hAnsi="Arial"/>
                <w:sz w:val="16"/>
                <w:szCs w:val="16"/>
                <w:color w:val="auto"/>
              </w:rPr>
              <w:t>(State or Other Jurisdiction)</w:t>
            </w:r>
          </w:p>
        </w:tc>
        <w:tc>
          <w:tcPr>
            <w:tcW w:w="5360" w:type="dxa"/>
            <w:vAlign w:val="bottom"/>
            <w:gridSpan w:val="4"/>
          </w:tcPr>
          <w:p>
            <w:pPr>
              <w:jc w:val="right"/>
              <w:ind w:right="1359"/>
              <w:spacing w:after="0"/>
              <w:rPr>
                <w:sz w:val="20"/>
                <w:szCs w:val="20"/>
                <w:color w:val="auto"/>
              </w:rPr>
            </w:pPr>
            <w:r>
              <w:rPr>
                <w:rFonts w:ascii="Arial" w:cs="Arial" w:eastAsia="Arial" w:hAnsi="Arial"/>
                <w:sz w:val="16"/>
                <w:szCs w:val="16"/>
                <w:color w:val="auto"/>
              </w:rPr>
              <w:t>(I.R.S. Employer Identification No.)</w:t>
            </w:r>
          </w:p>
        </w:tc>
      </w:tr>
      <w:tr>
        <w:trPr>
          <w:trHeight w:val="533"/>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0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80" w:type="dxa"/>
            <w:vAlign w:val="bottom"/>
            <w:gridSpan w:val="3"/>
          </w:tcPr>
          <w:p>
            <w:pPr>
              <w:jc w:val="right"/>
              <w:ind w:right="1139"/>
              <w:spacing w:after="0"/>
              <w:rPr>
                <w:sz w:val="20"/>
                <w:szCs w:val="20"/>
                <w:color w:val="auto"/>
              </w:rPr>
            </w:pPr>
            <w:r>
              <w:rPr>
                <w:rFonts w:ascii="Arial" w:cs="Arial" w:eastAsia="Arial" w:hAnsi="Arial"/>
                <w:sz w:val="20"/>
                <w:szCs w:val="20"/>
                <w:b w:val="1"/>
                <w:bCs w:val="1"/>
                <w:color w:val="auto"/>
              </w:rPr>
              <w:t>87109</w:t>
            </w:r>
          </w:p>
        </w:tc>
      </w:tr>
      <w:tr>
        <w:trPr>
          <w:trHeight w:val="203"/>
        </w:trPr>
        <w:tc>
          <w:tcPr>
            <w:tcW w:w="514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20"/>
        </w:trPr>
        <w:tc>
          <w:tcPr>
            <w:tcW w:w="254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6"/>
                <w:szCs w:val="16"/>
                <w:color w:val="auto"/>
              </w:rPr>
              <w:t>(Registrant’s telephone number, including area code)</w:t>
            </w:r>
          </w:p>
        </w:tc>
        <w:tc>
          <w:tcPr>
            <w:tcW w:w="358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3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7760" w:type="dxa"/>
            <w:vAlign w:val="bottom"/>
            <w:gridSpan w:val="5"/>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504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77"/>
        </w:trPr>
        <w:tc>
          <w:tcPr>
            <w:tcW w:w="3480" w:type="dxa"/>
            <w:vAlign w:val="bottom"/>
            <w:tcBorders>
              <w:top w:val="single" w:sz="8" w:color="auto"/>
            </w:tcBorders>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ARRY</w:t>
            </w:r>
          </w:p>
        </w:tc>
        <w:tc>
          <w:tcPr>
            <w:tcW w:w="80" w:type="dxa"/>
            <w:vAlign w:val="bottom"/>
          </w:tcPr>
          <w:p>
            <w:pPr>
              <w:spacing w:after="0"/>
              <w:rPr>
                <w:sz w:val="24"/>
                <w:szCs w:val="24"/>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307" w:lineRule="exact"/>
        <w:rPr>
          <w:sz w:val="24"/>
          <w:szCs w:val="24"/>
          <w:color w:val="auto"/>
        </w:rPr>
      </w:pPr>
    </w:p>
    <w:p>
      <w:pPr>
        <w:ind w:right="460"/>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44" w:lineRule="exact"/>
        <w:rPr>
          <w:sz w:val="24"/>
          <w:szCs w:val="24"/>
          <w:color w:val="auto"/>
        </w:rPr>
      </w:pPr>
    </w:p>
    <w:p>
      <w:pPr>
        <w:ind w:right="220"/>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3" w:lineRule="exact"/>
        <w:rPr>
          <w:sz w:val="24"/>
          <w:szCs w:val="24"/>
          <w:color w:val="auto"/>
        </w:rPr>
      </w:pPr>
    </w:p>
    <w:p>
      <w:pPr>
        <w:ind w:right="2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40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r>
      <w:tr>
        <w:trPr>
          <w:trHeight w:val="837"/>
        </w:trPr>
        <w:tc>
          <w:tcPr>
            <w:tcW w:w="2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 w:name="page2"/>
    <w:bookmarkEnd w:id="1"/>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 2023, there were 151,216,480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2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11"/>
          </w:tcPr>
          <w:p>
            <w:pPr>
              <w:spacing w:after="0"/>
              <w:rPr>
                <w:sz w:val="20"/>
                <w:szCs w:val="20"/>
                <w:color w:val="auto"/>
              </w:rPr>
            </w:pPr>
            <w:r>
              <w:rPr>
                <w:rFonts w:ascii="Arial" w:cs="Arial" w:eastAsia="Arial" w:hAnsi="Arial"/>
                <w:sz w:val="18"/>
                <w:szCs w:val="18"/>
                <w:b w:val="1"/>
                <w:bCs w:val="1"/>
                <w:color w:val="0000FF"/>
              </w:rPr>
              <w:t>PART I - FINANCIAL INFORMATION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00" w:type="dxa"/>
            <w:vAlign w:val="bottom"/>
            <w:shd w:val="clear" w:color="auto" w:fill="CCEEFF"/>
          </w:tcPr>
          <w:p>
            <w:pPr>
              <w:spacing w:after="0"/>
              <w:rPr>
                <w:sz w:val="18"/>
                <w:szCs w:val="18"/>
                <w:color w:val="auto"/>
              </w:rPr>
            </w:pPr>
          </w:p>
        </w:tc>
        <w:tc>
          <w:tcPr>
            <w:tcW w:w="88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4180" w:type="dxa"/>
            <w:vAlign w:val="bottom"/>
            <w:tcBorders>
              <w:top w:val="single" w:sz="8" w:color="CCEEFF"/>
            </w:tcBorders>
            <w:gridSpan w:val="7"/>
          </w:tcPr>
          <w:p>
            <w:pPr>
              <w:spacing w:after="0"/>
              <w:rPr>
                <w:sz w:val="16"/>
                <w:szCs w:val="16"/>
                <w:color w:val="auto"/>
              </w:rPr>
            </w:pPr>
          </w:p>
        </w:tc>
        <w:tc>
          <w:tcPr>
            <w:tcW w:w="200" w:type="dxa"/>
            <w:vAlign w:val="bottom"/>
            <w:tcBorders>
              <w:top w:val="single" w:sz="8" w:color="CCEEFF"/>
            </w:tcBorders>
            <w:gridSpan w:val="3"/>
          </w:tcPr>
          <w:p>
            <w:pPr>
              <w:jc w:val="center"/>
              <w:ind w:right="20"/>
              <w:spacing w:after="0" w:line="189" w:lineRule="exact"/>
              <w:rPr>
                <w:sz w:val="20"/>
                <w:szCs w:val="20"/>
                <w:color w:val="auto"/>
              </w:rPr>
            </w:pPr>
            <w:r>
              <w:rPr>
                <w:rFonts w:ascii="Arial" w:cs="Arial" w:eastAsia="Arial" w:hAnsi="Arial"/>
                <w:sz w:val="18"/>
                <w:szCs w:val="18"/>
                <w:color w:val="0000FF"/>
                <w:w w:val="99"/>
              </w:rPr>
              <w:t>1</w:t>
            </w: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12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Operations</w:t>
            </w:r>
          </w:p>
        </w:tc>
        <w:tc>
          <w:tcPr>
            <w:tcW w:w="4460" w:type="dxa"/>
            <w:vAlign w:val="bottom"/>
            <w:gridSpan w:val="9"/>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0000FF"/>
                <w:w w:val="99"/>
              </w:rPr>
              <w:t>3</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80" w:type="dxa"/>
            <w:vAlign w:val="bottom"/>
            <w:gridSpan w:val="14"/>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200" w:type="dxa"/>
            <w:vAlign w:val="bottom"/>
            <w:gridSpan w:val="3"/>
          </w:tcPr>
          <w:p>
            <w:pPr>
              <w:jc w:val="center"/>
              <w:ind w:right="20"/>
              <w:spacing w:after="0" w:line="189" w:lineRule="exact"/>
              <w:rPr>
                <w:sz w:val="20"/>
                <w:szCs w:val="20"/>
                <w:color w:val="auto"/>
              </w:rPr>
            </w:pPr>
            <w:r>
              <w:rPr>
                <w:rFonts w:ascii="Arial" w:cs="Arial" w:eastAsia="Arial" w:hAnsi="Arial"/>
                <w:sz w:val="18"/>
                <w:szCs w:val="18"/>
                <w:color w:val="0000FF"/>
                <w:w w:val="99"/>
              </w:rPr>
              <w:t>5</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Changes in Redeemable Perpetual Preferred Stock and</w:t>
            </w:r>
          </w:p>
        </w:tc>
        <w:tc>
          <w:tcPr>
            <w:tcW w:w="40" w:type="dxa"/>
            <w:vAlign w:val="bottom"/>
            <w:vMerge w:val="restart"/>
            <w:shd w:val="clear" w:color="auto" w:fill="CCEEFF"/>
          </w:tcPr>
          <w:p>
            <w:pPr>
              <w:spacing w:after="0"/>
              <w:rPr>
                <w:sz w:val="16"/>
                <w:szCs w:val="16"/>
                <w:color w:val="auto"/>
              </w:rPr>
            </w:pPr>
          </w:p>
        </w:tc>
        <w:tc>
          <w:tcPr>
            <w:tcW w:w="16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8"/>
                <w:szCs w:val="18"/>
                <w:color w:val="0000FF"/>
                <w:w w:val="99"/>
              </w:rPr>
              <w:t>6</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0000FF"/>
            </w:tcBorders>
            <w:shd w:val="clear" w:color="auto" w:fill="CCEEFF"/>
          </w:tcPr>
          <w:p>
            <w:pPr>
              <w:spacing w:after="0" w:line="142" w:lineRule="exact"/>
              <w:rPr>
                <w:sz w:val="20"/>
                <w:szCs w:val="20"/>
                <w:color w:val="auto"/>
              </w:rPr>
            </w:pPr>
            <w:r>
              <w:rPr>
                <w:rFonts w:ascii="Arial" w:cs="Arial" w:eastAsia="Arial" w:hAnsi="Arial"/>
                <w:sz w:val="16"/>
                <w:szCs w:val="16"/>
                <w:color w:val="0000FF"/>
              </w:rPr>
              <w:t>Stockholders’ Equity</w:t>
            </w:r>
          </w:p>
        </w:tc>
        <w:tc>
          <w:tcPr>
            <w:tcW w:w="6040" w:type="dxa"/>
            <w:vAlign w:val="bottom"/>
            <w:tcBorders>
              <w:top w:val="single" w:sz="8" w:color="0000FF"/>
            </w:tcBorders>
            <w:gridSpan w:val="12"/>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vMerge w:val="continue"/>
            <w:shd w:val="clear" w:color="auto" w:fill="CCEEFF"/>
          </w:tcPr>
          <w:p>
            <w:pPr>
              <w:spacing w:after="0"/>
              <w:rPr>
                <w:sz w:val="15"/>
                <w:szCs w:val="15"/>
                <w:color w:val="auto"/>
              </w:rPr>
            </w:pPr>
          </w:p>
        </w:tc>
        <w:tc>
          <w:tcPr>
            <w:tcW w:w="160" w:type="dxa"/>
            <w:vAlign w:val="bottom"/>
            <w:tcBorders>
              <w:top w:val="single" w:sz="8" w:color="CCEEFF"/>
            </w:tcBorders>
            <w:gridSpan w:val="2"/>
            <w:vMerge w:val="continue"/>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580" w:type="dxa"/>
            <w:vAlign w:val="bottom"/>
            <w:gridSpan w:val="14"/>
          </w:tcPr>
          <w:p>
            <w:pPr>
              <w:spacing w:after="0" w:line="183" w:lineRule="exact"/>
              <w:rPr>
                <w:sz w:val="20"/>
                <w:szCs w:val="20"/>
                <w:color w:val="auto"/>
              </w:rPr>
            </w:pPr>
            <w:r>
              <w:rPr>
                <w:rFonts w:ascii="Arial" w:cs="Arial" w:eastAsia="Arial" w:hAnsi="Arial"/>
                <w:sz w:val="18"/>
                <w:szCs w:val="18"/>
                <w:color w:val="0000FF"/>
              </w:rPr>
              <w:t>Condensed Consolidated Statements of Cash Flows</w:t>
            </w:r>
          </w:p>
        </w:tc>
        <w:tc>
          <w:tcPr>
            <w:tcW w:w="720" w:type="dxa"/>
            <w:vAlign w:val="bottom"/>
            <w:gridSpan w:val="4"/>
          </w:tcPr>
          <w:p>
            <w:pPr>
              <w:jc w:val="center"/>
              <w:ind w:right="520"/>
              <w:spacing w:after="0" w:line="183" w:lineRule="exact"/>
              <w:rPr>
                <w:sz w:val="20"/>
                <w:szCs w:val="20"/>
                <w:color w:val="auto"/>
              </w:rPr>
            </w:pPr>
            <w:r>
              <w:rPr>
                <w:rFonts w:ascii="Arial" w:cs="Arial" w:eastAsia="Arial" w:hAnsi="Arial"/>
                <w:sz w:val="18"/>
                <w:szCs w:val="18"/>
                <w:color w:val="0000FF"/>
                <w:w w:val="99"/>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Condensed Consolidated Financial Statements</w:t>
            </w:r>
          </w:p>
        </w:tc>
        <w:tc>
          <w:tcPr>
            <w:tcW w:w="41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12</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9700" w:type="dxa"/>
            <w:vAlign w:val="bottom"/>
            <w:gridSpan w:val="16"/>
          </w:tcPr>
          <w:p>
            <w:pPr>
              <w:ind w:left="90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gridSpan w:val="4"/>
          </w:tcPr>
          <w:p>
            <w:pPr>
              <w:jc w:val="center"/>
              <w:ind w:right="520"/>
              <w:spacing w:after="0" w:line="189" w:lineRule="exact"/>
              <w:rPr>
                <w:sz w:val="20"/>
                <w:szCs w:val="20"/>
                <w:color w:val="auto"/>
              </w:rPr>
            </w:pPr>
            <w:r>
              <w:rPr>
                <w:rFonts w:ascii="Arial" w:cs="Arial" w:eastAsia="Arial" w:hAnsi="Arial"/>
                <w:sz w:val="18"/>
                <w:szCs w:val="18"/>
                <w:color w:val="0000FF"/>
                <w:w w:val="99"/>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00" w:type="dxa"/>
            <w:vAlign w:val="bottom"/>
            <w:tcBorders>
              <w:bottom w:val="single" w:sz="8" w:color="CCEEFF"/>
            </w:tcBorders>
            <w:shd w:val="clear" w:color="auto" w:fill="CCEEFF"/>
          </w:tcPr>
          <w:p>
            <w:pPr>
              <w:spacing w:after="0"/>
              <w:rPr>
                <w:sz w:val="18"/>
                <w:szCs w:val="18"/>
                <w:color w:val="auto"/>
              </w:rPr>
            </w:pPr>
          </w:p>
        </w:tc>
        <w:tc>
          <w:tcPr>
            <w:tcW w:w="472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gridSpan w:val="3"/>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46</w:t>
            </w:r>
          </w:p>
        </w:tc>
        <w:tc>
          <w:tcPr>
            <w:tcW w:w="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8"/>
              </w:rPr>
              <w:t>Item 4.</w:t>
            </w:r>
          </w:p>
        </w:tc>
        <w:tc>
          <w:tcPr>
            <w:tcW w:w="900" w:type="dxa"/>
            <w:vAlign w:val="bottom"/>
          </w:tcPr>
          <w:p>
            <w:pPr>
              <w:spacing w:after="0"/>
              <w:rPr>
                <w:sz w:val="16"/>
                <w:szCs w:val="16"/>
                <w:color w:val="auto"/>
              </w:rPr>
            </w:pPr>
          </w:p>
        </w:tc>
        <w:tc>
          <w:tcPr>
            <w:tcW w:w="20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6800" w:type="dxa"/>
            <w:vAlign w:val="bottom"/>
            <w:gridSpan w:val="12"/>
          </w:tcPr>
          <w:p>
            <w:pPr>
              <w:spacing w:after="0"/>
              <w:rPr>
                <w:sz w:val="16"/>
                <w:szCs w:val="16"/>
                <w:color w:val="auto"/>
              </w:rPr>
            </w:pPr>
          </w:p>
        </w:tc>
        <w:tc>
          <w:tcPr>
            <w:tcW w:w="200" w:type="dxa"/>
            <w:vAlign w:val="bottom"/>
            <w:tcBorders>
              <w:bottom w:val="single" w:sz="8" w:color="0000FF"/>
            </w:tcBorders>
            <w:gridSpan w:val="3"/>
          </w:tcPr>
          <w:p>
            <w:pPr>
              <w:jc w:val="center"/>
              <w:spacing w:after="0" w:line="189" w:lineRule="exact"/>
              <w:rPr>
                <w:sz w:val="20"/>
                <w:szCs w:val="20"/>
                <w:color w:val="auto"/>
              </w:rPr>
            </w:pPr>
            <w:r>
              <w:rPr>
                <w:rFonts w:ascii="Arial" w:cs="Arial" w:eastAsia="Arial" w:hAnsi="Arial"/>
                <w:sz w:val="18"/>
                <w:szCs w:val="18"/>
                <w:color w:val="0000FF"/>
                <w:w w:val="99"/>
              </w:rPr>
              <w:t>47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4"/>
          </w:tcPr>
          <w:p>
            <w:pPr>
              <w:ind w:left="100"/>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300" w:type="dxa"/>
            <w:vAlign w:val="bottom"/>
            <w:tcBorders>
              <w:bottom w:val="single" w:sz="8" w:color="CCEEFF"/>
            </w:tcBorders>
            <w:gridSpan w:val="6"/>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50</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Risk Factors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50</w:t>
            </w: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94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50</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Defaults Upon Senior Securities</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50</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5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0000FF"/>
            </w:tcBorders>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86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50</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r>
      <w:tr>
        <w:trPr>
          <w:trHeight w:val="189"/>
        </w:trPr>
        <w:tc>
          <w:tcPr>
            <w:tcW w:w="140" w:type="dxa"/>
            <w:vAlign w:val="bottom"/>
          </w:tcPr>
          <w:p>
            <w:pPr>
              <w:spacing w:after="0"/>
              <w:rPr>
                <w:sz w:val="16"/>
                <w:szCs w:val="16"/>
                <w:color w:val="auto"/>
              </w:rPr>
            </w:pPr>
          </w:p>
        </w:tc>
        <w:tc>
          <w:tcPr>
            <w:tcW w:w="1080" w:type="dxa"/>
            <w:vAlign w:val="bottom"/>
            <w:gridSpan w:val="3"/>
          </w:tcPr>
          <w:p>
            <w:pPr>
              <w:spacing w:after="0" w:line="189" w:lineRule="exact"/>
              <w:rPr>
                <w:sz w:val="20"/>
                <w:szCs w:val="20"/>
                <w:color w:val="auto"/>
              </w:rPr>
            </w:pPr>
            <w:r>
              <w:rPr>
                <w:rFonts w:ascii="Arial" w:cs="Arial" w:eastAsia="Arial" w:hAnsi="Arial"/>
                <w:sz w:val="18"/>
                <w:szCs w:val="18"/>
                <w:color w:val="0000FF"/>
              </w:rPr>
              <w:t>Item 5.</w:t>
            </w:r>
          </w:p>
        </w:tc>
        <w:tc>
          <w:tcPr>
            <w:tcW w:w="9180" w:type="dxa"/>
            <w:vAlign w:val="bottom"/>
            <w:gridSpan w:val="11"/>
          </w:tcPr>
          <w:p>
            <w:pPr>
              <w:ind w:left="380"/>
              <w:spacing w:after="0" w:line="189" w:lineRule="exact"/>
              <w:rPr>
                <w:sz w:val="20"/>
                <w:szCs w:val="20"/>
                <w:color w:val="auto"/>
              </w:rPr>
            </w:pPr>
            <w:r>
              <w:rPr>
                <w:rFonts w:ascii="Arial" w:cs="Arial" w:eastAsia="Arial" w:hAnsi="Arial"/>
                <w:sz w:val="18"/>
                <w:szCs w:val="18"/>
                <w:color w:val="0000FF"/>
              </w:rPr>
              <w:t>Other Information</w:t>
            </w:r>
          </w:p>
        </w:tc>
        <w:tc>
          <w:tcPr>
            <w:tcW w:w="720" w:type="dxa"/>
            <w:vAlign w:val="bottom"/>
            <w:gridSpan w:val="2"/>
          </w:tcPr>
          <w:p>
            <w:pPr>
              <w:jc w:val="right"/>
              <w:ind w:right="520"/>
              <w:spacing w:after="0" w:line="189" w:lineRule="exact"/>
              <w:rPr>
                <w:sz w:val="20"/>
                <w:szCs w:val="20"/>
                <w:color w:val="auto"/>
              </w:rPr>
            </w:pPr>
            <w:r>
              <w:rPr>
                <w:rFonts w:ascii="Arial" w:cs="Arial" w:eastAsia="Arial" w:hAnsi="Arial"/>
                <w:sz w:val="18"/>
                <w:szCs w:val="18"/>
                <w:color w:val="0000FF"/>
                <w:w w:val="89"/>
              </w:rPr>
              <w:t>50</w:t>
            </w:r>
          </w:p>
        </w:tc>
        <w:tc>
          <w:tcPr>
            <w:tcW w:w="120" w:type="dxa"/>
            <w:vAlign w:val="bottom"/>
          </w:tcPr>
          <w:p>
            <w:pPr>
              <w:spacing w:after="0"/>
              <w:rPr>
                <w:sz w:val="16"/>
                <w:szCs w:val="16"/>
                <w:color w:val="auto"/>
              </w:rPr>
            </w:pPr>
          </w:p>
        </w:tc>
      </w:tr>
      <w:tr>
        <w:trPr>
          <w:trHeight w:val="21"/>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0" w:type="dxa"/>
            <w:vAlign w:val="bottom"/>
            <w:tcBorders>
              <w:right w:val="single" w:sz="8" w:color="CCEEFF"/>
            </w:tcBorders>
          </w:tcPr>
          <w:p>
            <w:pPr>
              <w:spacing w:after="0"/>
              <w:rPr>
                <w:sz w:val="18"/>
                <w:szCs w:val="18"/>
                <w:color w:val="auto"/>
              </w:rPr>
            </w:pPr>
          </w:p>
        </w:tc>
        <w:tc>
          <w:tcPr>
            <w:tcW w:w="10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9180" w:type="dxa"/>
            <w:vAlign w:val="bottom"/>
            <w:gridSpan w:val="11"/>
            <w:shd w:val="clear" w:color="auto" w:fill="CCEEFF"/>
          </w:tcPr>
          <w:p>
            <w:pPr>
              <w:ind w:left="380"/>
              <w:spacing w:after="0" w:line="189" w:lineRule="exact"/>
              <w:rPr>
                <w:sz w:val="20"/>
                <w:szCs w:val="20"/>
                <w:color w:val="auto"/>
              </w:rPr>
            </w:pPr>
            <w:r>
              <w:rPr>
                <w:rFonts w:ascii="Arial" w:cs="Arial" w:eastAsia="Arial" w:hAnsi="Arial"/>
                <w:sz w:val="18"/>
                <w:szCs w:val="18"/>
                <w:color w:val="0000FF"/>
              </w:rPr>
              <w:t>Exhibits</w:t>
            </w:r>
          </w:p>
        </w:tc>
        <w:tc>
          <w:tcPr>
            <w:tcW w:w="72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8"/>
                <w:szCs w:val="18"/>
                <w:color w:val="0000FF"/>
                <w:w w:val="89"/>
              </w:rPr>
              <w:t>51</w:t>
            </w:r>
          </w:p>
        </w:tc>
        <w:tc>
          <w:tcPr>
            <w:tcW w:w="120" w:type="dxa"/>
            <w:vAlign w:val="bottom"/>
          </w:tcPr>
          <w:p>
            <w:pPr>
              <w:spacing w:after="0"/>
              <w:rPr>
                <w:sz w:val="18"/>
                <w:szCs w:val="18"/>
                <w:color w:val="auto"/>
              </w:rPr>
            </w:pPr>
          </w:p>
        </w:tc>
      </w:tr>
      <w:tr>
        <w:trPr>
          <w:trHeight w:val="1182"/>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220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2023</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2022</w:t>
            </w:r>
          </w:p>
        </w:tc>
        <w:tc>
          <w:tcPr>
            <w:tcW w:w="0" w:type="dxa"/>
            <w:vAlign w:val="bottom"/>
          </w:tcPr>
          <w:p>
            <w:pPr>
              <w:spacing w:after="0"/>
              <w:rPr>
                <w:sz w:val="1"/>
                <w:szCs w:val="1"/>
                <w:color w:val="auto"/>
              </w:rPr>
            </w:pPr>
          </w:p>
        </w:tc>
      </w:tr>
      <w:tr>
        <w:trPr>
          <w:trHeight w:val="240"/>
        </w:trPr>
        <w:tc>
          <w:tcPr>
            <w:tcW w:w="6500" w:type="dxa"/>
            <w:vAlign w:val="bottom"/>
            <w:tcBorders>
              <w:top w:val="single" w:sz="8" w:color="CCEEFF"/>
            </w:tcBorders>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21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174,010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133,901</w:t>
            </w:r>
          </w:p>
        </w:tc>
        <w:tc>
          <w:tcPr>
            <w:tcW w:w="0" w:type="dxa"/>
            <w:vAlign w:val="bottom"/>
          </w:tcPr>
          <w:p>
            <w:pPr>
              <w:spacing w:after="0"/>
              <w:rPr>
                <w:sz w:val="1"/>
                <w:szCs w:val="1"/>
                <w:color w:val="auto"/>
              </w:rPr>
            </w:pPr>
          </w:p>
        </w:tc>
      </w:tr>
      <w:tr>
        <w:trPr>
          <w:trHeight w:val="198"/>
        </w:trPr>
        <w:tc>
          <w:tcPr>
            <w:tcW w:w="6500" w:type="dxa"/>
            <w:vAlign w:val="bottom"/>
          </w:tcPr>
          <w:p>
            <w:pPr>
              <w:ind w:left="240"/>
              <w:spacing w:after="0" w:line="199" w:lineRule="exact"/>
              <w:rPr>
                <w:sz w:val="20"/>
                <w:szCs w:val="20"/>
                <w:color w:val="auto"/>
              </w:rPr>
            </w:pPr>
            <w:r>
              <w:rPr>
                <w:rFonts w:ascii="Arial" w:cs="Arial" w:eastAsia="Arial" w:hAnsi="Arial"/>
                <w:sz w:val="20"/>
                <w:szCs w:val="20"/>
                <w:color w:val="auto"/>
              </w:rPr>
              <w:t>Accounts receivable, net of allowance of $1,418 and $1,888,</w:t>
            </w:r>
          </w:p>
        </w:tc>
        <w:tc>
          <w:tcPr>
            <w:tcW w:w="18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427,664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421,183</w:t>
            </w:r>
          </w:p>
        </w:tc>
        <w:tc>
          <w:tcPr>
            <w:tcW w:w="0" w:type="dxa"/>
            <w:vAlign w:val="bottom"/>
          </w:tcPr>
          <w:p>
            <w:pPr>
              <w:spacing w:after="0"/>
              <w:rPr>
                <w:sz w:val="1"/>
                <w:szCs w:val="1"/>
                <w:color w:val="auto"/>
              </w:rPr>
            </w:pPr>
          </w:p>
        </w:tc>
      </w:tr>
      <w:tr>
        <w:trPr>
          <w:trHeight w:val="247"/>
        </w:trPr>
        <w:tc>
          <w:tcPr>
            <w:tcW w:w="6500" w:type="dxa"/>
            <w:vAlign w:val="bottom"/>
          </w:tcPr>
          <w:p>
            <w:pPr>
              <w:ind w:left="240"/>
              <w:spacing w:after="0"/>
              <w:rPr>
                <w:sz w:val="20"/>
                <w:szCs w:val="20"/>
                <w:color w:val="auto"/>
              </w:rPr>
            </w:pPr>
            <w:r>
              <w:rPr>
                <w:rFonts w:ascii="Arial" w:cs="Arial" w:eastAsia="Arial" w:hAnsi="Arial"/>
                <w:sz w:val="20"/>
                <w:szCs w:val="20"/>
                <w:color w:val="auto"/>
              </w:rPr>
              <w:t>respectively</w:t>
            </w:r>
          </w:p>
        </w:tc>
        <w:tc>
          <w:tcPr>
            <w:tcW w:w="18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216,018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233,159</w:t>
            </w:r>
          </w:p>
        </w:tc>
        <w:tc>
          <w:tcPr>
            <w:tcW w:w="0" w:type="dxa"/>
            <w:vAlign w:val="bottom"/>
          </w:tcPr>
          <w:p>
            <w:pPr>
              <w:spacing w:after="0"/>
              <w:rPr>
                <w:sz w:val="1"/>
                <w:szCs w:val="1"/>
                <w:color w:val="auto"/>
              </w:rPr>
            </w:pPr>
          </w:p>
        </w:tc>
      </w:tr>
      <w:tr>
        <w:trPr>
          <w:trHeight w:val="254"/>
        </w:trPr>
        <w:tc>
          <w:tcPr>
            <w:tcW w:w="650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3,532</w:t>
            </w:r>
          </w:p>
        </w:tc>
        <w:tc>
          <w:tcPr>
            <w:tcW w:w="0" w:type="dxa"/>
            <w:vAlign w:val="bottom"/>
          </w:tcPr>
          <w:p>
            <w:pPr>
              <w:spacing w:after="0"/>
              <w:rPr>
                <w:sz w:val="1"/>
                <w:szCs w:val="1"/>
                <w:color w:val="auto"/>
              </w:rPr>
            </w:pPr>
          </w:p>
        </w:tc>
      </w:tr>
      <w:tr>
        <w:trPr>
          <w:trHeight w:val="259"/>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45,029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39,434</w:t>
            </w:r>
          </w:p>
        </w:tc>
        <w:tc>
          <w:tcPr>
            <w:tcW w:w="0" w:type="dxa"/>
            <w:vAlign w:val="bottom"/>
          </w:tcPr>
          <w:p>
            <w:pPr>
              <w:spacing w:after="0"/>
              <w:rPr>
                <w:sz w:val="1"/>
                <w:szCs w:val="1"/>
                <w:color w:val="auto"/>
              </w:rPr>
            </w:pPr>
          </w:p>
        </w:tc>
      </w:tr>
      <w:tr>
        <w:trPr>
          <w:trHeight w:val="247"/>
        </w:trPr>
        <w:tc>
          <w:tcPr>
            <w:tcW w:w="6500" w:type="dxa"/>
            <w:vAlign w:val="bottom"/>
          </w:tcPr>
          <w:p>
            <w:pPr>
              <w:ind w:left="520"/>
              <w:spacing w:after="0"/>
              <w:rPr>
                <w:sz w:val="20"/>
                <w:szCs w:val="20"/>
                <w:color w:val="auto"/>
              </w:rPr>
            </w:pPr>
            <w:r>
              <w:rPr>
                <w:rFonts w:ascii="Arial" w:cs="Arial" w:eastAsia="Arial" w:hAnsi="Arial"/>
                <w:sz w:val="20"/>
                <w:szCs w:val="20"/>
                <w:color w:val="auto"/>
              </w:rPr>
              <w:t>Total current assets</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863,088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831,209</w:t>
            </w:r>
          </w:p>
        </w:tc>
        <w:tc>
          <w:tcPr>
            <w:tcW w:w="0" w:type="dxa"/>
            <w:vAlign w:val="bottom"/>
          </w:tcPr>
          <w:p>
            <w:pPr>
              <w:spacing w:after="0"/>
              <w:rPr>
                <w:sz w:val="1"/>
                <w:szCs w:val="1"/>
                <w:color w:val="auto"/>
              </w:rPr>
            </w:pPr>
          </w:p>
        </w:tc>
      </w:tr>
      <w:tr>
        <w:trPr>
          <w:trHeight w:val="273"/>
        </w:trPr>
        <w:tc>
          <w:tcPr>
            <w:tcW w:w="6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29,521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23,174</w:t>
            </w:r>
          </w:p>
        </w:tc>
        <w:tc>
          <w:tcPr>
            <w:tcW w:w="0" w:type="dxa"/>
            <w:vAlign w:val="bottom"/>
          </w:tcPr>
          <w:p>
            <w:pPr>
              <w:spacing w:after="0"/>
              <w:rPr>
                <w:sz w:val="1"/>
                <w:szCs w:val="1"/>
                <w:color w:val="auto"/>
              </w:rPr>
            </w:pPr>
          </w:p>
        </w:tc>
      </w:tr>
      <w:tr>
        <w:trPr>
          <w:trHeight w:val="259"/>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426,541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416,184</w:t>
            </w:r>
          </w:p>
        </w:tc>
        <w:tc>
          <w:tcPr>
            <w:tcW w:w="0" w:type="dxa"/>
            <w:vAlign w:val="bottom"/>
          </w:tcPr>
          <w:p>
            <w:pPr>
              <w:spacing w:after="0"/>
              <w:rPr>
                <w:sz w:val="1"/>
                <w:szCs w:val="1"/>
                <w:color w:val="auto"/>
              </w:rPr>
            </w:pP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353,923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386,364</w:t>
            </w:r>
          </w:p>
        </w:tc>
        <w:tc>
          <w:tcPr>
            <w:tcW w:w="0" w:type="dxa"/>
            <w:vAlign w:val="bottom"/>
          </w:tcPr>
          <w:p>
            <w:pPr>
              <w:spacing w:after="0"/>
              <w:rPr>
                <w:sz w:val="1"/>
                <w:szCs w:val="1"/>
                <w:color w:val="auto"/>
              </w:rPr>
            </w:pPr>
          </w:p>
        </w:tc>
      </w:tr>
      <w:tr>
        <w:trPr>
          <w:trHeight w:val="259"/>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assets</w:t>
            </w:r>
          </w:p>
        </w:tc>
        <w:tc>
          <w:tcPr>
            <w:tcW w:w="18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right"/>
              <w:ind w:right="18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16,466</w:t>
            </w:r>
          </w:p>
        </w:tc>
        <w:tc>
          <w:tcPr>
            <w:tcW w:w="0" w:type="dxa"/>
            <w:vAlign w:val="bottom"/>
          </w:tcPr>
          <w:p>
            <w:pPr>
              <w:spacing w:after="0"/>
              <w:rPr>
                <w:sz w:val="1"/>
                <w:szCs w:val="1"/>
                <w:color w:val="auto"/>
              </w:rPr>
            </w:pP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Derivative assets</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64,130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41,554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32,655</w:t>
            </w:r>
          </w:p>
        </w:tc>
        <w:tc>
          <w:tcPr>
            <w:tcW w:w="0" w:type="dxa"/>
            <w:vAlign w:val="bottom"/>
          </w:tcPr>
          <w:p>
            <w:pPr>
              <w:spacing w:after="0"/>
              <w:rPr>
                <w:sz w:val="1"/>
                <w:szCs w:val="1"/>
                <w:color w:val="auto"/>
              </w:rPr>
            </w:pPr>
          </w:p>
        </w:tc>
      </w:tr>
      <w:tr>
        <w:trPr>
          <w:trHeight w:val="253"/>
        </w:trPr>
        <w:tc>
          <w:tcPr>
            <w:tcW w:w="6500" w:type="dxa"/>
            <w:vAlign w:val="bottom"/>
          </w:tcPr>
          <w:p>
            <w:pPr>
              <w:ind w:left="520"/>
              <w:spacing w:after="0"/>
              <w:rPr>
                <w:sz w:val="20"/>
                <w:szCs w:val="20"/>
                <w:color w:val="auto"/>
              </w:rPr>
            </w:pPr>
            <w:r>
              <w:rPr>
                <w:rFonts w:ascii="Arial" w:cs="Arial" w:eastAsia="Arial" w:hAnsi="Arial"/>
                <w:sz w:val="20"/>
                <w:szCs w:val="20"/>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1,778,757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1,706,052</w:t>
            </w:r>
          </w:p>
        </w:tc>
        <w:tc>
          <w:tcPr>
            <w:tcW w:w="0" w:type="dxa"/>
            <w:vAlign w:val="bottom"/>
          </w:tcPr>
          <w:p>
            <w:pPr>
              <w:spacing w:after="0"/>
              <w:rPr>
                <w:sz w:val="1"/>
                <w:szCs w:val="1"/>
                <w:color w:val="auto"/>
              </w:rPr>
            </w:pP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140" w:firstLine="1118"/>
        <w:spacing w:after="0" w:line="265"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15175"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6"/>
        </w:trPr>
        <w:tc>
          <w:tcPr>
            <w:tcW w:w="650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820" w:type="dxa"/>
            <w:vAlign w:val="bottom"/>
          </w:tcPr>
          <w:p>
            <w:pPr>
              <w:jc w:val="right"/>
              <w:ind w:right="601"/>
              <w:spacing w:after="0"/>
              <w:rPr>
                <w:sz w:val="20"/>
                <w:szCs w:val="20"/>
                <w:color w:val="auto"/>
              </w:rPr>
            </w:pPr>
            <w:r>
              <w:rPr>
                <w:rFonts w:ascii="Arial" w:cs="Arial" w:eastAsia="Arial" w:hAnsi="Arial"/>
                <w:sz w:val="20"/>
                <w:szCs w:val="20"/>
                <w:color w:val="auto"/>
                <w:w w:val="89"/>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171,730</w:t>
            </w:r>
          </w:p>
        </w:tc>
        <w:tc>
          <w:tcPr>
            <w:tcW w:w="100" w:type="dxa"/>
            <w:vAlign w:val="bottom"/>
          </w:tcPr>
          <w:p>
            <w:pPr>
              <w:spacing w:after="0"/>
              <w:rPr>
                <w:sz w:val="22"/>
                <w:szCs w:val="22"/>
                <w:color w:val="auto"/>
              </w:rPr>
            </w:pPr>
          </w:p>
        </w:tc>
        <w:tc>
          <w:tcPr>
            <w:tcW w:w="820" w:type="dxa"/>
            <w:vAlign w:val="bottom"/>
          </w:tcPr>
          <w:p>
            <w:pPr>
              <w:jc w:val="right"/>
              <w:ind w:right="601"/>
              <w:spacing w:after="0"/>
              <w:rPr>
                <w:sz w:val="20"/>
                <w:szCs w:val="20"/>
                <w:color w:val="auto"/>
              </w:rPr>
            </w:pPr>
            <w:r>
              <w:rPr>
                <w:rFonts w:ascii="Arial" w:cs="Arial" w:eastAsia="Arial" w:hAnsi="Arial"/>
                <w:sz w:val="20"/>
                <w:szCs w:val="20"/>
                <w:color w:val="auto"/>
                <w:w w:val="89"/>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170,430</w:t>
            </w:r>
          </w:p>
        </w:tc>
      </w:tr>
      <w:tr>
        <w:trPr>
          <w:trHeight w:val="261"/>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72,638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54,895</w:t>
            </w:r>
          </w:p>
        </w:tc>
      </w:tr>
      <w:tr>
        <w:trPr>
          <w:trHeight w:val="254"/>
        </w:trPr>
        <w:tc>
          <w:tcPr>
            <w:tcW w:w="650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2,506</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3,690</w:t>
            </w:r>
          </w:p>
        </w:tc>
      </w:tr>
      <w:tr>
        <w:trPr>
          <w:trHeight w:val="259"/>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6,143</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6,881</w:t>
            </w:r>
          </w:p>
        </w:tc>
      </w:tr>
      <w:tr>
        <w:trPr>
          <w:trHeight w:val="254"/>
        </w:trPr>
        <w:tc>
          <w:tcPr>
            <w:tcW w:w="650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100,757</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178,922</w:t>
            </w:r>
          </w:p>
        </w:tc>
      </w:tr>
      <w:tr>
        <w:trPr>
          <w:trHeight w:val="259"/>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1,814</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w:t>
            </w:r>
          </w:p>
        </w:tc>
      </w:tr>
      <w:tr>
        <w:trPr>
          <w:trHeight w:val="254"/>
        </w:trPr>
        <w:tc>
          <w:tcPr>
            <w:tcW w:w="650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38,767</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38,691</w:t>
            </w:r>
          </w:p>
        </w:tc>
      </w:tr>
      <w:tr>
        <w:trPr>
          <w:trHeight w:val="259"/>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8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6,155</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10,553</w:t>
            </w:r>
          </w:p>
        </w:tc>
      </w:tr>
      <w:tr>
        <w:trPr>
          <w:trHeight w:val="247"/>
        </w:trPr>
        <w:tc>
          <w:tcPr>
            <w:tcW w:w="6500" w:type="dxa"/>
            <w:vAlign w:val="bottom"/>
          </w:tcPr>
          <w:p>
            <w:pPr>
              <w:ind w:left="520"/>
              <w:spacing w:after="0"/>
              <w:rPr>
                <w:sz w:val="20"/>
                <w:szCs w:val="20"/>
                <w:color w:val="auto"/>
              </w:rPr>
            </w:pPr>
            <w:r>
              <w:rPr>
                <w:rFonts w:ascii="Arial" w:cs="Arial" w:eastAsia="Arial" w:hAnsi="Arial"/>
                <w:sz w:val="20"/>
                <w:szCs w:val="20"/>
                <w:color w:val="auto"/>
              </w:rPr>
              <w:t>Total current liabilities</w:t>
            </w:r>
          </w:p>
        </w:tc>
        <w:tc>
          <w:tcPr>
            <w:tcW w:w="8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400,510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465,262</w:t>
            </w:r>
          </w:p>
        </w:tc>
      </w:tr>
      <w:tr>
        <w:trPr>
          <w:trHeight w:val="273"/>
        </w:trPr>
        <w:tc>
          <w:tcPr>
            <w:tcW w:w="65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Deferred income tax liabilities</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69,928</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72,606</w:t>
            </w:r>
          </w:p>
        </w:tc>
      </w:tr>
      <w:tr>
        <w:trPr>
          <w:trHeight w:val="259"/>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Contingent consideration, net of current portion</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7,805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7,387</w:t>
            </w: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Other long-term liabilities</w:t>
            </w:r>
          </w:p>
        </w:tc>
        <w:tc>
          <w:tcPr>
            <w:tcW w:w="8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21,820</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14,808</w:t>
            </w:r>
          </w:p>
        </w:tc>
      </w:tr>
      <w:tr>
        <w:trPr>
          <w:trHeight w:val="259"/>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Long-term warranty</w:t>
            </w:r>
          </w:p>
        </w:tc>
        <w:tc>
          <w:tcPr>
            <w:tcW w:w="82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3,421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w:t>
            </w:r>
          </w:p>
        </w:tc>
      </w:tr>
      <w:tr>
        <w:trPr>
          <w:trHeight w:val="254"/>
        </w:trPr>
        <w:tc>
          <w:tcPr>
            <w:tcW w:w="6500" w:type="dxa"/>
            <w:vAlign w:val="bottom"/>
          </w:tcPr>
          <w:p>
            <w:pPr>
              <w:ind w:left="20"/>
              <w:spacing w:after="0"/>
              <w:rPr>
                <w:sz w:val="20"/>
                <w:szCs w:val="20"/>
                <w:color w:val="auto"/>
              </w:rPr>
            </w:pPr>
            <w:r>
              <w:rPr>
                <w:rFonts w:ascii="Arial" w:cs="Arial" w:eastAsia="Arial" w:hAnsi="Arial"/>
                <w:sz w:val="20"/>
                <w:szCs w:val="20"/>
                <w:color w:val="auto"/>
              </w:rPr>
              <w:t>Long-term debt, net of current portion</w:t>
            </w:r>
          </w:p>
        </w:tc>
        <w:tc>
          <w:tcPr>
            <w:tcW w:w="8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658,879</w:t>
            </w:r>
          </w:p>
        </w:tc>
        <w:tc>
          <w:tcPr>
            <w:tcW w:w="1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720,352</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2"/>
          </w:tcPr>
          <w:p>
            <w:pPr>
              <w:ind w:left="40"/>
              <w:spacing w:after="0"/>
              <w:rPr>
                <w:sz w:val="20"/>
                <w:szCs w:val="20"/>
                <w:color w:val="auto"/>
              </w:rPr>
            </w:pPr>
            <w:r>
              <w:rPr>
                <w:rFonts w:ascii="Arial" w:cs="Arial" w:eastAsia="Arial" w:hAnsi="Arial"/>
                <w:sz w:val="20"/>
                <w:szCs w:val="20"/>
                <w:b w:val="1"/>
                <w:bCs w:val="1"/>
                <w:color w:val="auto"/>
              </w:rPr>
              <w:t>September 30, 2023</w:t>
            </w:r>
          </w:p>
        </w:tc>
        <w:tc>
          <w:tcPr>
            <w:tcW w:w="200" w:type="dxa"/>
            <w:vAlign w:val="bottom"/>
          </w:tcPr>
          <w:p>
            <w:pPr>
              <w:spacing w:after="0"/>
              <w:rPr>
                <w:sz w:val="24"/>
                <w:szCs w:val="24"/>
                <w:color w:val="auto"/>
              </w:rPr>
            </w:pPr>
          </w:p>
        </w:tc>
        <w:tc>
          <w:tcPr>
            <w:tcW w:w="2120" w:type="dxa"/>
            <w:vAlign w:val="bottom"/>
          </w:tcPr>
          <w:p>
            <w:pPr>
              <w:jc w:val="right"/>
              <w:ind w:right="181"/>
              <w:spacing w:after="0"/>
              <w:rPr>
                <w:sz w:val="20"/>
                <w:szCs w:val="20"/>
                <w:color w:val="auto"/>
              </w:rPr>
            </w:pPr>
            <w:r>
              <w:rPr>
                <w:rFonts w:ascii="Arial" w:cs="Arial" w:eastAsia="Arial" w:hAnsi="Arial"/>
                <w:sz w:val="20"/>
                <w:szCs w:val="20"/>
                <w:b w:val="1"/>
                <w:bCs w:val="1"/>
                <w:color w:val="auto"/>
              </w:rPr>
              <w:t>December 31, 2022</w:t>
            </w:r>
          </w:p>
        </w:tc>
        <w:tc>
          <w:tcPr>
            <w:tcW w:w="0" w:type="dxa"/>
            <w:vAlign w:val="bottom"/>
          </w:tcPr>
          <w:p>
            <w:pPr>
              <w:spacing w:after="0"/>
              <w:rPr>
                <w:sz w:val="1"/>
                <w:szCs w:val="1"/>
                <w:color w:val="auto"/>
              </w:rPr>
            </w:pPr>
          </w:p>
        </w:tc>
      </w:tr>
      <w:tr>
        <w:trPr>
          <w:trHeight w:val="251"/>
        </w:trPr>
        <w:tc>
          <w:tcPr>
            <w:tcW w:w="6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20"/>
                <w:szCs w:val="20"/>
                <w:color w:val="auto"/>
              </w:rPr>
              <w:t>Total liabilities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1,162,363</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1,282,201</w:t>
            </w:r>
          </w:p>
        </w:tc>
        <w:tc>
          <w:tcPr>
            <w:tcW w:w="0" w:type="dxa"/>
            <w:vAlign w:val="bottom"/>
          </w:tcPr>
          <w:p>
            <w:pPr>
              <w:spacing w:after="0"/>
              <w:rPr>
                <w:sz w:val="1"/>
                <w:szCs w:val="1"/>
                <w:color w:val="auto"/>
              </w:rPr>
            </w:pPr>
          </w:p>
        </w:tc>
      </w:tr>
      <w:tr>
        <w:trPr>
          <w:trHeight w:val="253"/>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Commitments and contingencies (Note 11)</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Series A Redeemable Perpetual Preferred Stock of $0.001 par value -</w:t>
            </w: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20" w:type="dxa"/>
            <w:vAlign w:val="bottom"/>
            <w:shd w:val="clear" w:color="auto" w:fill="CCEEFF"/>
          </w:tcPr>
          <w:p>
            <w:pPr>
              <w:ind w:left="20"/>
              <w:spacing w:after="0" w:line="193" w:lineRule="exact"/>
              <w:rPr>
                <w:sz w:val="20"/>
                <w:szCs w:val="20"/>
                <w:color w:val="auto"/>
              </w:rPr>
            </w:pPr>
            <w:r>
              <w:rPr>
                <w:rFonts w:ascii="Arial" w:cs="Arial" w:eastAsia="Arial" w:hAnsi="Arial"/>
                <w:sz w:val="20"/>
                <w:szCs w:val="20"/>
                <w:color w:val="auto"/>
                <w:w w:val="99"/>
              </w:rPr>
              <w:t>500,000 authorized; 425,956 and 406,389 shares issued as of September</w:t>
            </w:r>
          </w:p>
        </w:tc>
        <w:tc>
          <w:tcPr>
            <w:tcW w:w="1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30, 2023 and December 31, 2022, respectively; liquidation preference of</w:t>
            </w: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$493.1 million and $493.1 million at respective dates</w:t>
            </w: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337,929</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299,570</w:t>
            </w:r>
          </w:p>
        </w:tc>
        <w:tc>
          <w:tcPr>
            <w:tcW w:w="0" w:type="dxa"/>
            <w:vAlign w:val="bottom"/>
          </w:tcPr>
          <w:p>
            <w:pPr>
              <w:spacing w:after="0"/>
              <w:rPr>
                <w:sz w:val="1"/>
                <w:szCs w:val="1"/>
                <w:color w:val="auto"/>
              </w:rPr>
            </w:pPr>
          </w:p>
        </w:tc>
      </w:tr>
      <w:tr>
        <w:trPr>
          <w:trHeight w:val="255"/>
        </w:trPr>
        <w:tc>
          <w:tcPr>
            <w:tcW w:w="6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Stockholders’ equity:</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6520" w:type="dxa"/>
            <w:vAlign w:val="bottom"/>
          </w:tcPr>
          <w:p>
            <w:pPr>
              <w:ind w:left="240"/>
              <w:spacing w:after="0" w:line="199" w:lineRule="exact"/>
              <w:rPr>
                <w:sz w:val="20"/>
                <w:szCs w:val="20"/>
                <w:color w:val="auto"/>
              </w:rPr>
            </w:pPr>
            <w:r>
              <w:rPr>
                <w:rFonts w:ascii="Arial" w:cs="Arial" w:eastAsia="Arial" w:hAnsi="Arial"/>
                <w:sz w:val="20"/>
                <w:szCs w:val="20"/>
                <w:color w:val="auto"/>
              </w:rPr>
              <w:t>Preferred stock of $0.001 par value - 4,500,000 shares authorized;</w:t>
            </w:r>
          </w:p>
        </w:tc>
        <w:tc>
          <w:tcPr>
            <w:tcW w:w="180" w:type="dxa"/>
            <w:vAlign w:val="bottom"/>
          </w:tcPr>
          <w:p>
            <w:pPr>
              <w:spacing w:after="0"/>
              <w:rPr>
                <w:sz w:val="17"/>
                <w:szCs w:val="17"/>
                <w:color w:val="auto"/>
              </w:rPr>
            </w:pPr>
          </w:p>
        </w:tc>
        <w:tc>
          <w:tcPr>
            <w:tcW w:w="2200" w:type="dxa"/>
            <w:vAlign w:val="bottom"/>
            <w:gridSpan w:val="2"/>
            <w:vMerge w:val="restart"/>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17"/>
                <w:szCs w:val="17"/>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6520" w:type="dxa"/>
            <w:vAlign w:val="bottom"/>
          </w:tcPr>
          <w:p>
            <w:pPr>
              <w:ind w:left="240"/>
              <w:spacing w:after="0"/>
              <w:rPr>
                <w:sz w:val="20"/>
                <w:szCs w:val="20"/>
                <w:color w:val="auto"/>
              </w:rPr>
            </w:pPr>
            <w:r>
              <w:rPr>
                <w:rFonts w:ascii="Arial" w:cs="Arial" w:eastAsia="Arial" w:hAnsi="Arial"/>
                <w:sz w:val="20"/>
                <w:szCs w:val="20"/>
                <w:color w:val="auto"/>
              </w:rPr>
              <w:t>none issued at respective dates</w:t>
            </w:r>
          </w:p>
        </w:tc>
        <w:tc>
          <w:tcPr>
            <w:tcW w:w="180" w:type="dxa"/>
            <w:vAlign w:val="bottom"/>
          </w:tcPr>
          <w:p>
            <w:pPr>
              <w:spacing w:after="0"/>
              <w:rPr>
                <w:sz w:val="21"/>
                <w:szCs w:val="21"/>
                <w:color w:val="auto"/>
              </w:rPr>
            </w:pPr>
          </w:p>
        </w:tc>
        <w:tc>
          <w:tcPr>
            <w:tcW w:w="22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40"/>
              <w:spacing w:after="0" w:line="199" w:lineRule="exact"/>
              <w:rPr>
                <w:sz w:val="20"/>
                <w:szCs w:val="20"/>
                <w:color w:val="auto"/>
              </w:rPr>
            </w:pPr>
            <w:r>
              <w:rPr>
                <w:rFonts w:ascii="Arial" w:cs="Arial" w:eastAsia="Arial" w:hAnsi="Arial"/>
                <w:sz w:val="20"/>
                <w:szCs w:val="20"/>
                <w:color w:val="auto"/>
              </w:rPr>
              <w:t>Common stock of $0.001 par value - 1,000,000,000 shares authorized;</w:t>
            </w:r>
          </w:p>
        </w:tc>
        <w:tc>
          <w:tcPr>
            <w:tcW w:w="18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151,071,429 and 150,513,104 shares issued at respective dates</w:t>
            </w:r>
          </w:p>
        </w:tc>
        <w:tc>
          <w:tcPr>
            <w:tcW w:w="18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Additional paid-in capital</w:t>
            </w: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407,916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383,176</w:t>
            </w: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deficit</w:t>
            </w: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(153,316)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(267,470)</w:t>
            </w:r>
          </w:p>
        </w:tc>
        <w:tc>
          <w:tcPr>
            <w:tcW w:w="0" w:type="dxa"/>
            <w:vAlign w:val="bottom"/>
          </w:tcPr>
          <w:p>
            <w:pPr>
              <w:spacing w:after="0"/>
              <w:rPr>
                <w:sz w:val="1"/>
                <w:szCs w:val="1"/>
                <w:color w:val="auto"/>
              </w:rPr>
            </w:pPr>
          </w:p>
        </w:tc>
      </w:tr>
      <w:tr>
        <w:trPr>
          <w:trHeight w:val="254"/>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23,714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8,425</w:t>
            </w:r>
          </w:p>
        </w:tc>
        <w:tc>
          <w:tcPr>
            <w:tcW w:w="0" w:type="dxa"/>
            <w:vAlign w:val="bottom"/>
          </w:tcPr>
          <w:p>
            <w:pPr>
              <w:spacing w:after="0"/>
              <w:rPr>
                <w:sz w:val="1"/>
                <w:szCs w:val="1"/>
                <w:color w:val="auto"/>
              </w:rPr>
            </w:pPr>
          </w:p>
        </w:tc>
      </w:tr>
      <w:tr>
        <w:trPr>
          <w:trHeight w:val="253"/>
        </w:trPr>
        <w:tc>
          <w:tcPr>
            <w:tcW w:w="6520" w:type="dxa"/>
            <w:vAlign w:val="bottom"/>
            <w:shd w:val="clear" w:color="auto" w:fill="CCEEFF"/>
          </w:tcPr>
          <w:p>
            <w:pPr>
              <w:ind w:left="520"/>
              <w:spacing w:after="0"/>
              <w:rPr>
                <w:sz w:val="20"/>
                <w:szCs w:val="20"/>
                <w:color w:val="auto"/>
              </w:rPr>
            </w:pPr>
            <w:r>
              <w:rPr>
                <w:rFonts w:ascii="Arial" w:cs="Arial" w:eastAsia="Arial" w:hAnsi="Arial"/>
                <w:sz w:val="20"/>
                <w:szCs w:val="20"/>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278,465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124,281</w:t>
            </w:r>
          </w:p>
        </w:tc>
        <w:tc>
          <w:tcPr>
            <w:tcW w:w="0" w:type="dxa"/>
            <w:vAlign w:val="bottom"/>
          </w:tcPr>
          <w:p>
            <w:pPr>
              <w:spacing w:after="0"/>
              <w:rPr>
                <w:sz w:val="1"/>
                <w:szCs w:val="1"/>
                <w:color w:val="auto"/>
              </w:rPr>
            </w:pPr>
          </w:p>
        </w:tc>
      </w:tr>
      <w:tr>
        <w:trPr>
          <w:trHeight w:val="178"/>
        </w:trPr>
        <w:tc>
          <w:tcPr>
            <w:tcW w:w="6520" w:type="dxa"/>
            <w:vAlign w:val="bottom"/>
          </w:tcPr>
          <w:p>
            <w:pPr>
              <w:ind w:left="520"/>
              <w:spacing w:after="0" w:line="179" w:lineRule="exact"/>
              <w:rPr>
                <w:sz w:val="20"/>
                <w:szCs w:val="20"/>
                <w:color w:val="auto"/>
              </w:rPr>
            </w:pPr>
            <w:r>
              <w:rPr>
                <w:rFonts w:ascii="Arial" w:cs="Arial" w:eastAsia="Arial" w:hAnsi="Arial"/>
                <w:sz w:val="20"/>
                <w:szCs w:val="20"/>
                <w:color w:val="auto"/>
              </w:rPr>
              <w:t>Total liabilities, redeemable perpetual preferred stock and</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1,778,757</w:t>
            </w: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1,706,052</w:t>
            </w:r>
          </w:p>
        </w:tc>
        <w:tc>
          <w:tcPr>
            <w:tcW w:w="0" w:type="dxa"/>
            <w:vAlign w:val="bottom"/>
          </w:tcPr>
          <w:p>
            <w:pPr>
              <w:spacing w:after="0"/>
              <w:rPr>
                <w:sz w:val="1"/>
                <w:szCs w:val="1"/>
                <w:color w:val="auto"/>
              </w:rPr>
            </w:pPr>
          </w:p>
        </w:tc>
      </w:tr>
      <w:tr>
        <w:trPr>
          <w:trHeight w:val="225"/>
        </w:trPr>
        <w:tc>
          <w:tcPr>
            <w:tcW w:w="6520" w:type="dxa"/>
            <w:vAlign w:val="bottom"/>
          </w:tcPr>
          <w:p>
            <w:pPr>
              <w:ind w:left="520"/>
              <w:spacing w:after="0" w:line="220" w:lineRule="exact"/>
              <w:rPr>
                <w:sz w:val="20"/>
                <w:szCs w:val="20"/>
                <w:color w:val="auto"/>
              </w:rPr>
            </w:pPr>
            <w:r>
              <w:rPr>
                <w:rFonts w:ascii="Arial" w:cs="Arial" w:eastAsia="Arial" w:hAnsi="Arial"/>
                <w:sz w:val="20"/>
                <w:szCs w:val="20"/>
                <w:color w:val="auto"/>
              </w:rPr>
              <w:t>stockholders’ equity</w:t>
            </w:r>
          </w:p>
        </w:tc>
        <w:tc>
          <w:tcPr>
            <w:tcW w:w="18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gridSpan w:val="5"/>
          </w:tcPr>
          <w:p>
            <w:pPr>
              <w:ind w:left="20"/>
              <w:spacing w:after="0"/>
              <w:rPr>
                <w:sz w:val="20"/>
                <w:szCs w:val="20"/>
                <w:color w:val="auto"/>
              </w:rPr>
            </w:pPr>
            <w:r>
              <w:rPr>
                <w:rFonts w:ascii="Arial" w:cs="Arial" w:eastAsia="Arial" w:hAnsi="Arial"/>
                <w:sz w:val="20"/>
                <w:szCs w:val="20"/>
                <w:b w:val="1"/>
                <w:bCs w:val="1"/>
                <w:color w:val="auto"/>
              </w:rPr>
              <w:t>Three Months Ended September</w:t>
            </w:r>
          </w:p>
        </w:tc>
        <w:tc>
          <w:tcPr>
            <w:tcW w:w="3440" w:type="dxa"/>
            <w:vAlign w:val="bottom"/>
            <w:gridSpan w:val="5"/>
            <w:vMerge w:val="restart"/>
          </w:tcPr>
          <w:p>
            <w:pPr>
              <w:jc w:val="right"/>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57"/>
        </w:trPr>
        <w:tc>
          <w:tcPr>
            <w:tcW w:w="4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20"/>
                <w:szCs w:val="20"/>
                <w:b w:val="1"/>
                <w:bCs w:val="1"/>
                <w:color w:val="auto"/>
              </w:rPr>
              <w:t>30,</w:t>
            </w:r>
          </w:p>
        </w:tc>
        <w:tc>
          <w:tcPr>
            <w:tcW w:w="12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Borders>
              <w:bottom w:val="single" w:sz="8" w:color="auto"/>
            </w:tcBorders>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b w:val="1"/>
                <w:bCs w:val="1"/>
                <w:color w:val="auto"/>
              </w:rPr>
              <w:t>2022</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515,024</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1,234,936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1,235,475</w:t>
            </w: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Cost of product and service revenue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259,419</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434,801</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892,696</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1,088,719</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Amortization of developed technology</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3,640</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3,640</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10,918</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10,918</w:t>
            </w: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cost of revenue</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263,059</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438,441</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903,614</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1,099,637</w:t>
            </w:r>
          </w:p>
        </w:tc>
        <w:tc>
          <w:tcPr>
            <w:tcW w:w="0" w:type="dxa"/>
            <w:vAlign w:val="bottom"/>
          </w:tcPr>
          <w:p>
            <w:pPr>
              <w:spacing w:after="0"/>
              <w:rPr>
                <w:sz w:val="1"/>
                <w:szCs w:val="1"/>
                <w:color w:val="auto"/>
              </w:rPr>
            </w:pPr>
          </w:p>
        </w:tc>
      </w:tr>
      <w:tr>
        <w:trPr>
          <w:trHeight w:val="247"/>
        </w:trPr>
        <w:tc>
          <w:tcPr>
            <w:tcW w:w="4140" w:type="dxa"/>
            <w:vAlign w:val="bottom"/>
            <w:tcBorders>
              <w:bottom w:val="single" w:sz="8" w:color="CCEEFF"/>
            </w:tcBorders>
          </w:tcPr>
          <w:p>
            <w:pPr>
              <w:ind w:left="580"/>
              <w:spacing w:after="0"/>
              <w:rPr>
                <w:sz w:val="20"/>
                <w:szCs w:val="20"/>
                <w:color w:val="auto"/>
              </w:rPr>
            </w:pPr>
            <w:r>
              <w:rPr>
                <w:rFonts w:ascii="Arial" w:cs="Arial" w:eastAsia="Arial" w:hAnsi="Arial"/>
                <w:sz w:val="20"/>
                <w:szCs w:val="20"/>
                <w:color w:val="auto"/>
              </w:rPr>
              <w:t>Gross profit</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87,379</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76,583</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331,322</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135,838</w:t>
            </w: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General and administrative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37,432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38,703</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115,825</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113,064</w:t>
            </w:r>
          </w:p>
        </w:tc>
        <w:tc>
          <w:tcPr>
            <w:tcW w:w="0" w:type="dxa"/>
            <w:vAlign w:val="bottom"/>
          </w:tcPr>
          <w:p>
            <w:pPr>
              <w:spacing w:after="0"/>
              <w:rPr>
                <w:sz w:val="1"/>
                <w:szCs w:val="1"/>
                <w:color w:val="auto"/>
              </w:rPr>
            </w:pPr>
          </w:p>
        </w:tc>
      </w:tr>
      <w:tr>
        <w:trPr>
          <w:trHeight w:val="198"/>
        </w:trPr>
        <w:tc>
          <w:tcPr>
            <w:tcW w:w="4140" w:type="dxa"/>
            <w:vAlign w:val="bottom"/>
          </w:tcPr>
          <w:p>
            <w:pPr>
              <w:ind w:left="20"/>
              <w:spacing w:after="0" w:line="199" w:lineRule="exact"/>
              <w:rPr>
                <w:sz w:val="20"/>
                <w:szCs w:val="20"/>
                <w:color w:val="auto"/>
              </w:rPr>
            </w:pPr>
            <w:r>
              <w:rPr>
                <w:rFonts w:ascii="Arial" w:cs="Arial" w:eastAsia="Arial" w:hAnsi="Arial"/>
                <w:sz w:val="20"/>
                <w:szCs w:val="20"/>
                <w:color w:val="auto"/>
              </w:rPr>
              <w:t>Change in fair value of contingent</w:t>
            </w:r>
          </w:p>
        </w:tc>
        <w:tc>
          <w:tcPr>
            <w:tcW w:w="14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(572)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20"/>
                <w:szCs w:val="20"/>
                <w:color w:val="auto"/>
              </w:rPr>
              <w:t>2,232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(5,981)</w:t>
            </w:r>
          </w:p>
        </w:tc>
        <w:tc>
          <w:tcPr>
            <w:tcW w:w="0" w:type="dxa"/>
            <w:vAlign w:val="bottom"/>
          </w:tcPr>
          <w:p>
            <w:pPr>
              <w:spacing w:after="0"/>
              <w:rPr>
                <w:sz w:val="1"/>
                <w:szCs w:val="1"/>
                <w:color w:val="auto"/>
              </w:rPr>
            </w:pPr>
          </w:p>
        </w:tc>
      </w:tr>
      <w:tr>
        <w:trPr>
          <w:trHeight w:val="247"/>
        </w:trPr>
        <w:tc>
          <w:tcPr>
            <w:tcW w:w="4140" w:type="dxa"/>
            <w:vAlign w:val="bottom"/>
          </w:tcPr>
          <w:p>
            <w:pPr>
              <w:ind w:left="20"/>
              <w:spacing w:after="0"/>
              <w:rPr>
                <w:sz w:val="20"/>
                <w:szCs w:val="20"/>
                <w:color w:val="auto"/>
              </w:rPr>
            </w:pPr>
            <w:r>
              <w:rPr>
                <w:rFonts w:ascii="Arial" w:cs="Arial" w:eastAsia="Arial" w:hAnsi="Arial"/>
                <w:sz w:val="20"/>
                <w:szCs w:val="20"/>
                <w:color w:val="auto"/>
              </w:rPr>
              <w:t>consideration</w:t>
            </w:r>
          </w:p>
        </w:tc>
        <w:tc>
          <w:tcPr>
            <w:tcW w:w="1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Depreciation and amortization</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9,552</w:t>
            </w: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21,258</w:t>
            </w:r>
          </w:p>
        </w:tc>
        <w:tc>
          <w:tcPr>
            <w:tcW w:w="2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29,361</w:t>
            </w: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63,237</w:t>
            </w:r>
          </w:p>
        </w:tc>
        <w:tc>
          <w:tcPr>
            <w:tcW w:w="0" w:type="dxa"/>
            <w:vAlign w:val="bottom"/>
          </w:tcPr>
          <w:p>
            <w:pPr>
              <w:spacing w:after="0"/>
              <w:rPr>
                <w:sz w:val="1"/>
                <w:szCs w:val="1"/>
                <w:color w:val="auto"/>
              </w:rPr>
            </w:pPr>
          </w:p>
        </w:tc>
      </w:tr>
      <w:tr>
        <w:trPr>
          <w:trHeight w:val="247"/>
        </w:trPr>
        <w:tc>
          <w:tcPr>
            <w:tcW w:w="4140" w:type="dxa"/>
            <w:vAlign w:val="bottom"/>
            <w:tcBorders>
              <w:bottom w:val="single" w:sz="8" w:color="CCEEFF"/>
            </w:tcBorders>
          </w:tcPr>
          <w:p>
            <w:pPr>
              <w:ind w:left="580"/>
              <w:spacing w:after="0"/>
              <w:rPr>
                <w:sz w:val="20"/>
                <w:szCs w:val="20"/>
                <w:color w:val="auto"/>
              </w:rPr>
            </w:pPr>
            <w:r>
              <w:rPr>
                <w:rFonts w:ascii="Arial" w:cs="Arial" w:eastAsia="Arial" w:hAnsi="Arial"/>
                <w:sz w:val="20"/>
                <w:szCs w:val="20"/>
                <w:color w:val="auto"/>
              </w:rPr>
              <w:t>Total operating expenses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47,174</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59,389</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147,418</w:t>
            </w:r>
          </w:p>
        </w:tc>
        <w:tc>
          <w:tcPr>
            <w:tcW w:w="1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170,320</w:t>
            </w: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Income (loss) from operations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40,205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17,194</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183,904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(34,482)</w:t>
            </w:r>
          </w:p>
        </w:tc>
        <w:tc>
          <w:tcPr>
            <w:tcW w:w="0" w:type="dxa"/>
            <w:vAlign w:val="bottom"/>
          </w:tcPr>
          <w:p>
            <w:pPr>
              <w:spacing w:after="0"/>
              <w:rPr>
                <w:sz w:val="1"/>
                <w:szCs w:val="1"/>
                <w:color w:val="auto"/>
              </w:rPr>
            </w:pPr>
          </w:p>
        </w:tc>
      </w:tr>
      <w:tr>
        <w:trPr>
          <w:trHeight w:val="273"/>
        </w:trPr>
        <w:tc>
          <w:tcPr>
            <w:tcW w:w="4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Other (expense) income:</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(expense), net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(446)</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(1,092)</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(2,295)</w:t>
            </w: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3,425</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778</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6,124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2,371</w:t>
            </w:r>
          </w:p>
        </w:tc>
        <w:tc>
          <w:tcPr>
            <w:tcW w:w="0" w:type="dxa"/>
            <w:vAlign w:val="bottom"/>
          </w:tcPr>
          <w:p>
            <w:pPr>
              <w:spacing w:after="0"/>
              <w:rPr>
                <w:sz w:val="1"/>
                <w:szCs w:val="1"/>
                <w:color w:val="auto"/>
              </w:rPr>
            </w:pPr>
          </w:p>
        </w:tc>
      </w:tr>
      <w:tr>
        <w:trPr>
          <w:trHeight w:val="259"/>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0" w:type="dxa"/>
            <w:vAlign w:val="bottom"/>
          </w:tcPr>
          <w:p>
            <w:pPr>
              <w:spacing w:after="0"/>
              <w:rPr>
                <w:sz w:val="1"/>
                <w:szCs w:val="1"/>
                <w:color w:val="auto"/>
              </w:rPr>
            </w:pPr>
          </w:p>
        </w:tc>
      </w:tr>
      <w:tr>
        <w:trPr>
          <w:trHeight w:val="254"/>
        </w:trPr>
        <w:tc>
          <w:tcPr>
            <w:tcW w:w="4140" w:type="dxa"/>
            <w:vAlign w:val="bottom"/>
          </w:tcPr>
          <w:p>
            <w:pPr>
              <w:ind w:left="20"/>
              <w:spacing w:after="0"/>
              <w:rPr>
                <w:sz w:val="20"/>
                <w:szCs w:val="20"/>
                <w:color w:val="auto"/>
              </w:rPr>
            </w:pPr>
            <w:r>
              <w:rPr>
                <w:rFonts w:ascii="Arial" w:cs="Arial" w:eastAsia="Arial" w:hAnsi="Arial"/>
                <w:sz w:val="20"/>
                <w:szCs w:val="20"/>
                <w:color w:val="auto"/>
              </w:rPr>
              <w:t>Foreign currency gain (loss)</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207</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(159)</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273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1,968</w:t>
            </w:r>
          </w:p>
        </w:tc>
        <w:tc>
          <w:tcPr>
            <w:tcW w:w="0" w:type="dxa"/>
            <w:vAlign w:val="bottom"/>
          </w:tcPr>
          <w:p>
            <w:pPr>
              <w:spacing w:after="0"/>
              <w:rPr>
                <w:sz w:val="1"/>
                <w:szCs w:val="1"/>
                <w:color w:val="auto"/>
              </w:rPr>
            </w:pPr>
          </w:p>
        </w:tc>
      </w:tr>
      <w:tr>
        <w:trPr>
          <w:trHeight w:val="259"/>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Change in fair value of derivative assets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(13,064)</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(8,831)</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(35,372)</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(23,812)</w:t>
            </w:r>
          </w:p>
        </w:tc>
        <w:tc>
          <w:tcPr>
            <w:tcW w:w="0" w:type="dxa"/>
            <w:vAlign w:val="bottom"/>
          </w:tcPr>
          <w:p>
            <w:pPr>
              <w:spacing w:after="0"/>
              <w:rPr>
                <w:sz w:val="1"/>
                <w:szCs w:val="1"/>
                <w:color w:val="auto"/>
              </w:rPr>
            </w:pPr>
          </w:p>
        </w:tc>
      </w:tr>
      <w:tr>
        <w:trPr>
          <w:trHeight w:val="250"/>
        </w:trPr>
        <w:tc>
          <w:tcPr>
            <w:tcW w:w="4140" w:type="dxa"/>
            <w:vAlign w:val="bottom"/>
            <w:shd w:val="clear" w:color="auto" w:fill="CCEEFF"/>
          </w:tcPr>
          <w:p>
            <w:pPr>
              <w:ind w:left="580"/>
              <w:spacing w:after="0"/>
              <w:rPr>
                <w:sz w:val="20"/>
                <w:szCs w:val="20"/>
                <w:color w:val="auto"/>
              </w:rPr>
            </w:pPr>
            <w:r>
              <w:rPr>
                <w:rFonts w:ascii="Arial" w:cs="Arial" w:eastAsia="Arial" w:hAnsi="Arial"/>
                <w:sz w:val="20"/>
                <w:szCs w:val="20"/>
                <w:color w:val="auto"/>
              </w:rPr>
              <w:t>Total other (expense) income</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(9,762)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33,446</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(30,242)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20,982</w:t>
            </w:r>
          </w:p>
        </w:tc>
        <w:tc>
          <w:tcPr>
            <w:tcW w:w="0" w:type="dxa"/>
            <w:vAlign w:val="bottom"/>
          </w:tcPr>
          <w:p>
            <w:pPr>
              <w:spacing w:after="0"/>
              <w:rPr>
                <w:sz w:val="1"/>
                <w:szCs w:val="1"/>
                <w:color w:val="auto"/>
              </w:rPr>
            </w:pPr>
          </w:p>
        </w:tc>
      </w:tr>
      <w:tr>
        <w:trPr>
          <w:trHeight w:val="253"/>
        </w:trPr>
        <w:tc>
          <w:tcPr>
            <w:tcW w:w="4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before taxes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30,443</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50,640</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153,662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(13,500)</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Income tax expense (benefit)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7,229</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9,996</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39,508</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(23,183)</w:t>
            </w:r>
          </w:p>
        </w:tc>
        <w:tc>
          <w:tcPr>
            <w:tcW w:w="0" w:type="dxa"/>
            <w:vAlign w:val="bottom"/>
          </w:tcPr>
          <w:p>
            <w:pPr>
              <w:spacing w:after="0"/>
              <w:rPr>
                <w:sz w:val="1"/>
                <w:szCs w:val="1"/>
                <w:color w:val="auto"/>
              </w:rPr>
            </w:pPr>
          </w:p>
        </w:tc>
      </w:tr>
      <w:tr>
        <w:trPr>
          <w:trHeight w:val="253"/>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40,644</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114,154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13,091</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38,359</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36,045</w:t>
            </w:r>
          </w:p>
        </w:tc>
        <w:tc>
          <w:tcPr>
            <w:tcW w:w="0" w:type="dxa"/>
            <w:vAlign w:val="bottom"/>
          </w:tcPr>
          <w:p>
            <w:pPr>
              <w:spacing w:after="0"/>
              <w:rPr>
                <w:sz w:val="1"/>
                <w:szCs w:val="1"/>
                <w:color w:val="auto"/>
              </w:rPr>
            </w:pPr>
          </w:p>
        </w:tc>
      </w:tr>
      <w:tr>
        <w:trPr>
          <w:trHeight w:val="27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10,123</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28,387</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75,795</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(26,362)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per common share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40" w:type="dxa"/>
            <w:vAlign w:val="bottom"/>
          </w:tcPr>
          <w:p>
            <w:pPr>
              <w:ind w:left="260"/>
              <w:spacing w:after="0"/>
              <w:rPr>
                <w:sz w:val="20"/>
                <w:szCs w:val="20"/>
                <w:color w:val="auto"/>
              </w:rPr>
            </w:pPr>
            <w:r>
              <w:rPr>
                <w:rFonts w:ascii="Arial" w:cs="Arial" w:eastAsia="Arial" w:hAnsi="Arial"/>
                <w:sz w:val="20"/>
                <w:szCs w:val="20"/>
                <w:color w:val="auto"/>
              </w:rPr>
              <w:t>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0.50</w:t>
            </w: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0.07</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0.19</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0.50</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20"/>
                <w:szCs w:val="20"/>
                <w:color w:val="auto"/>
              </w:rPr>
              <w:t>Weighted average number of common shares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4140" w:type="dxa"/>
            <w:vAlign w:val="bottom"/>
          </w:tcPr>
          <w:p>
            <w:pPr>
              <w:ind w:left="20"/>
              <w:spacing w:after="0"/>
              <w:rPr>
                <w:sz w:val="20"/>
                <w:szCs w:val="20"/>
                <w:color w:val="auto"/>
              </w:rPr>
            </w:pPr>
            <w:r>
              <w:rPr>
                <w:rFonts w:ascii="Arial" w:cs="Arial" w:eastAsia="Arial" w:hAnsi="Arial"/>
                <w:sz w:val="20"/>
                <w:szCs w:val="20"/>
                <w:color w:val="auto"/>
              </w:rPr>
              <w:t>outstanding</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1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151,068</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150,865</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tcPr>
          <w:p>
            <w:pPr>
              <w:ind w:left="260"/>
              <w:spacing w:after="0"/>
              <w:rPr>
                <w:sz w:val="20"/>
                <w:szCs w:val="20"/>
                <w:color w:val="auto"/>
              </w:rPr>
            </w:pPr>
            <w:r>
              <w:rPr>
                <w:rFonts w:ascii="Arial" w:cs="Arial" w:eastAsia="Arial" w:hAnsi="Arial"/>
                <w:sz w:val="20"/>
                <w:szCs w:val="20"/>
                <w:color w:val="auto"/>
              </w:rPr>
              <w:t>Diluted</w:t>
            </w: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152,323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151,382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152,083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598"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type w:val="continuous"/>
        </w:sectPr>
      </w:pPr>
    </w:p>
    <w:bookmarkStart w:id="6" w:name="page7"/>
    <w:bookmarkEnd w:id="6"/>
    <w:p>
      <w:pPr>
        <w:ind w:left="33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15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7" w:name="page8"/>
    <w:bookmarkEnd w:id="7"/>
    <w:p>
      <w:pPr>
        <w:ind w:left="444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1680"/>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ind w:right="20"/>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300" w:type="dxa"/>
            <w:vAlign w:val="bottom"/>
          </w:tcPr>
          <w:p>
            <w:pPr>
              <w:spacing w:after="0"/>
              <w:rPr>
                <w:sz w:val="23"/>
                <w:szCs w:val="23"/>
                <w:color w:val="auto"/>
              </w:rPr>
            </w:pPr>
          </w:p>
        </w:tc>
        <w:tc>
          <w:tcPr>
            <w:tcW w:w="3520" w:type="dxa"/>
            <w:vAlign w:val="bottom"/>
            <w:gridSpan w:val="6"/>
          </w:tcPr>
          <w:p>
            <w:pPr>
              <w:ind w:left="20"/>
              <w:spacing w:after="0"/>
              <w:rPr>
                <w:sz w:val="20"/>
                <w:szCs w:val="20"/>
                <w:color w:val="auto"/>
              </w:rPr>
            </w:pPr>
            <w:r>
              <w:rPr>
                <w:rFonts w:ascii="Arial" w:cs="Arial" w:eastAsia="Arial" w:hAnsi="Arial"/>
                <w:sz w:val="20"/>
                <w:szCs w:val="20"/>
                <w:b w:val="1"/>
                <w:bCs w:val="1"/>
                <w:color w:val="auto"/>
              </w:rPr>
              <w:t>Three Months Ended September 30,</w:t>
            </w:r>
          </w:p>
        </w:tc>
        <w:tc>
          <w:tcPr>
            <w:tcW w:w="3360" w:type="dxa"/>
            <w:vAlign w:val="bottom"/>
            <w:gridSpan w:val="5"/>
          </w:tcPr>
          <w:p>
            <w:pPr>
              <w:jc w:val="center"/>
              <w:spacing w:after="0"/>
              <w:rPr>
                <w:sz w:val="20"/>
                <w:szCs w:val="20"/>
                <w:color w:val="auto"/>
              </w:rPr>
            </w:pPr>
            <w:r>
              <w:rPr>
                <w:rFonts w:ascii="Arial" w:cs="Arial" w:eastAsia="Arial" w:hAnsi="Arial"/>
                <w:sz w:val="20"/>
                <w:szCs w:val="20"/>
                <w:b w:val="1"/>
                <w:bCs w:val="1"/>
                <w:color w:val="auto"/>
                <w:w w:val="99"/>
              </w:rPr>
              <w:t>Nine Months Ended September 30,</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Net income</w:t>
            </w:r>
          </w:p>
        </w:tc>
        <w:tc>
          <w:tcPr>
            <w:tcW w:w="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23,214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40,644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114,154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center"/>
              <w:ind w:right="141"/>
              <w:spacing w:after="0"/>
              <w:rPr>
                <w:sz w:val="20"/>
                <w:szCs w:val="20"/>
                <w:color w:val="auto"/>
              </w:rPr>
            </w:pPr>
            <w:r>
              <w:rPr>
                <w:rFonts w:ascii="Arial" w:cs="Arial" w:eastAsia="Arial" w:hAnsi="Arial"/>
                <w:sz w:val="20"/>
                <w:szCs w:val="20"/>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198"/>
        </w:trPr>
        <w:tc>
          <w:tcPr>
            <w:tcW w:w="4300" w:type="dxa"/>
            <w:vAlign w:val="bottom"/>
          </w:tcPr>
          <w:p>
            <w:pPr>
              <w:ind w:left="240"/>
              <w:spacing w:after="0" w:line="199" w:lineRule="exact"/>
              <w:rPr>
                <w:sz w:val="20"/>
                <w:szCs w:val="20"/>
                <w:color w:val="auto"/>
              </w:rPr>
            </w:pPr>
            <w:r>
              <w:rPr>
                <w:rFonts w:ascii="Arial" w:cs="Arial" w:eastAsia="Arial" w:hAnsi="Arial"/>
                <w:sz w:val="20"/>
                <w:szCs w:val="20"/>
                <w:color w:val="auto"/>
              </w:rPr>
              <w:t>Change in foreign currency translation</w:t>
            </w:r>
          </w:p>
        </w:tc>
        <w:tc>
          <w:tcPr>
            <w:tcW w:w="3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(22,495)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20"/>
                <w:szCs w:val="20"/>
                <w:color w:val="auto"/>
              </w:rPr>
              <w:t>(30,807)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20"/>
                <w:szCs w:val="20"/>
                <w:color w:val="auto"/>
              </w:rPr>
              <w:t>15,289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20"/>
                <w:szCs w:val="20"/>
                <w:color w:val="auto"/>
              </w:rPr>
              <w:t>(19,340)</w:t>
            </w:r>
          </w:p>
        </w:tc>
        <w:tc>
          <w:tcPr>
            <w:tcW w:w="0" w:type="dxa"/>
            <w:vAlign w:val="bottom"/>
          </w:tcPr>
          <w:p>
            <w:pPr>
              <w:spacing w:after="0"/>
              <w:rPr>
                <w:sz w:val="1"/>
                <w:szCs w:val="1"/>
                <w:color w:val="auto"/>
              </w:rPr>
            </w:pPr>
          </w:p>
        </w:tc>
      </w:tr>
      <w:tr>
        <w:trPr>
          <w:trHeight w:val="247"/>
        </w:trPr>
        <w:tc>
          <w:tcPr>
            <w:tcW w:w="4300" w:type="dxa"/>
            <w:vAlign w:val="bottom"/>
            <w:tcBorders>
              <w:bottom w:val="single" w:sz="8" w:color="CCEEFF"/>
            </w:tcBorders>
          </w:tcPr>
          <w:p>
            <w:pPr>
              <w:ind w:left="240"/>
              <w:spacing w:after="0" w:line="247" w:lineRule="exact"/>
              <w:rPr>
                <w:sz w:val="20"/>
                <w:szCs w:val="20"/>
                <w:color w:val="auto"/>
              </w:rPr>
            </w:pPr>
            <w:r>
              <w:rPr>
                <w:rFonts w:ascii="Arial" w:cs="Arial" w:eastAsia="Arial" w:hAnsi="Arial"/>
                <w:sz w:val="20"/>
                <w:szCs w:val="20"/>
                <w:color w:val="auto"/>
              </w:rPr>
              <w:t>adjustments</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Comprehensive income (loss)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719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9,837</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129,443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center"/>
              <w:ind w:right="141"/>
              <w:spacing w:after="0"/>
              <w:rPr>
                <w:sz w:val="20"/>
                <w:szCs w:val="20"/>
                <w:color w:val="auto"/>
              </w:rPr>
            </w:pPr>
            <w:r>
              <w:rPr>
                <w:rFonts w:ascii="Arial" w:cs="Arial" w:eastAsia="Arial" w:hAnsi="Arial"/>
                <w:sz w:val="20"/>
                <w:szCs w:val="20"/>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(9,657)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480" w:hanging="211"/>
        <w:spacing w:after="0"/>
        <w:tabs>
          <w:tab w:leader="none" w:pos="348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The tax effect on other comprehensive income is not material.</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72390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598" w:right="35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September 30, 2023</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80"/>
        <w:spacing w:after="0" w:line="256" w:lineRule="auto"/>
        <w:rPr>
          <w:sz w:val="20"/>
          <w:szCs w:val="20"/>
          <w:color w:val="auto"/>
        </w:rPr>
      </w:pPr>
      <w:r>
        <w:rPr>
          <w:rFonts w:ascii="Arial" w:cs="Arial" w:eastAsia="Arial" w:hAnsi="Arial"/>
          <w:sz w:val="17"/>
          <w:szCs w:val="17"/>
          <w:color w:val="auto"/>
        </w:rPr>
        <w:t>Balance at June 30, 2023</w:t>
      </w:r>
    </w:p>
    <w:p>
      <w:pPr>
        <w:spacing w:after="0" w:line="1" w:lineRule="exact"/>
        <w:rPr>
          <w:sz w:val="20"/>
          <w:szCs w:val="20"/>
          <w:color w:val="auto"/>
        </w:rPr>
      </w:pPr>
    </w:p>
    <w:p>
      <w:pPr>
        <w:ind w:left="20" w:right="100"/>
        <w:spacing w:after="0" w:line="256" w:lineRule="auto"/>
        <w:rPr>
          <w:sz w:val="20"/>
          <w:szCs w:val="20"/>
          <w:color w:val="auto"/>
        </w:rPr>
      </w:pPr>
      <w:r>
        <w:rPr>
          <w:rFonts w:ascii="Arial" w:cs="Arial" w:eastAsia="Arial" w:hAnsi="Arial"/>
          <w:sz w:val="17"/>
          <w:szCs w:val="17"/>
          <w:color w:val="auto"/>
        </w:rPr>
        <w:t>Equity-based compensation</w:t>
      </w:r>
    </w:p>
    <w:p>
      <w:pPr>
        <w:spacing w:after="0" w:line="1" w:lineRule="exact"/>
        <w:rPr>
          <w:sz w:val="20"/>
          <w:szCs w:val="20"/>
          <w:color w:val="auto"/>
        </w:rPr>
      </w:pPr>
    </w:p>
    <w:p>
      <w:pPr>
        <w:ind w:left="20" w:right="80"/>
        <w:spacing w:after="0" w:line="225" w:lineRule="auto"/>
        <w:rPr>
          <w:sz w:val="20"/>
          <w:szCs w:val="20"/>
          <w:color w:val="auto"/>
        </w:rPr>
      </w:pPr>
      <w:r>
        <w:rPr>
          <w:rFonts w:ascii="Arial" w:cs="Arial" w:eastAsia="Arial" w:hAnsi="Arial"/>
          <w:sz w:val="17"/>
          <w:szCs w:val="17"/>
          <w:color w:val="auto"/>
        </w:rPr>
        <w:t>Preferred cumulative dividends plus</w:t>
      </w:r>
    </w:p>
    <w:p>
      <w:pPr>
        <w:spacing w:after="0" w:line="2" w:lineRule="exact"/>
        <w:rPr>
          <w:sz w:val="20"/>
          <w:szCs w:val="20"/>
          <w:color w:val="auto"/>
        </w:rPr>
      </w:pPr>
    </w:p>
    <w:p>
      <w:pPr>
        <w:ind w:left="20" w:right="300"/>
        <w:spacing w:after="0" w:line="245" w:lineRule="auto"/>
        <w:rPr>
          <w:sz w:val="20"/>
          <w:szCs w:val="20"/>
          <w:color w:val="auto"/>
        </w:rPr>
      </w:pPr>
      <w:r>
        <w:rPr>
          <w:rFonts w:ascii="Arial" w:cs="Arial" w:eastAsia="Arial" w:hAnsi="Arial"/>
          <w:sz w:val="18"/>
          <w:szCs w:val="18"/>
          <w:color w:val="auto"/>
        </w:rPr>
        <w:t>accretion Net income Other</w:t>
      </w:r>
    </w:p>
    <w:p>
      <w:pPr>
        <w:ind w:left="20"/>
        <w:spacing w:after="0" w:line="216" w:lineRule="auto"/>
        <w:rPr>
          <w:sz w:val="20"/>
          <w:szCs w:val="20"/>
          <w:color w:val="auto"/>
        </w:rPr>
      </w:pPr>
      <w:r>
        <w:rPr>
          <w:rFonts w:ascii="Arial" w:cs="Arial" w:eastAsia="Arial" w:hAnsi="Arial"/>
          <w:sz w:val="17"/>
          <w:szCs w:val="17"/>
          <w:color w:val="auto"/>
        </w:rPr>
        <w:t>comprehensive</w:t>
      </w:r>
    </w:p>
    <w:p>
      <w:pPr>
        <w:ind w:left="20"/>
        <w:spacing w:after="0"/>
        <w:rPr>
          <w:sz w:val="20"/>
          <w:szCs w:val="20"/>
          <w:color w:val="auto"/>
        </w:rPr>
      </w:pPr>
      <w:r>
        <w:rPr>
          <w:rFonts w:ascii="Arial" w:cs="Arial" w:eastAsia="Arial" w:hAnsi="Arial"/>
          <w:sz w:val="18"/>
          <w:szCs w:val="18"/>
          <w:color w:val="auto"/>
        </w:rPr>
        <w:t>loss</w:t>
      </w:r>
    </w:p>
    <w:p>
      <w:pPr>
        <w:spacing w:after="0" w:line="24" w:lineRule="exact"/>
        <w:rPr>
          <w:sz w:val="20"/>
          <w:szCs w:val="20"/>
          <w:color w:val="auto"/>
        </w:rPr>
      </w:pPr>
    </w:p>
    <w:p>
      <w:pPr>
        <w:ind w:left="20" w:right="40"/>
        <w:spacing w:after="0" w:line="224" w:lineRule="auto"/>
        <w:rPr>
          <w:sz w:val="20"/>
          <w:szCs w:val="20"/>
          <w:color w:val="auto"/>
        </w:rPr>
      </w:pPr>
      <w:r>
        <w:rPr>
          <w:rFonts w:ascii="Arial" w:cs="Arial" w:eastAsia="Arial" w:hAnsi="Arial"/>
          <w:sz w:val="18"/>
          <w:szCs w:val="18"/>
          <w:color w:val="auto"/>
        </w:rPr>
        <w:t>Balance at September 30, 2023</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9"/>
              </w:rPr>
              <w:t>Temporary Equity</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80" w:type="dxa"/>
            <w:vAlign w:val="bottom"/>
            <w:tcBorders>
              <w:right w:val="single" w:sz="8" w:color="auto"/>
            </w:tcBorders>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Redeemable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80" w:type="dxa"/>
            <w:vAlign w:val="bottom"/>
            <w:tcBorders>
              <w:right w:val="single" w:sz="8" w:color="auto"/>
            </w:tcBorders>
            <w:gridSpan w:val="4"/>
          </w:tcPr>
          <w:p>
            <w:pPr>
              <w:jc w:val="center"/>
              <w:ind w:right="100"/>
              <w:spacing w:after="0" w:line="180" w:lineRule="exact"/>
              <w:rPr>
                <w:sz w:val="20"/>
                <w:szCs w:val="20"/>
                <w:color w:val="auto"/>
              </w:rPr>
            </w:pPr>
            <w:r>
              <w:rPr>
                <w:rFonts w:ascii="Arial" w:cs="Arial" w:eastAsia="Arial" w:hAnsi="Arial"/>
                <w:sz w:val="18"/>
                <w:szCs w:val="18"/>
                <w:b w:val="1"/>
                <w:bCs w:val="1"/>
                <w:color w:val="auto"/>
                <w:w w:val="99"/>
              </w:rPr>
              <w:t>Perpetual</w:t>
            </w:r>
          </w:p>
        </w:tc>
        <w:tc>
          <w:tcPr>
            <w:tcW w:w="60" w:type="dxa"/>
            <w:vAlign w:val="bottom"/>
          </w:tcPr>
          <w:p>
            <w:pPr>
              <w:spacing w:after="0"/>
              <w:rPr>
                <w:sz w:val="15"/>
                <w:szCs w:val="15"/>
                <w:color w:val="auto"/>
              </w:rPr>
            </w:pPr>
          </w:p>
        </w:tc>
        <w:tc>
          <w:tcPr>
            <w:tcW w:w="156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68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9"/>
              </w:rPr>
              <w:t>Preferred Stock</w:t>
            </w:r>
          </w:p>
        </w:tc>
        <w:tc>
          <w:tcPr>
            <w:tcW w:w="60" w:type="dxa"/>
            <w:vAlign w:val="bottom"/>
          </w:tcPr>
          <w:p>
            <w:pPr>
              <w:spacing w:after="0"/>
              <w:rPr>
                <w:sz w:val="20"/>
                <w:szCs w:val="20"/>
                <w:color w:val="auto"/>
              </w:rPr>
            </w:pPr>
          </w:p>
        </w:tc>
        <w:tc>
          <w:tcPr>
            <w:tcW w:w="1560" w:type="dxa"/>
            <w:vAlign w:val="bottom"/>
            <w:gridSpan w:val="5"/>
            <w:vMerge w:val="continue"/>
          </w:tcPr>
          <w:p>
            <w:pPr>
              <w:spacing w:after="0"/>
              <w:rPr>
                <w:sz w:val="20"/>
                <w:szCs w:val="20"/>
                <w:color w:val="auto"/>
              </w:rPr>
            </w:pPr>
          </w:p>
        </w:tc>
        <w:tc>
          <w:tcPr>
            <w:tcW w:w="16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rPr>
              <w:t>Income</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398"/>
        </w:trPr>
        <w:tc>
          <w:tcPr>
            <w:tcW w:w="640" w:type="dxa"/>
            <w:vAlign w:val="bottom"/>
          </w:tcPr>
          <w:p>
            <w:pPr>
              <w:jc w:val="right"/>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$324,838</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151,049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417,624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287,454</w:t>
            </w:r>
          </w:p>
        </w:tc>
        <w:tc>
          <w:tcPr>
            <w:tcW w:w="0" w:type="dxa"/>
            <w:vAlign w:val="bottom"/>
          </w:tcPr>
          <w:p>
            <w:pPr>
              <w:spacing w:after="0"/>
              <w:rPr>
                <w:sz w:val="1"/>
                <w:szCs w:val="1"/>
                <w:color w:val="auto"/>
              </w:rPr>
            </w:pPr>
          </w:p>
        </w:tc>
      </w:tr>
      <w:tr>
        <w:trPr>
          <w:trHeight w:val="419"/>
        </w:trPr>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769"/>
        </w:trPr>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30"/>
        </w:trPr>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594"/>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8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587"/>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337,929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151,071</w:t>
            </w:r>
          </w:p>
        </w:tc>
        <w:tc>
          <w:tcPr>
            <w:tcW w:w="80" w:type="dxa"/>
            <w:vAlign w:val="bottom"/>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407,916</w:t>
            </w:r>
          </w:p>
        </w:tc>
        <w:tc>
          <w:tcPr>
            <w:tcW w:w="8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(153,316)</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23,714</w:t>
            </w: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-1936750</wp:posOffset>
            </wp:positionV>
            <wp:extent cx="180848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26543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-1405255</wp:posOffset>
            </wp:positionV>
            <wp:extent cx="180848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8480" cy="488315"/>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-770890</wp:posOffset>
            </wp:positionV>
            <wp:extent cx="180848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40" w:space="40"/>
            <w:col w:w="9960"/>
          </w:cols>
          <w:pgMar w:left="320" w:top="5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9" w:name="page10"/>
    <w:bookmarkEnd w:id="9"/>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ind w:right="-19"/>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center"/>
              <w:ind w:left="388"/>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gridSpan w:val="9"/>
            <w:vMerge w:val="restart"/>
          </w:tcPr>
          <w:p>
            <w:pPr>
              <w:spacing w:after="0"/>
              <w:rPr>
                <w:sz w:val="20"/>
                <w:szCs w:val="20"/>
                <w:color w:val="auto"/>
              </w:rPr>
            </w:pPr>
            <w:r>
              <w:rPr>
                <w:rFonts w:ascii="Arial" w:cs="Arial" w:eastAsia="Arial" w:hAnsi="Arial"/>
                <w:sz w:val="20"/>
                <w:szCs w:val="20"/>
                <w:b w:val="1"/>
                <w:bCs w:val="1"/>
                <w:i w:val="1"/>
                <w:iCs w:val="1"/>
                <w:color w:val="auto"/>
              </w:rPr>
              <w:t>Three Months Ended September 30, 2022</w:t>
            </w:r>
          </w:p>
        </w:tc>
        <w:tc>
          <w:tcPr>
            <w:tcW w:w="1780" w:type="dxa"/>
            <w:vAlign w:val="bottom"/>
            <w:gridSpan w:val="6"/>
          </w:tcPr>
          <w:p>
            <w:pPr>
              <w:jc w:val="center"/>
              <w:ind w:left="268"/>
              <w:spacing w:after="0"/>
              <w:rPr>
                <w:sz w:val="20"/>
                <w:szCs w:val="20"/>
                <w:color w:val="auto"/>
              </w:rPr>
            </w:pPr>
            <w:r>
              <w:rPr>
                <w:rFonts w:ascii="Arial" w:cs="Arial" w:eastAsia="Arial" w:hAnsi="Arial"/>
                <w:sz w:val="20"/>
                <w:szCs w:val="20"/>
                <w:i w:val="1"/>
                <w:iCs w:val="1"/>
                <w:color w:val="auto"/>
                <w:w w:val="99"/>
              </w:rPr>
              <w:t>(in thousands)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560" w:type="dxa"/>
            <w:vAlign w:val="bottom"/>
            <w:gridSpan w:val="9"/>
            <w:vMerge w:val="continue"/>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Permanent Equity</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280" w:type="dxa"/>
            <w:vAlign w:val="bottom"/>
          </w:tcPr>
          <w:p>
            <w:pPr>
              <w:spacing w:after="0"/>
              <w:rPr>
                <w:sz w:val="19"/>
                <w:szCs w:val="19"/>
                <w:color w:val="auto"/>
              </w:rPr>
            </w:pPr>
          </w:p>
        </w:tc>
        <w:tc>
          <w:tcPr>
            <w:tcW w:w="1580" w:type="dxa"/>
            <w:vAlign w:val="bottom"/>
            <w:tcBorders>
              <w:bottom w:val="single" w:sz="8" w:color="auto"/>
            </w:tcBorders>
            <w:gridSpan w:val="3"/>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58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9"/>
              </w:rPr>
              <w:t>Redeemable</w:t>
            </w:r>
          </w:p>
        </w:tc>
        <w:tc>
          <w:tcPr>
            <w:tcW w:w="1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580" w:type="dxa"/>
            <w:vAlign w:val="bottom"/>
            <w:gridSpan w:val="3"/>
          </w:tcPr>
          <w:p>
            <w:pPr>
              <w:jc w:val="center"/>
              <w:spacing w:after="0" w:line="180" w:lineRule="exact"/>
              <w:rPr>
                <w:sz w:val="20"/>
                <w:szCs w:val="20"/>
                <w:color w:val="auto"/>
              </w:rPr>
            </w:pPr>
            <w:r>
              <w:rPr>
                <w:rFonts w:ascii="Arial" w:cs="Arial" w:eastAsia="Arial" w:hAnsi="Arial"/>
                <w:sz w:val="18"/>
                <w:szCs w:val="18"/>
                <w:b w:val="1"/>
                <w:bCs w:val="1"/>
                <w:color w:val="auto"/>
                <w:w w:val="99"/>
              </w:rPr>
              <w:t>Perpetual</w:t>
            </w:r>
          </w:p>
        </w:tc>
        <w:tc>
          <w:tcPr>
            <w:tcW w:w="160" w:type="dxa"/>
            <w:vAlign w:val="bottom"/>
            <w:tcBorders>
              <w:right w:val="single" w:sz="8" w:color="auto"/>
            </w:tcBorders>
          </w:tcPr>
          <w:p>
            <w:pPr>
              <w:spacing w:after="0"/>
              <w:rPr>
                <w:sz w:val="15"/>
                <w:szCs w:val="15"/>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160" w:type="dxa"/>
            <w:vAlign w:val="bottom"/>
            <w:tcBorders>
              <w:right w:val="single" w:sz="8" w:color="auto"/>
            </w:tcBorders>
          </w:tcPr>
          <w:p>
            <w:pPr>
              <w:spacing w:after="0"/>
              <w:rPr>
                <w:sz w:val="20"/>
                <w:szCs w:val="20"/>
                <w:color w:val="auto"/>
              </w:rPr>
            </w:pPr>
          </w:p>
        </w:tc>
        <w:tc>
          <w:tcPr>
            <w:tcW w:w="1540" w:type="dxa"/>
            <w:vAlign w:val="bottom"/>
            <w:gridSpan w:val="4"/>
            <w:vMerge w:val="continue"/>
          </w:tcPr>
          <w:p>
            <w:pPr>
              <w:spacing w:after="0"/>
              <w:rPr>
                <w:sz w:val="20"/>
                <w:szCs w:val="20"/>
                <w:color w:val="auto"/>
              </w:rPr>
            </w:pPr>
          </w:p>
        </w:tc>
        <w:tc>
          <w:tcPr>
            <w:tcW w:w="16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right w:val="single" w:sz="8" w:color="auto"/>
            </w:tcBorders>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vMerge w:val="restart"/>
          </w:tcPr>
          <w:p>
            <w:pPr>
              <w:spacing w:after="0"/>
              <w:rPr>
                <w:sz w:val="15"/>
                <w:szCs w:val="15"/>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vMerge w:val="restart"/>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80" w:type="dxa"/>
            <w:vAlign w:val="bottom"/>
            <w:gridSpan w:val="3"/>
            <w:vMerge w:val="continue"/>
          </w:tcPr>
          <w:p>
            <w:pPr>
              <w:spacing w:after="0"/>
              <w:rPr>
                <w:sz w:val="15"/>
                <w:szCs w:val="15"/>
                <w:color w:val="auto"/>
              </w:rPr>
            </w:pPr>
          </w:p>
        </w:tc>
        <w:tc>
          <w:tcPr>
            <w:tcW w:w="146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Comprehensive</w:t>
            </w:r>
          </w:p>
        </w:tc>
        <w:tc>
          <w:tcPr>
            <w:tcW w:w="124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7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Capital</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Loss</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2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150,279</w:t>
            </w: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$293,974</w:t>
            </w:r>
          </w:p>
        </w:tc>
        <w:tc>
          <w:tcPr>
            <w:tcW w:w="160" w:type="dxa"/>
            <w:vAlign w:val="bottom"/>
            <w:tcBorders>
              <w:right w:val="single" w:sz="8" w:color="auto"/>
            </w:tcBorders>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1640" w:type="dxa"/>
            <w:vAlign w:val="bottom"/>
            <w:gridSpan w:val="4"/>
            <w:vMerge w:val="continue"/>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110,368</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2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12,257</w:t>
            </w:r>
          </w:p>
        </w:tc>
        <w:tc>
          <w:tcPr>
            <w:tcW w:w="160" w:type="dxa"/>
            <w:vAlign w:val="bottom"/>
            <w:tcBorders>
              <w:right w:val="single" w:sz="8" w:color="auto"/>
            </w:tcBorders>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(12,257)</w:t>
            </w: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16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40,644</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72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auto"/>
            </w:tcBorders>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(30,807)</w:t>
            </w:r>
          </w:p>
        </w:tc>
        <w:tc>
          <w:tcPr>
            <w:tcW w:w="0" w:type="dxa"/>
            <w:vAlign w:val="bottom"/>
          </w:tcPr>
          <w:p>
            <w:pPr>
              <w:spacing w:after="0"/>
              <w:rPr>
                <w:sz w:val="1"/>
                <w:szCs w:val="1"/>
                <w:color w:val="auto"/>
              </w:rPr>
            </w:pPr>
          </w:p>
        </w:tc>
      </w:tr>
      <w:tr>
        <w:trPr>
          <w:trHeight w:val="156"/>
        </w:trPr>
        <w:tc>
          <w:tcPr>
            <w:tcW w:w="1280" w:type="dxa"/>
            <w:vAlign w:val="bottom"/>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September 30,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287,561</w:t>
            </w:r>
          </w:p>
        </w:tc>
        <w:tc>
          <w:tcPr>
            <w:tcW w:w="160" w:type="dxa"/>
            <w:vAlign w:val="bottom"/>
            <w:tcBorders>
              <w:right w:val="single" w:sz="8" w:color="auto"/>
            </w:tcBorders>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ind w:left="4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(262,219)</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(19,340)</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111,453</w:t>
            </w:r>
          </w:p>
        </w:tc>
        <w:tc>
          <w:tcPr>
            <w:tcW w:w="0" w:type="dxa"/>
            <w:vAlign w:val="bottom"/>
          </w:tcPr>
          <w:p>
            <w:pPr>
              <w:spacing w:after="0"/>
              <w:rPr>
                <w:sz w:val="1"/>
                <w:szCs w:val="1"/>
                <w:color w:val="auto"/>
              </w:rPr>
            </w:pPr>
          </w:p>
        </w:tc>
      </w:tr>
      <w:tr>
        <w:trPr>
          <w:trHeight w:val="260"/>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0" w:name="page11"/>
    <w:bookmarkEnd w:id="10"/>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center"/>
              <w:ind w:left="348"/>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60" w:type="dxa"/>
            <w:vAlign w:val="bottom"/>
            <w:gridSpan w:val="9"/>
            <w:vMerge w:val="restart"/>
          </w:tcPr>
          <w:p>
            <w:pPr>
              <w:spacing w:after="0"/>
              <w:rPr>
                <w:sz w:val="20"/>
                <w:szCs w:val="20"/>
                <w:color w:val="auto"/>
              </w:rPr>
            </w:pPr>
            <w:r>
              <w:rPr>
                <w:rFonts w:ascii="Arial" w:cs="Arial" w:eastAsia="Arial" w:hAnsi="Arial"/>
                <w:sz w:val="20"/>
                <w:szCs w:val="20"/>
                <w:b w:val="1"/>
                <w:bCs w:val="1"/>
                <w:i w:val="1"/>
                <w:iCs w:val="1"/>
                <w:color w:val="auto"/>
                <w:w w:val="98"/>
              </w:rPr>
              <w:t>Nine Months Ended September 30, 2023</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center"/>
              <w:ind w:left="228"/>
              <w:spacing w:after="0"/>
              <w:rPr>
                <w:sz w:val="20"/>
                <w:szCs w:val="20"/>
                <w:color w:val="auto"/>
              </w:rPr>
            </w:pPr>
            <w:r>
              <w:rPr>
                <w:rFonts w:ascii="Arial" w:cs="Arial" w:eastAsia="Arial" w:hAnsi="Arial"/>
                <w:sz w:val="20"/>
                <w:szCs w:val="20"/>
                <w:i w:val="1"/>
                <w:iCs w:val="1"/>
                <w:color w:val="auto"/>
                <w:w w:val="99"/>
              </w:rPr>
              <w:t>(in thousands)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760" w:type="dxa"/>
            <w:vAlign w:val="bottom"/>
            <w:gridSpan w:val="9"/>
            <w:vMerge w:val="continue"/>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6"/>
            <w:vMerge w:val="continue"/>
          </w:tcPr>
          <w:p>
            <w:pPr>
              <w:spacing w:after="0"/>
              <w:rPr>
                <w:sz w:val="20"/>
                <w:szCs w:val="20"/>
                <w:color w:val="auto"/>
              </w:rPr>
            </w:pPr>
          </w:p>
        </w:tc>
        <w:tc>
          <w:tcPr>
            <w:tcW w:w="16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$299,570</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150,513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11,695</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Correction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the Capped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Call and Put</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Option errors</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 Note 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38,359</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(39,868)</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114,154</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September 30,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337,929</w:t>
            </w: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0" w:type="dxa"/>
            <w:vAlign w:val="bottom"/>
            <w:tcBorders>
              <w:left w:val="single" w:sz="8" w:color="CCEEFF"/>
            </w:tcBorders>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151,071</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407,916</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23,714</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278,465</w:t>
            </w:r>
          </w:p>
        </w:tc>
        <w:tc>
          <w:tcPr>
            <w:tcW w:w="0" w:type="dxa"/>
            <w:vAlign w:val="bottom"/>
          </w:tcPr>
          <w:p>
            <w:pPr>
              <w:spacing w:after="0"/>
              <w:rPr>
                <w:sz w:val="1"/>
                <w:szCs w:val="1"/>
                <w:color w:val="auto"/>
              </w:rPr>
            </w:pPr>
          </w:p>
        </w:tc>
      </w:tr>
      <w:tr>
        <w:trPr>
          <w:trHeight w:val="235"/>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0" w:type="dxa"/>
            <w:vAlign w:val="bottom"/>
            <w:tcBorders>
              <w:left w:val="single" w:sz="8" w:color="CCEEFF"/>
            </w:tcBorders>
            <w:gridSpan w:val="3"/>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center"/>
              <w:ind w:left="349"/>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60" w:type="dxa"/>
            <w:vAlign w:val="bottom"/>
            <w:gridSpan w:val="9"/>
            <w:vMerge w:val="restart"/>
          </w:tcPr>
          <w:p>
            <w:pPr>
              <w:spacing w:after="0"/>
              <w:rPr>
                <w:sz w:val="20"/>
                <w:szCs w:val="20"/>
                <w:color w:val="auto"/>
              </w:rPr>
            </w:pPr>
            <w:r>
              <w:rPr>
                <w:rFonts w:ascii="Arial" w:cs="Arial" w:eastAsia="Arial" w:hAnsi="Arial"/>
                <w:sz w:val="20"/>
                <w:szCs w:val="20"/>
                <w:b w:val="1"/>
                <w:bCs w:val="1"/>
                <w:i w:val="1"/>
                <w:iCs w:val="1"/>
                <w:color w:val="auto"/>
                <w:w w:val="98"/>
              </w:rPr>
              <w:t>Nine Months Ended September 30, 2022</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gridSpan w:val="6"/>
          </w:tcPr>
          <w:p>
            <w:pPr>
              <w:jc w:val="center"/>
              <w:ind w:left="229"/>
              <w:spacing w:after="0"/>
              <w:rPr>
                <w:sz w:val="20"/>
                <w:szCs w:val="20"/>
                <w:color w:val="auto"/>
              </w:rPr>
            </w:pPr>
            <w:r>
              <w:rPr>
                <w:rFonts w:ascii="Arial" w:cs="Arial" w:eastAsia="Arial" w:hAnsi="Arial"/>
                <w:sz w:val="20"/>
                <w:szCs w:val="20"/>
                <w:i w:val="1"/>
                <w:iCs w:val="1"/>
                <w:color w:val="auto"/>
                <w:w w:val="99"/>
              </w:rPr>
              <w:t>(in thousands)</w:t>
            </w: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760" w:type="dxa"/>
            <w:vAlign w:val="bottom"/>
            <w:gridSpan w:val="9"/>
            <w:vMerge w:val="continue"/>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Permanent Equity</w:t>
            </w: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158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1660" w:type="dxa"/>
            <w:vAlign w:val="bottom"/>
            <w:gridSpan w:val="4"/>
          </w:tcPr>
          <w:p>
            <w:pPr>
              <w:jc w:val="center"/>
              <w:ind w:right="80"/>
              <w:spacing w:after="0" w:line="180"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5"/>
                <w:szCs w:val="15"/>
                <w:color w:val="auto"/>
              </w:rPr>
            </w:pPr>
          </w:p>
        </w:tc>
        <w:tc>
          <w:tcPr>
            <w:tcW w:w="1620" w:type="dxa"/>
            <w:vAlign w:val="bottom"/>
            <w:gridSpan w:val="6"/>
            <w:vMerge w:val="restart"/>
          </w:tcPr>
          <w:p>
            <w:pPr>
              <w:ind w:left="120"/>
              <w:spacing w:after="0"/>
              <w:rPr>
                <w:sz w:val="20"/>
                <w:szCs w:val="20"/>
                <w:color w:val="auto"/>
              </w:rPr>
            </w:pPr>
            <w:r>
              <w:rPr>
                <w:rFonts w:ascii="Arial" w:cs="Arial" w:eastAsia="Arial" w:hAnsi="Arial"/>
                <w:sz w:val="18"/>
                <w:szCs w:val="18"/>
                <w:b w:val="1"/>
                <w:bCs w:val="1"/>
                <w:color w:val="auto"/>
              </w:rPr>
              <w:t>Preferred Stock</w:t>
            </w: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6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20"/>
                <w:szCs w:val="20"/>
                <w:color w:val="auto"/>
              </w:rPr>
            </w:pPr>
          </w:p>
        </w:tc>
        <w:tc>
          <w:tcPr>
            <w:tcW w:w="1620" w:type="dxa"/>
            <w:vAlign w:val="bottom"/>
            <w:gridSpan w:val="6"/>
            <w:vMerge w:val="continue"/>
          </w:tcPr>
          <w:p>
            <w:pPr>
              <w:spacing w:after="0"/>
              <w:rPr>
                <w:sz w:val="20"/>
                <w:szCs w:val="20"/>
                <w:color w:val="auto"/>
              </w:rPr>
            </w:pPr>
          </w:p>
        </w:tc>
        <w:tc>
          <w:tcPr>
            <w:tcW w:w="1640" w:type="dxa"/>
            <w:vAlign w:val="bottom"/>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Accumulated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26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13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Other</w:t>
            </w: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Paid-In</w:t>
            </w:r>
          </w:p>
        </w:tc>
        <w:tc>
          <w:tcPr>
            <w:tcW w:w="1260" w:type="dxa"/>
            <w:vAlign w:val="bottom"/>
            <w:gridSpan w:val="3"/>
            <w:vMerge w:val="continue"/>
          </w:tcPr>
          <w:p>
            <w:pPr>
              <w:spacing w:after="0"/>
              <w:rPr>
                <w:sz w:val="15"/>
                <w:szCs w:val="15"/>
                <w:color w:val="auto"/>
              </w:rPr>
            </w:pPr>
          </w:p>
        </w:tc>
        <w:tc>
          <w:tcPr>
            <w:tcW w:w="148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rPr>
              <w:t>Comprehensive</w:t>
            </w:r>
          </w:p>
        </w:tc>
        <w:tc>
          <w:tcPr>
            <w:tcW w:w="12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gridSpan w:val="3"/>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gridSpan w:val="3"/>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Loss</w:t>
            </w:r>
          </w:p>
        </w:tc>
        <w:tc>
          <w:tcPr>
            <w:tcW w:w="240" w:type="dxa"/>
            <w:vAlign w:val="bottom"/>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56"/>
        </w:trPr>
        <w:tc>
          <w:tcPr>
            <w:tcW w:w="1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$237,462</w:t>
            </w:r>
          </w:p>
        </w:tc>
        <w:tc>
          <w:tcPr>
            <w:tcW w:w="80" w:type="dxa"/>
            <w:vAlign w:val="bottom"/>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135,027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net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32,724</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214,906</w:t>
            </w:r>
          </w:p>
        </w:tc>
        <w:tc>
          <w:tcPr>
            <w:tcW w:w="0" w:type="dxa"/>
            <w:vAlign w:val="bottom"/>
          </w:tcPr>
          <w:p>
            <w:pPr>
              <w:spacing w:after="0"/>
              <w:rPr>
                <w:sz w:val="1"/>
                <w:szCs w:val="1"/>
                <w:color w:val="auto"/>
              </w:rPr>
            </w:pPr>
          </w:p>
        </w:tc>
      </w:tr>
      <w:tr>
        <w:trPr>
          <w:trHeight w:val="176"/>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20"/>
              <w:spacing w:after="0" w:line="189" w:lineRule="exact"/>
              <w:rPr>
                <w:sz w:val="20"/>
                <w:szCs w:val="20"/>
                <w:color w:val="auto"/>
              </w:rPr>
            </w:pPr>
            <w:r>
              <w:rPr>
                <w:rFonts w:ascii="Arial" w:cs="Arial" w:eastAsia="Arial" w:hAnsi="Arial"/>
                <w:sz w:val="18"/>
                <w:szCs w:val="18"/>
                <w:color w:val="auto"/>
              </w:rPr>
              <w:t>dividends plus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36,045</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(36,045)</w:t>
            </w: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0" w:type="dxa"/>
            <w:vAlign w:val="bottom"/>
            <w:tcBorders>
              <w:left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(19,340)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0" w:type="dxa"/>
            <w:vAlign w:val="bottom"/>
          </w:tcPr>
          <w:p>
            <w:pPr>
              <w:spacing w:after="0"/>
              <w:rPr>
                <w:sz w:val="1"/>
                <w:szCs w:val="1"/>
                <w:color w:val="auto"/>
              </w:rPr>
            </w:pPr>
          </w:p>
        </w:tc>
      </w:tr>
      <w:tr>
        <w:trPr>
          <w:trHeight w:val="156"/>
        </w:trPr>
        <w:tc>
          <w:tcPr>
            <w:tcW w:w="1280" w:type="dxa"/>
            <w:vAlign w:val="bottom"/>
          </w:tcPr>
          <w:p>
            <w:pPr>
              <w:ind w:left="20"/>
              <w:spacing w:after="0" w:line="157"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80" w:type="dxa"/>
            <w:vAlign w:val="bottom"/>
          </w:tcPr>
          <w:p>
            <w:pPr>
              <w:ind w:left="20"/>
              <w:spacing w:after="0" w:line="176" w:lineRule="exact"/>
              <w:rPr>
                <w:sz w:val="20"/>
                <w:szCs w:val="20"/>
                <w:color w:val="auto"/>
              </w:rPr>
            </w:pPr>
            <w:r>
              <w:rPr>
                <w:rFonts w:ascii="Arial" w:cs="Arial" w:eastAsia="Arial" w:hAnsi="Arial"/>
                <w:sz w:val="18"/>
                <w:szCs w:val="18"/>
                <w:color w:val="auto"/>
              </w:rPr>
              <w:t>September 30,</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287,561</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70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150,334</w:t>
            </w:r>
          </w:p>
        </w:tc>
        <w:tc>
          <w:tcPr>
            <w:tcW w:w="8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392,862</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(262,219)</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ind w:left="560"/>
              <w:spacing w:after="0"/>
              <w:rPr>
                <w:sz w:val="20"/>
                <w:szCs w:val="20"/>
                <w:color w:val="auto"/>
              </w:rPr>
            </w:pPr>
            <w:r>
              <w:rPr>
                <w:rFonts w:ascii="Arial" w:cs="Arial" w:eastAsia="Arial" w:hAnsi="Arial"/>
                <w:sz w:val="18"/>
                <w:szCs w:val="18"/>
                <w:color w:val="auto"/>
              </w:rPr>
              <w:t>(19,340)</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111,453</w:t>
            </w:r>
          </w:p>
        </w:tc>
        <w:tc>
          <w:tcPr>
            <w:tcW w:w="0" w:type="dxa"/>
            <w:vAlign w:val="bottom"/>
          </w:tcPr>
          <w:p>
            <w:pPr>
              <w:spacing w:after="0"/>
              <w:rPr>
                <w:sz w:val="1"/>
                <w:szCs w:val="1"/>
                <w:color w:val="auto"/>
              </w:rPr>
            </w:pPr>
          </w:p>
        </w:tc>
      </w:tr>
      <w:tr>
        <w:trPr>
          <w:trHeight w:val="255"/>
        </w:trPr>
        <w:tc>
          <w:tcPr>
            <w:tcW w:w="1280" w:type="dxa"/>
            <w:vAlign w:val="bottom"/>
          </w:tcPr>
          <w:p>
            <w:pPr>
              <w:ind w:left="20"/>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5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 xml:space="preserve">Condensed Consolidated Statements of Cash Flows </w:t>
      </w:r>
      <w:r>
        <w:rPr>
          <w:rFonts w:ascii="Arial" w:cs="Arial" w:eastAsia="Arial" w:hAnsi="Arial"/>
          <w:sz w:val="19"/>
          <w:szCs w:val="19"/>
          <w:b w:val="1"/>
          <w:bCs w:val="1"/>
          <w:i w:val="1"/>
          <w:i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200"/>
          </w:cols>
          <w:pgMar w:left="340" w:top="5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1517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Net income</w:t>
      </w:r>
      <w:r>
        <w:rPr>
          <w:sz w:val="20"/>
          <w:szCs w:val="20"/>
          <w:color w:val="auto"/>
        </w:rPr>
        <w:tab/>
      </w:r>
      <w:r>
        <w:rPr>
          <w:rFonts w:ascii="Arial" w:cs="Arial" w:eastAsia="Arial" w:hAnsi="Arial"/>
          <w:sz w:val="20"/>
          <w:szCs w:val="20"/>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Adjustments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Provision for (recovery of)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tax expense (benefit)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developed technology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Amortization of debt discount and issuance costs</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11517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provision</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Write-down of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Change in fair value of derivative assets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Changes in operating assets and liabilities, net of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receivable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receivables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Accounts payable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Accrued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Warranty payments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Lease liabilities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operating activities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115175"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Purchase of property, plant and equipment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20"/>
          <w:szCs w:val="20"/>
          <w:color w:val="auto"/>
        </w:rPr>
        <w:t>Acquisition of STI,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used in investing activities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20"/>
        <w:spacing w:after="0"/>
        <w:rPr>
          <w:sz w:val="20"/>
          <w:szCs w:val="20"/>
          <w:color w:val="auto"/>
        </w:rPr>
      </w:pPr>
      <w:r>
        <w:rPr>
          <w:rFonts w:ascii="Arial" w:cs="Arial" w:eastAsia="Arial" w:hAnsi="Arial"/>
          <w:sz w:val="19"/>
          <w:szCs w:val="19"/>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33020</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9" w:lineRule="exact"/>
        <w:rPr>
          <w:sz w:val="20"/>
          <w:szCs w:val="20"/>
          <w:color w:val="auto"/>
        </w:rPr>
      </w:pPr>
    </w:p>
    <w:p>
      <w:pPr>
        <w:ind w:left="200"/>
        <w:spacing w:after="0"/>
        <w:tabs>
          <w:tab w:leader="none" w:pos="258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251"/>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114,154</w:t>
            </w:r>
          </w:p>
        </w:tc>
        <w:tc>
          <w:tcPr>
            <w:tcW w:w="780" w:type="dxa"/>
            <w:vAlign w:val="bottom"/>
          </w:tcPr>
          <w:p>
            <w:pPr>
              <w:jc w:val="right"/>
              <w:ind w:right="56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9,683</w:t>
            </w:r>
          </w:p>
        </w:tc>
      </w:tr>
      <w:tr>
        <w:trPr>
          <w:trHeight w:val="540"/>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(117)</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660</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284</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(36,002)</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30,318</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64,039</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10,918</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10,918</w:t>
            </w:r>
          </w:p>
        </w:tc>
      </w:tr>
      <w:tr>
        <w:trPr>
          <w:trHeight w:val="284"/>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9,123</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5,003</w:t>
            </w:r>
          </w:p>
        </w:tc>
      </w:tr>
      <w:tr>
        <w:trPr>
          <w:trHeight w:val="256"/>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11,695</w:t>
            </w:r>
          </w:p>
        </w:tc>
        <w:tc>
          <w:tcPr>
            <w:tcW w:w="7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11,677</w:t>
            </w:r>
          </w:p>
        </w:tc>
      </w:tr>
      <w:tr>
        <w:trPr>
          <w:trHeight w:val="257"/>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2,232</w:t>
            </w:r>
          </w:p>
        </w:tc>
        <w:tc>
          <w:tcPr>
            <w:tcW w:w="7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(5,981)</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451</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4,341</w:t>
            </w:r>
          </w:p>
        </w:tc>
      </w:tr>
      <w:tr>
        <w:trPr>
          <w:trHeight w:val="284"/>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4,587</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(2,333)</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1,140</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67"/>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(6,364)</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(139,036)</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12,554</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(14,273)</w:t>
            </w:r>
          </w:p>
        </w:tc>
      </w:tr>
      <w:tr>
        <w:trPr>
          <w:trHeight w:val="284"/>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3,165</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(3,610)</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(2,140)</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16,329</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14,443</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42,073</w:t>
            </w:r>
          </w:p>
        </w:tc>
      </w:tr>
      <w:tr>
        <w:trPr>
          <w:trHeight w:val="284"/>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18,484</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41,271</w:t>
            </w:r>
          </w:p>
        </w:tc>
      </w:tr>
      <w:tr>
        <w:trPr>
          <w:trHeight w:val="283"/>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(373)</w:t>
            </w:r>
          </w:p>
        </w:tc>
      </w:tr>
      <w:tr>
        <w:trPr>
          <w:trHeight w:val="28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(738)</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2,951</w:t>
            </w:r>
          </w:p>
        </w:tc>
      </w:tr>
      <w:tr>
        <w:trPr>
          <w:trHeight w:val="284"/>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(8,050)</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1,914</w:t>
            </w:r>
          </w:p>
        </w:tc>
      </w:tr>
      <w:tr>
        <w:trPr>
          <w:trHeight w:val="288"/>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(78,165)</w:t>
            </w: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34,772</w:t>
            </w:r>
          </w:p>
        </w:tc>
      </w:tr>
      <w:tr>
        <w:trPr>
          <w:trHeight w:val="264"/>
        </w:trPr>
        <w:tc>
          <w:tcPr>
            <w:tcW w:w="880" w:type="dxa"/>
            <w:vAlign w:val="bottom"/>
          </w:tcPr>
          <w:p>
            <w:pPr>
              <w:jc w:val="right"/>
              <w:ind w:right="61"/>
              <w:spacing w:after="0"/>
              <w:rPr>
                <w:sz w:val="20"/>
                <w:szCs w:val="20"/>
                <w:color w:val="auto"/>
              </w:rPr>
            </w:pPr>
            <w:r>
              <w:rPr>
                <w:rFonts w:ascii="Arial" w:cs="Arial" w:eastAsia="Arial" w:hAnsi="Arial"/>
                <w:sz w:val="20"/>
                <w:szCs w:val="20"/>
                <w:color w:val="auto"/>
                <w:w w:val="96"/>
              </w:rPr>
              <w:t>137,974</w:t>
            </w:r>
          </w:p>
        </w:tc>
        <w:tc>
          <w:tcPr>
            <w:tcW w:w="7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44,023</w:t>
            </w:r>
          </w:p>
        </w:tc>
      </w:tr>
      <w:tr>
        <w:trPr>
          <w:trHeight w:val="542"/>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(11,615)</w:t>
            </w:r>
          </w:p>
        </w:tc>
        <w:tc>
          <w:tcPr>
            <w:tcW w:w="7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(6,690)</w:t>
            </w:r>
          </w:p>
        </w:tc>
      </w:tr>
      <w:tr>
        <w:trPr>
          <w:trHeight w:val="288"/>
        </w:trPr>
        <w:tc>
          <w:tcPr>
            <w:tcW w:w="8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(373,816)</w:t>
            </w:r>
          </w:p>
        </w:tc>
      </w:tr>
      <w:tr>
        <w:trPr>
          <w:trHeight w:val="263"/>
        </w:trPr>
        <w:tc>
          <w:tcPr>
            <w:tcW w:w="880" w:type="dxa"/>
            <w:vAlign w:val="bottom"/>
          </w:tcPr>
          <w:p>
            <w:pPr>
              <w:jc w:val="right"/>
              <w:ind w:right="1"/>
              <w:spacing w:after="0"/>
              <w:rPr>
                <w:sz w:val="20"/>
                <w:szCs w:val="20"/>
                <w:color w:val="auto"/>
              </w:rPr>
            </w:pPr>
            <w:r>
              <w:rPr>
                <w:rFonts w:ascii="Arial" w:cs="Arial" w:eastAsia="Arial" w:hAnsi="Arial"/>
                <w:sz w:val="20"/>
                <w:szCs w:val="20"/>
                <w:color w:val="auto"/>
              </w:rPr>
              <w:t>(11,615)</w:t>
            </w:r>
          </w:p>
        </w:tc>
        <w:tc>
          <w:tcPr>
            <w:tcW w:w="7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(380,506)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-7620</wp:posOffset>
            </wp:positionV>
            <wp:extent cx="1465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-464185</wp:posOffset>
            </wp:positionH>
            <wp:positionV relativeFrom="paragraph">
              <wp:posOffset>-727710</wp:posOffset>
            </wp:positionV>
            <wp:extent cx="1465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6640" w:space="600"/>
            <w:col w:w="3960"/>
          </w:cols>
          <w:pgMar w:left="340" w:top="598"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Series A issuance</w:t>
            </w:r>
          </w:p>
        </w:tc>
        <w:tc>
          <w:tcPr>
            <w:tcW w:w="368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33,098</w:t>
            </w:r>
          </w:p>
        </w:tc>
      </w:tr>
      <w:tr>
        <w:trPr>
          <w:trHeight w:val="279"/>
        </w:trPr>
        <w:tc>
          <w:tcPr>
            <w:tcW w:w="5880" w:type="dxa"/>
            <w:vAlign w:val="bottom"/>
          </w:tcPr>
          <w:p>
            <w:pPr>
              <w:ind w:left="240"/>
              <w:spacing w:after="0"/>
              <w:rPr>
                <w:sz w:val="20"/>
                <w:szCs w:val="20"/>
                <w:color w:val="auto"/>
              </w:rPr>
            </w:pPr>
            <w:r>
              <w:rPr>
                <w:rFonts w:ascii="Arial" w:cs="Arial" w:eastAsia="Arial" w:hAnsi="Arial"/>
                <w:sz w:val="20"/>
                <w:szCs w:val="20"/>
                <w:color w:val="auto"/>
              </w:rPr>
              <w:t>Proceeds from common stock issuance</w:t>
            </w:r>
          </w:p>
        </w:tc>
        <w:tc>
          <w:tcPr>
            <w:tcW w:w="368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15,885</w:t>
            </w:r>
          </w:p>
        </w:tc>
      </w:tr>
      <w:tr>
        <w:trPr>
          <w:trHeight w:val="288"/>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Series A equity issuance costs</w:t>
            </w:r>
          </w:p>
        </w:tc>
        <w:tc>
          <w:tcPr>
            <w:tcW w:w="3680" w:type="dxa"/>
            <w:vAlign w:val="bottom"/>
            <w:shd w:val="clear" w:color="auto" w:fill="CCEEFF"/>
          </w:tcPr>
          <w:p>
            <w:pPr>
              <w:jc w:val="right"/>
              <w:ind w:right="661"/>
              <w:spacing w:after="0"/>
              <w:rPr>
                <w:sz w:val="20"/>
                <w:szCs w:val="20"/>
                <w:color w:val="auto"/>
              </w:rPr>
            </w:pPr>
            <w:r>
              <w:rPr>
                <w:rFonts w:ascii="Arial" w:cs="Arial" w:eastAsia="Arial" w:hAnsi="Arial"/>
                <w:sz w:val="20"/>
                <w:szCs w:val="20"/>
                <w:color w:val="auto"/>
              </w:rPr>
              <w:t>(1,509)</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(1,167)</w:t>
            </w:r>
          </w:p>
        </w:tc>
      </w:tr>
      <w:tr>
        <w:trPr>
          <w:trHeight w:val="279"/>
        </w:trPr>
        <w:tc>
          <w:tcPr>
            <w:tcW w:w="5880" w:type="dxa"/>
            <w:vAlign w:val="bottom"/>
          </w:tcPr>
          <w:p>
            <w:pPr>
              <w:ind w:left="240"/>
              <w:spacing w:after="0"/>
              <w:rPr>
                <w:sz w:val="20"/>
                <w:szCs w:val="20"/>
                <w:color w:val="auto"/>
              </w:rPr>
            </w:pPr>
            <w:r>
              <w:rPr>
                <w:rFonts w:ascii="Arial" w:cs="Arial" w:eastAsia="Arial" w:hAnsi="Arial"/>
                <w:sz w:val="20"/>
                <w:szCs w:val="20"/>
                <w:color w:val="auto"/>
              </w:rPr>
              <w:t>Common stock issuance costs</w:t>
            </w:r>
          </w:p>
        </w:tc>
        <w:tc>
          <w:tcPr>
            <w:tcW w:w="368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(450)</w:t>
            </w:r>
          </w:p>
        </w:tc>
      </w:tr>
      <w:tr>
        <w:trPr>
          <w:trHeight w:val="288"/>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Dividends on Series A Preferred</w:t>
            </w:r>
          </w:p>
        </w:tc>
        <w:tc>
          <w:tcPr>
            <w:tcW w:w="368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(18,670)</w:t>
            </w:r>
          </w:p>
        </w:tc>
      </w:tr>
      <w:tr>
        <w:trPr>
          <w:trHeight w:val="279"/>
        </w:trPr>
        <w:tc>
          <w:tcPr>
            <w:tcW w:w="5880" w:type="dxa"/>
            <w:vAlign w:val="bottom"/>
          </w:tcPr>
          <w:p>
            <w:pPr>
              <w:ind w:left="240"/>
              <w:spacing w:after="0"/>
              <w:rPr>
                <w:sz w:val="20"/>
                <w:szCs w:val="20"/>
                <w:color w:val="auto"/>
              </w:rPr>
            </w:pPr>
            <w:r>
              <w:rPr>
                <w:rFonts w:ascii="Arial" w:cs="Arial" w:eastAsia="Arial" w:hAnsi="Arial"/>
                <w:sz w:val="20"/>
                <w:szCs w:val="20"/>
                <w:color w:val="auto"/>
              </w:rPr>
              <w:t>Payments on revolving credit facility</w:t>
            </w:r>
          </w:p>
        </w:tc>
        <w:tc>
          <w:tcPr>
            <w:tcW w:w="3680" w:type="dxa"/>
            <w:vAlign w:val="bottom"/>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(116,000)</w:t>
            </w:r>
          </w:p>
        </w:tc>
      </w:tr>
      <w:tr>
        <w:trPr>
          <w:trHeight w:val="288"/>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Proceeds from revolving credit facility</w:t>
            </w:r>
          </w:p>
        </w:tc>
        <w:tc>
          <w:tcPr>
            <w:tcW w:w="3680" w:type="dxa"/>
            <w:vAlign w:val="bottom"/>
            <w:shd w:val="clear" w:color="auto" w:fill="CCEEFF"/>
          </w:tcPr>
          <w:p>
            <w:pPr>
              <w:jc w:val="right"/>
              <w:ind w:right="72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116,000</w:t>
            </w:r>
          </w:p>
        </w:tc>
      </w:tr>
      <w:tr>
        <w:trPr>
          <w:trHeight w:val="279"/>
        </w:trPr>
        <w:tc>
          <w:tcPr>
            <w:tcW w:w="5880" w:type="dxa"/>
            <w:vAlign w:val="bottom"/>
          </w:tcPr>
          <w:p>
            <w:pPr>
              <w:ind w:left="240"/>
              <w:spacing w:after="0"/>
              <w:rPr>
                <w:sz w:val="20"/>
                <w:szCs w:val="20"/>
                <w:color w:val="auto"/>
              </w:rPr>
            </w:pPr>
            <w:r>
              <w:rPr>
                <w:rFonts w:ascii="Arial" w:cs="Arial" w:eastAsia="Arial" w:hAnsi="Arial"/>
                <w:sz w:val="20"/>
                <w:szCs w:val="20"/>
                <w:color w:val="auto"/>
              </w:rPr>
              <w:t>Proceeds from issuance of other debt</w:t>
            </w:r>
          </w:p>
        </w:tc>
        <w:tc>
          <w:tcPr>
            <w:tcW w:w="3680" w:type="dxa"/>
            <w:vAlign w:val="bottom"/>
          </w:tcPr>
          <w:p>
            <w:pPr>
              <w:jc w:val="right"/>
              <w:ind w:right="721"/>
              <w:spacing w:after="0"/>
              <w:rPr>
                <w:sz w:val="20"/>
                <w:szCs w:val="20"/>
                <w:color w:val="auto"/>
              </w:rPr>
            </w:pPr>
            <w:r>
              <w:rPr>
                <w:rFonts w:ascii="Arial" w:cs="Arial" w:eastAsia="Arial" w:hAnsi="Arial"/>
                <w:sz w:val="20"/>
                <w:szCs w:val="20"/>
                <w:color w:val="auto"/>
              </w:rPr>
              <w:t>60,516</w:t>
            </w:r>
          </w:p>
        </w:tc>
        <w:tc>
          <w:tcPr>
            <w:tcW w:w="1640" w:type="dxa"/>
            <w:vAlign w:val="bottom"/>
          </w:tcPr>
          <w:p>
            <w:pPr>
              <w:jc w:val="right"/>
              <w:spacing w:after="0"/>
              <w:rPr>
                <w:sz w:val="20"/>
                <w:szCs w:val="20"/>
                <w:color w:val="auto"/>
              </w:rPr>
            </w:pPr>
            <w:r>
              <w:rPr>
                <w:rFonts w:ascii="Arial" w:cs="Arial" w:eastAsia="Arial" w:hAnsi="Arial"/>
                <w:sz w:val="20"/>
                <w:szCs w:val="20"/>
                <w:color w:val="auto"/>
              </w:rPr>
              <w:t>39,219</w:t>
            </w:r>
          </w:p>
        </w:tc>
      </w:tr>
      <w:tr>
        <w:trPr>
          <w:trHeight w:val="288"/>
        </w:trPr>
        <w:tc>
          <w:tcPr>
            <w:tcW w:w="58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Principal payments on term loan facility</w:t>
            </w:r>
          </w:p>
        </w:tc>
        <w:tc>
          <w:tcPr>
            <w:tcW w:w="3680" w:type="dxa"/>
            <w:vAlign w:val="bottom"/>
            <w:shd w:val="clear" w:color="auto" w:fill="CCEEFF"/>
          </w:tcPr>
          <w:p>
            <w:pPr>
              <w:jc w:val="right"/>
              <w:ind w:right="661"/>
              <w:spacing w:after="0"/>
              <w:rPr>
                <w:sz w:val="20"/>
                <w:szCs w:val="20"/>
                <w:color w:val="auto"/>
              </w:rPr>
            </w:pPr>
            <w:r>
              <w:rPr>
                <w:rFonts w:ascii="Arial" w:cs="Arial" w:eastAsia="Arial" w:hAnsi="Arial"/>
                <w:sz w:val="20"/>
                <w:szCs w:val="20"/>
                <w:color w:val="auto"/>
              </w:rPr>
              <w:t>(73,225)</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ectPr>
          <w:pgSz w:w="11900" w:h="16838" w:orient="portrait"/>
          <w:cols w:equalWidth="0" w:num="1">
            <w:col w:w="11200"/>
          </w:cols>
          <w:pgMar w:left="340" w:top="598" w:right="35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type w:val="continuous"/>
        </w:sectPr>
      </w:pPr>
    </w:p>
    <w:bookmarkStart w:id="13" w:name="page14"/>
    <w:bookmarkEnd w:id="13"/>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500" w:type="dxa"/>
            <w:vAlign w:val="bottom"/>
          </w:tcPr>
          <w:p>
            <w:pPr>
              <w:spacing w:after="0"/>
              <w:rPr>
                <w:sz w:val="23"/>
                <w:szCs w:val="23"/>
                <w:color w:val="auto"/>
              </w:rPr>
            </w:pPr>
          </w:p>
        </w:tc>
        <w:tc>
          <w:tcPr>
            <w:tcW w:w="470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65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b w:val="1"/>
                <w:bCs w:val="1"/>
                <w:color w:val="auto"/>
              </w:rPr>
              <w:t>2022</w:t>
            </w:r>
          </w:p>
        </w:tc>
      </w:tr>
      <w:tr>
        <w:trPr>
          <w:trHeight w:val="259"/>
        </w:trPr>
        <w:tc>
          <w:tcPr>
            <w:tcW w:w="6500" w:type="dxa"/>
            <w:vAlign w:val="bottom"/>
          </w:tcPr>
          <w:p>
            <w:pPr>
              <w:ind w:left="240"/>
              <w:spacing w:after="0"/>
              <w:rPr>
                <w:sz w:val="20"/>
                <w:szCs w:val="20"/>
                <w:color w:val="auto"/>
              </w:rPr>
            </w:pPr>
            <w:r>
              <w:rPr>
                <w:rFonts w:ascii="Arial" w:cs="Arial" w:eastAsia="Arial" w:hAnsi="Arial"/>
                <w:sz w:val="20"/>
                <w:szCs w:val="20"/>
                <w:color w:val="auto"/>
              </w:rPr>
              <w:t>Principal payments on other debt</w:t>
            </w:r>
          </w:p>
        </w:tc>
        <w:tc>
          <w:tcPr>
            <w:tcW w:w="1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(69,024)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(33,286)</w:t>
            </w:r>
          </w:p>
        </w:tc>
      </w:tr>
      <w:tr>
        <w:trPr>
          <w:trHeight w:val="288"/>
        </w:trPr>
        <w:tc>
          <w:tcPr>
            <w:tcW w:w="65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payments</w:t>
            </w:r>
          </w:p>
        </w:tc>
        <w:tc>
          <w:tcPr>
            <w:tcW w:w="1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(1,200)</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(1,483)</w:t>
            </w:r>
          </w:p>
        </w:tc>
      </w:tr>
      <w:tr>
        <w:trPr>
          <w:trHeight w:val="259"/>
        </w:trPr>
        <w:tc>
          <w:tcPr>
            <w:tcW w:w="6500" w:type="dxa"/>
            <w:vAlign w:val="bottom"/>
            <w:tcBorders>
              <w:bottom w:val="single" w:sz="8" w:color="CCEEFF"/>
            </w:tcBorders>
          </w:tcPr>
          <w:p>
            <w:pPr>
              <w:ind w:left="660"/>
              <w:spacing w:after="0"/>
              <w:rPr>
                <w:sz w:val="20"/>
                <w:szCs w:val="20"/>
                <w:color w:val="auto"/>
              </w:rPr>
            </w:pPr>
            <w:r>
              <w:rPr>
                <w:rFonts w:ascii="Arial" w:cs="Arial" w:eastAsia="Arial" w:hAnsi="Arial"/>
                <w:sz w:val="20"/>
                <w:szCs w:val="20"/>
                <w:color w:val="auto"/>
              </w:rPr>
              <w:t>Net cash provided by (used in) financing activities</w:t>
            </w:r>
          </w:p>
        </w:tc>
        <w:tc>
          <w:tcPr>
            <w:tcW w:w="1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(84,442)</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33,146</w:t>
            </w:r>
          </w:p>
        </w:tc>
      </w:tr>
      <w:tr>
        <w:trPr>
          <w:trHeight w:val="268"/>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(1,808)</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(1,555)</w:t>
            </w:r>
          </w:p>
        </w:tc>
      </w:tr>
      <w:tr>
        <w:trPr>
          <w:trHeight w:val="279"/>
        </w:trPr>
        <w:tc>
          <w:tcPr>
            <w:tcW w:w="6500" w:type="dxa"/>
            <w:vAlign w:val="bottom"/>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40,109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(304,892)</w:t>
            </w:r>
          </w:p>
        </w:tc>
      </w:tr>
      <w:tr>
        <w:trPr>
          <w:trHeight w:val="288"/>
        </w:trPr>
        <w:tc>
          <w:tcPr>
            <w:tcW w:w="65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Cash and cash equivalents, beginning of period</w:t>
            </w:r>
          </w:p>
        </w:tc>
        <w:tc>
          <w:tcPr>
            <w:tcW w:w="14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133,901</w:t>
            </w:r>
          </w:p>
        </w:tc>
        <w:tc>
          <w:tcPr>
            <w:tcW w:w="8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367,670</w:t>
            </w:r>
          </w:p>
        </w:tc>
      </w:tr>
      <w:tr>
        <w:trPr>
          <w:trHeight w:val="247"/>
        </w:trPr>
        <w:tc>
          <w:tcPr>
            <w:tcW w:w="6500" w:type="dxa"/>
            <w:vAlign w:val="bottom"/>
          </w:tcPr>
          <w:p>
            <w:pPr>
              <w:ind w:left="20"/>
              <w:spacing w:after="0"/>
              <w:rPr>
                <w:sz w:val="20"/>
                <w:szCs w:val="20"/>
                <w:color w:val="auto"/>
              </w:rPr>
            </w:pPr>
            <w:r>
              <w:rPr>
                <w:rFonts w:ascii="Arial" w:cs="Arial" w:eastAsia="Arial" w:hAnsi="Arial"/>
                <w:sz w:val="20"/>
                <w:szCs w:val="20"/>
                <w:color w:val="auto"/>
              </w:rPr>
              <w:t>Cash and cash equivalents, end of period</w:t>
            </w:r>
          </w:p>
        </w:tc>
        <w:tc>
          <w:tcPr>
            <w:tcW w:w="1460" w:type="dxa"/>
            <w:vAlign w:val="bottom"/>
            <w:tcBorders>
              <w:bottom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174,010</w:t>
            </w:r>
          </w:p>
        </w:tc>
        <w:tc>
          <w:tcPr>
            <w:tcW w:w="80" w:type="dxa"/>
            <w:vAlign w:val="bottom"/>
          </w:tcPr>
          <w:p>
            <w:pPr>
              <w:spacing w:after="0"/>
              <w:rPr>
                <w:sz w:val="21"/>
                <w:szCs w:val="21"/>
                <w:color w:val="auto"/>
              </w:rPr>
            </w:pPr>
          </w:p>
        </w:tc>
        <w:tc>
          <w:tcPr>
            <w:tcW w:w="52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62,778</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0"/>
        </w:trPr>
        <w:tc>
          <w:tcPr>
            <w:tcW w:w="6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80"/>
        </w:trPr>
        <w:tc>
          <w:tcPr>
            <w:tcW w:w="6500" w:type="dxa"/>
            <w:vAlign w:val="bottom"/>
          </w:tcPr>
          <w:p>
            <w:pPr>
              <w:ind w:left="20"/>
              <w:spacing w:after="0"/>
              <w:rPr>
                <w:sz w:val="20"/>
                <w:szCs w:val="20"/>
                <w:color w:val="auto"/>
              </w:rPr>
            </w:pPr>
            <w:r>
              <w:rPr>
                <w:rFonts w:ascii="Arial" w:cs="Arial" w:eastAsia="Arial" w:hAnsi="Arial"/>
                <w:sz w:val="20"/>
                <w:szCs w:val="20"/>
                <w:b w:val="1"/>
                <w:bCs w:val="1"/>
                <w:color w:val="auto"/>
              </w:rPr>
              <w:t>Supplemental Cash Flow Information</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7"/>
        </w:trPr>
        <w:tc>
          <w:tcPr>
            <w:tcW w:w="65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interest</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36,136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22,226</w:t>
            </w:r>
          </w:p>
        </w:tc>
      </w:tr>
      <w:tr>
        <w:trPr>
          <w:trHeight w:val="279"/>
        </w:trPr>
        <w:tc>
          <w:tcPr>
            <w:tcW w:w="6500" w:type="dxa"/>
            <w:vAlign w:val="bottom"/>
          </w:tcPr>
          <w:p>
            <w:pPr>
              <w:ind w:left="260"/>
              <w:spacing w:after="0"/>
              <w:rPr>
                <w:sz w:val="20"/>
                <w:szCs w:val="20"/>
                <w:color w:val="auto"/>
              </w:rPr>
            </w:pPr>
            <w:r>
              <w:rPr>
                <w:rFonts w:ascii="Arial" w:cs="Arial" w:eastAsia="Arial" w:hAnsi="Arial"/>
                <w:sz w:val="20"/>
                <w:szCs w:val="20"/>
                <w:color w:val="auto"/>
              </w:rPr>
              <w:t>Cash paid for income taxes (net of refunds)</w:t>
            </w:r>
          </w:p>
        </w:tc>
        <w:tc>
          <w:tcPr>
            <w:tcW w:w="146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36,797</w:t>
            </w:r>
          </w:p>
        </w:tc>
        <w:tc>
          <w:tcPr>
            <w:tcW w:w="80" w:type="dxa"/>
            <w:vAlign w:val="bottom"/>
          </w:tcPr>
          <w:p>
            <w:pPr>
              <w:spacing w:after="0"/>
              <w:rPr>
                <w:sz w:val="24"/>
                <w:szCs w:val="24"/>
                <w:color w:val="auto"/>
              </w:rPr>
            </w:pP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1,189</w:t>
            </w:r>
          </w:p>
        </w:tc>
      </w:tr>
      <w:tr>
        <w:trPr>
          <w:trHeight w:val="275"/>
        </w:trPr>
        <w:tc>
          <w:tcPr>
            <w:tcW w:w="65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80"/>
        </w:trPr>
        <w:tc>
          <w:tcPr>
            <w:tcW w:w="6500" w:type="dxa"/>
            <w:vAlign w:val="bottom"/>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7"/>
        </w:trPr>
        <w:tc>
          <w:tcPr>
            <w:tcW w:w="65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Dividends accrued on Series A Preferred</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19,567</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74"/>
        </w:trPr>
        <w:tc>
          <w:tcPr>
            <w:tcW w:w="6500" w:type="dxa"/>
            <w:vAlign w:val="bottom"/>
          </w:tcPr>
          <w:p>
            <w:pPr>
              <w:ind w:left="260"/>
              <w:spacing w:after="0"/>
              <w:rPr>
                <w:sz w:val="20"/>
                <w:szCs w:val="20"/>
                <w:color w:val="auto"/>
              </w:rPr>
            </w:pPr>
            <w:r>
              <w:rPr>
                <w:rFonts w:ascii="Arial" w:cs="Arial" w:eastAsia="Arial" w:hAnsi="Arial"/>
                <w:sz w:val="20"/>
                <w:szCs w:val="20"/>
                <w:color w:val="auto"/>
              </w:rPr>
              <w:t>Stock consideration paid for acquisition of STI</w:t>
            </w:r>
          </w:p>
        </w:tc>
        <w:tc>
          <w:tcPr>
            <w:tcW w:w="146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Pr>
          <w:p>
            <w:pPr>
              <w:jc w:val="right"/>
              <w:spacing w:after="0"/>
              <w:rPr>
                <w:sz w:val="20"/>
                <w:szCs w:val="20"/>
                <w:color w:val="auto"/>
              </w:rPr>
            </w:pPr>
            <w:r>
              <w:rPr>
                <w:rFonts w:ascii="Arial" w:cs="Arial" w:eastAsia="Arial" w:hAnsi="Arial"/>
                <w:sz w:val="20"/>
                <w:szCs w:val="20"/>
                <w:color w:val="auto"/>
              </w:rPr>
              <w:t>200,224</w:t>
            </w: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Business and Out-of-Period Adjustments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owns subsidiaries through which it conducts substantially all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 Norland</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Upon completion of the STI Acquisition, the Company began operating as two reportable operating segments: the Array legacy operating segment (the “Array Legacy Operations”) and the newly acquired operations (the “STI Operations”) pertaining to STI.</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Out-of-Period Adjustment for the Correction of Errors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year 2023, the Company identified certain errors in its previously issued financial statements that have been corrected through a cumulative out-of-period adjustment in the condensed consolidated financial statements as of and for the three months ended March 31, 2023. The Company has concluded that the errors are not material to the previously issued financial statements and the cumulative out-of-period adjustment for the correction of these errors is not material to the financial statements for the three months ended March 31, 2023. Below is a summary of each of the errors corrected and a summary of the cumulative impact.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10 – Debt of the Company’s consolidated financial statements for the fiscal year ended December 31, 2022 included in the Company’s Annual Report on Form 10-K filed with the Securities and Exchange Commission (the “SEC”) on March 22, 2023, in November 2021 the Company paid $52.9 million to enter into capped call option agreements (the “Capped Calls”) to reduce the potential dilution to holders of the Company’s common stock after a conversion of the Company’s Convertible Notes (as defined below). The Company originally concluded that the Capped Calls met the criteria for equity classification because the Capped Calls are indexed to the Company’s common stock, and the Company has discretion to settle the Capped Calls in shares or cash. As a result, the Company originally recorded the amount paid for the Capped Calls as a reduction to additional paid-in capital of $52.9 million, offset by $12.4 million of income taxes.</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the Company has concluded that the modification to the volatility inputs precludes the Capped Calls from being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indexed to its own stock because there is the possibility that the Capped Calls will settle at an amount that exceeds fair value and, therefore, prevents the Capped Calls from being classified as equity.</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the Side Letters also provide for certain adjustments to settlement amounts on the basis of holder-specific taxes which are impermissible inputs to the valuation that also prevents the Capped Calls from being indexed to the Company’s own stock, and therefore, prevents the Capped Calls from being classified as equity. As a result, for the three months ended March 31, 2023, the Company has concluded that the cash paid for the Capped Calls should have been recorded as an asset of $52.9 million with the asset being subsequently marked to market at the end of each accounting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 Purchased Put Option</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11 – Redeemable Perpetual Preferred Stock, of the Company’s consolidated financial statements for the fiscal year ended December 31, 2022, included in the Company’s Annual Report on Form 10-K filed with the SEC on March 22, 2023, in August 2021 the Company entered into a Securities Purchase Agreement (the “SPA”) with certain Purchasers (as defined below), which gives the Company the option to require the Purchasers to purchase up to an additional 150,000 shares of Series A Shares (as defined below) and up to 3,375,000 shares of common stock for $148.0 million until June 30, 2023 (the “Put Option”), which has expired. Upon issuance of the Put Option, the Company recorded a reduction to additional paid-in-capital of approximately $12.4 million because the Company originally concluded that the Put Option should be classified as equity.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During the first quarter of 2023, the Company reconsidered the provisions of this option. Because the Series A Shares underlying the Put Option could potentially require redemption under the Certificate of Designations governing the Series A Shares, the Put Option should not have been equity classified. As a result, during the three months ended March 31, 2023, the Company has concluded that the value of the Put Option at inception should have been recorded as an asset of $12.4 million, with the asset being subsequently marked to market at the end of each accounting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Correction of the Capped Calls and Put Option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adjustments to correct the Capped Calls and the Put Option at January 1, 2023 resulted in an increase in Derivative assets of $55.7 million, a decrease in Deferred income tax assets of $11.0 million, an increase in additional paid-in-capital of $52.9 million, and a decrease in net income of $8.1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acquisition of STI, the Company had understated goodwill by $2.0 million and overstated inventory by the same amount that was sold during fiscal 2022. The Company corrected the goodwill balance during the first quarter of fiscal year 2023, resulting in an increase in goodwill and a decrease in cost of goods sold.</w:t>
      </w:r>
    </w:p>
    <w:p>
      <w:pPr>
        <w:spacing w:after="0" w:line="21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 The unaudited interim financial</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statements have been prepared on the same basis as the audited annual financial statements and, in the opinion of management, reflect all adjustments, which include only normal recurring adjustments, necessary for the fair statement of results for the interim periods reported. The results for the three and nine months ended September 30, 2023, are not necessarily indicative of results to be expected for the year ending December 31, 2023, or any other interim periods, or any future year or period. The balance sheet as of December 31, 2022,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2022 Annual Report.</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Unless expressly stated or the context otherwise requires, the terms “the Company”, “we”, “us”, “our”, “Array”, and “Array Technologies” refer to Array Technologies, Inc. and its consolidated subsidiaries, and the term “condensed consolidated financial statements” refers to the accompanying unaudited condensed consolidated financial statements contained in this Quarterly Report.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Beginning in the third quarter of 2023, the Company reclassified amounts recorded for amortization of certain acquired intangible assets in prior presentations from Total operating expenses under the caption "Depreciation and amortization" to Total cost of revenue under the caption "Amortization of developed technology" in the condensed consolidated statements of operations. The Company believes this presentation enhances the comparability of the Company’s financial statements to industry peers.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These reclassifications resulted in $3.6 million and $10.9 million recorded to Amortization of developed technology within Total cost of revenue and a $3.6 million and $10.9 million decrease to Depreciation and amortization within Total operating expenses during the three and nine months ended September 30, 2022, respectively.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These reclassifications did not impact the Company’s operating income (loss), net income (loss) or earnings (loss) per share for any current or historical periods. These reclassifications also did not impact the condensed consolidated balance sheets or condensed consolidated statements of cash flows.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Beginning in the third quarter of 2023, revenue excludes a $20.1 million Brazil value-added tax benefit, Imposto sobre Circulação de Mercadorias e Servicos (“ICMS”), that has been reclassified and included in cost of revenues in the current year. This reclassification was determined to be appropriate after we evaluated the expected accounting treatment related to future governmental incentives under the Inflation Reduction Act. For the nine months ended September 30, 2022, an ICMS benefit of $8.2 million was included in revenues.</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reclassification had no impact on the Company’s gross profit, income (loss) from operations, net income or income (loss) per common share in the current period. These reclassifications also did not impact the condensed consolidated balance sheets or condensed consolidated statements of cash flows.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condensed consolidated financial statements include the accounts of the Company and its subsidiaries. All intercompany accounts and transactions have been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Russian-Ukraine Conflict</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ongoing Russian-Ukraine conflict has reduced the availability of material that can be sourced in Europe and, as a result, increased logistics costs for the procurement of certain inputs and materials used in our products. We do not know the ultimate severity or duration of the conflict, but we continue to monitor the situation and evaluate our procurement strategy and supply chain as to reduce any negative impact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Inflationary pressures are expected to persist, at least in the near-term, and may negatively impact our results of operations.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The Company accounts for its business acquisitions under the acquisition method of accounting in accordance with the Financial Accounting Standards Board’s (“FASB”) Accounting Standards Codification (“ASC”) Topic 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 Exposure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functional currencies of certain of our foreign subsidiaries are their local currencies. Accordingly, we apply period-end exchange rates to translate their assets and liabilities, historical exchange rates to translate their retained earnings, and average exchange rates prevailing during the period to translate their revenues, expenses, gains, and losses into U.S. dollars. We include the associated translation adjustments as a separate component of “Accumulated other comprehensive income (loss)” within stockholders’ equity.</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Certain of our foreign subsidiaries have local currencies that are different than the subsidiaries functional currencies. When translating from the local currency to the functional currency, monetary assets and liabilities are translated at the current exchange rate resulting in foreign exchange gains or losses, and non-monetary assets are translated at historical exchange rates. Changes in the exchange rates between the functional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16"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currencies of our subsidiaries and the currencies in which monetary financial assets and liabilities are denominated, will create fluctuations in our reported condensed consolidated statements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Financial Instruments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Both the Capped Call and the Put Option are accounted for as assets that are recorded at fair value within Derivative assets on the condensed consolidated balance sheets. The changes in fair value to Derivative assets are recorded within change in fair value of derivative assets on the Condensed Consolidated Statements of Operations. See </w:t>
      </w:r>
      <w:r>
        <w:rPr>
          <w:rFonts w:ascii="Arial" w:cs="Arial" w:eastAsia="Arial" w:hAnsi="Arial"/>
          <w:sz w:val="20"/>
          <w:szCs w:val="20"/>
          <w:u w:val="single" w:color="auto"/>
          <w:color w:val="0000FF"/>
        </w:rPr>
        <w:t>Note 1 – Organization, Business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Out-of-Period Adjustments</w:t>
      </w:r>
      <w:r>
        <w:rPr>
          <w:rFonts w:ascii="Arial" w:cs="Arial" w:eastAsia="Arial" w:hAnsi="Arial"/>
          <w:sz w:val="20"/>
          <w:szCs w:val="20"/>
          <w:color w:val="000000"/>
        </w:rPr>
        <w:t>, for further information. As of June 30, 2023, the Put Option has expired and as a result, the fair</w:t>
      </w:r>
      <w:r>
        <w:rPr>
          <w:rFonts w:ascii="Arial" w:cs="Arial" w:eastAsia="Arial" w:hAnsi="Arial"/>
          <w:sz w:val="20"/>
          <w:szCs w:val="20"/>
          <w:color w:val="0000FF"/>
        </w:rPr>
        <w:t xml:space="preserve"> </w:t>
      </w:r>
      <w:r>
        <w:rPr>
          <w:rFonts w:ascii="Arial" w:cs="Arial" w:eastAsia="Arial" w:hAnsi="Arial"/>
          <w:sz w:val="20"/>
          <w:szCs w:val="20"/>
          <w:color w:val="000000"/>
        </w:rPr>
        <w:t>value of the Put Option is $0.</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In March 2020, the FASB issued Accounting Standards Update (“ASU”) 2020-04, </w:t>
      </w:r>
      <w:r>
        <w:rPr>
          <w:rFonts w:ascii="Arial" w:cs="Arial" w:eastAsia="Arial" w:hAnsi="Arial"/>
          <w:sz w:val="20"/>
          <w:szCs w:val="20"/>
          <w:i w:val="1"/>
          <w:iCs w:val="1"/>
          <w:color w:val="auto"/>
        </w:rPr>
        <w:t>Reference Rate Reform (Topic 848):</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Facilitation of the Effects of Reference Rate Reform on Financial Reporting </w:t>
      </w:r>
      <w:r>
        <w:rPr>
          <w:rFonts w:ascii="Arial" w:cs="Arial" w:eastAsia="Arial" w:hAnsi="Arial"/>
          <w:sz w:val="20"/>
          <w:szCs w:val="20"/>
          <w:color w:val="auto"/>
        </w:rPr>
        <w:t>(“ASU 2020-04”). ASU 2020-04 contains practical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expedients for reference rate reform related activities that impact debt, leases, derivatives and other contracts. The guidance in ASU 2020-04 is optional and may be elected over time as reference rate reform activities occur. In December 2022, the FASB issued ASU 2022-06, </w:t>
      </w:r>
      <w:r>
        <w:rPr>
          <w:rFonts w:ascii="Arial" w:cs="Arial" w:eastAsia="Arial" w:hAnsi="Arial"/>
          <w:sz w:val="20"/>
          <w:szCs w:val="20"/>
          <w:i w:val="1"/>
          <w:iCs w:val="1"/>
          <w:color w:val="auto"/>
        </w:rPr>
        <w:t>Reference Rate Reform (Topic 848): Deferral of the Sunset Date of Topic 848</w:t>
      </w:r>
      <w:r>
        <w:rPr>
          <w:rFonts w:ascii="Arial" w:cs="Arial" w:eastAsia="Arial" w:hAnsi="Arial"/>
          <w:sz w:val="20"/>
          <w:szCs w:val="20"/>
          <w:color w:val="auto"/>
        </w:rPr>
        <w:t>, to provide entities with relief during the transition period by deferring the effective date of reference rate reform from December 31, 2022 to December 31, 2024. ASU 2022-06 is effective upon issuance. During the three months ended March 31, 2023, the Company adopted ASU 2020-04 and ASU 2022-06. Simultaneously, the Company elected to apply the debt accounting optional expedient, under which the reporting entity will account for amendments to debt agreements, which sole intent are the replacement of a discontinued reference rate(s), as being not substantial and thus a continuation of the existing contract</w:t>
      </w:r>
      <w:r>
        <w:rPr>
          <w:rFonts w:ascii="Arial" w:cs="Arial" w:eastAsia="Arial" w:hAnsi="Arial"/>
          <w:sz w:val="17"/>
          <w:szCs w:val="17"/>
          <w:color w:val="auto"/>
        </w:rPr>
        <w:t>.</w:t>
      </w:r>
      <w:r>
        <w:rPr>
          <w:rFonts w:ascii="Arial" w:cs="Arial" w:eastAsia="Arial" w:hAnsi="Arial"/>
          <w:sz w:val="20"/>
          <w:szCs w:val="20"/>
          <w:color w:val="auto"/>
        </w:rPr>
        <w:t xml:space="preserve"> There was no significant impact to the Company’s condensed consolidated financial statements related to the adoption of ASU 2020-04 and ASU 2022-06. The Company continues to evaluate the impact of the ASU 2020-04 guidance and may apply other elections, as applicable, as additional changes in the market occur.</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 March 2023, the Company amended an existing debt agreement to replace the London Interbank Offered Rate (“LIBOR”) interest rate provisions with interest rate provisions based on a forward-looking term rate based on the secured overnight funding rate (“SOFR”) (see </w:t>
      </w:r>
      <w:r>
        <w:rPr>
          <w:rFonts w:ascii="Arial" w:cs="Arial" w:eastAsia="Arial" w:hAnsi="Arial"/>
          <w:sz w:val="20"/>
          <w:szCs w:val="20"/>
          <w:u w:val="single" w:color="auto"/>
          <w:color w:val="0000FF"/>
        </w:rPr>
        <w:t>Note 7 – Debt</w:t>
      </w:r>
      <w:r>
        <w:rPr>
          <w:rFonts w:ascii="Arial" w:cs="Arial" w:eastAsia="Arial" w:hAnsi="Arial"/>
          <w:sz w:val="20"/>
          <w:szCs w:val="20"/>
          <w:color w:val="auto"/>
        </w:rPr>
        <w:t>). There were no other changes to the agreement. There was no significant impact to the Company’s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0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83"/>
        </w:trPr>
        <w:tc>
          <w:tcPr>
            <w:tcW w:w="6400" w:type="dxa"/>
            <w:vAlign w:val="bottom"/>
          </w:tcPr>
          <w:p>
            <w:pPr>
              <w:spacing w:after="0"/>
              <w:rPr>
                <w:sz w:val="20"/>
                <w:szCs w:val="20"/>
                <w:color w:val="auto"/>
              </w:rPr>
            </w:pPr>
            <w:r>
              <w:rPr>
                <w:rFonts w:ascii="Arial" w:cs="Arial" w:eastAsia="Arial" w:hAnsi="Arial"/>
                <w:sz w:val="20"/>
                <w:szCs w:val="20"/>
                <w:color w:val="auto"/>
              </w:rPr>
              <w:t>Inventories consisted of the following (in thousands):</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0"/>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ind w:left="20"/>
              <w:spacing w:after="0"/>
              <w:rPr>
                <w:sz w:val="20"/>
                <w:szCs w:val="20"/>
                <w:color w:val="auto"/>
              </w:rPr>
            </w:pPr>
            <w:r>
              <w:rPr>
                <w:rFonts w:ascii="Arial" w:cs="Arial" w:eastAsia="Arial" w:hAnsi="Arial"/>
                <w:sz w:val="20"/>
                <w:szCs w:val="20"/>
                <w:b w:val="1"/>
                <w:bCs w:val="1"/>
                <w:color w:val="auto"/>
              </w:rPr>
              <w:t>September 30, 2023</w:t>
            </w:r>
          </w:p>
        </w:tc>
        <w:tc>
          <w:tcPr>
            <w:tcW w:w="260" w:type="dxa"/>
            <w:vAlign w:val="bottom"/>
          </w:tcPr>
          <w:p>
            <w:pPr>
              <w:spacing w:after="0"/>
              <w:rPr>
                <w:sz w:val="24"/>
                <w:szCs w:val="24"/>
                <w:color w:val="auto"/>
              </w:rPr>
            </w:pPr>
          </w:p>
        </w:tc>
        <w:tc>
          <w:tcPr>
            <w:tcW w:w="2120" w:type="dxa"/>
            <w:vAlign w:val="bottom"/>
          </w:tcPr>
          <w:p>
            <w:pPr>
              <w:jc w:val="right"/>
              <w:ind w:right="201"/>
              <w:spacing w:after="0"/>
              <w:rPr>
                <w:sz w:val="20"/>
                <w:szCs w:val="20"/>
                <w:color w:val="auto"/>
              </w:rPr>
            </w:pPr>
            <w:r>
              <w:rPr>
                <w:rFonts w:ascii="Arial" w:cs="Arial" w:eastAsia="Arial" w:hAnsi="Arial"/>
                <w:sz w:val="20"/>
                <w:szCs w:val="20"/>
                <w:b w:val="1"/>
                <w:bCs w:val="1"/>
                <w:color w:val="auto"/>
                <w:w w:val="99"/>
              </w:rPr>
              <w:t>December 31, 2022</w:t>
            </w:r>
          </w:p>
        </w:tc>
      </w:tr>
      <w:tr>
        <w:trPr>
          <w:trHeight w:val="26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133,726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66,574</w:t>
            </w:r>
          </w:p>
        </w:tc>
      </w:tr>
      <w:tr>
        <w:trPr>
          <w:trHeight w:val="260"/>
        </w:trPr>
        <w:tc>
          <w:tcPr>
            <w:tcW w:w="640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82,292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166,585</w:t>
            </w:r>
          </w:p>
        </w:tc>
      </w:tr>
      <w:tr>
        <w:trPr>
          <w:trHeight w:val="2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302"/>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Inventories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216,018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233,159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6"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Property, Plant and Equipment, Net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760" w:type="dxa"/>
            <w:vAlign w:val="bottom"/>
          </w:tcPr>
          <w:p>
            <w:pPr>
              <w:jc w:val="center"/>
              <w:ind w:left="301"/>
              <w:spacing w:after="0"/>
              <w:rPr>
                <w:sz w:val="20"/>
                <w:szCs w:val="20"/>
                <w:color w:val="auto"/>
              </w:rPr>
            </w:pPr>
            <w:r>
              <w:rPr>
                <w:rFonts w:ascii="Arial" w:cs="Arial" w:eastAsia="Arial" w:hAnsi="Arial"/>
                <w:sz w:val="20"/>
                <w:szCs w:val="20"/>
                <w:b w:val="1"/>
                <w:bCs w:val="1"/>
                <w:color w:val="auto"/>
                <w:w w:val="98"/>
              </w:rPr>
              <w:t>Estimated Useful Lives</w:t>
            </w:r>
          </w:p>
        </w:tc>
        <w:tc>
          <w:tcPr>
            <w:tcW w:w="2500" w:type="dxa"/>
            <w:vAlign w:val="bottom"/>
            <w:gridSpan w:val="3"/>
            <w:vMerge w:val="restart"/>
          </w:tcPr>
          <w:p>
            <w:pPr>
              <w:ind w:left="300"/>
              <w:spacing w:after="0"/>
              <w:rPr>
                <w:sz w:val="20"/>
                <w:szCs w:val="20"/>
                <w:color w:val="auto"/>
              </w:rPr>
            </w:pPr>
            <w:r>
              <w:rPr>
                <w:rFonts w:ascii="Arial" w:cs="Arial" w:eastAsia="Arial" w:hAnsi="Arial"/>
                <w:sz w:val="20"/>
                <w:szCs w:val="20"/>
                <w:b w:val="1"/>
                <w:bCs w:val="1"/>
                <w:color w:val="auto"/>
              </w:rPr>
              <w:t>September 30, 2023</w:t>
            </w:r>
          </w:p>
        </w:tc>
        <w:tc>
          <w:tcPr>
            <w:tcW w:w="300" w:type="dxa"/>
            <w:vAlign w:val="bottom"/>
          </w:tcPr>
          <w:p>
            <w:pPr>
              <w:spacing w:after="0"/>
              <w:rPr>
                <w:sz w:val="19"/>
                <w:szCs w:val="19"/>
                <w:color w:val="auto"/>
              </w:rPr>
            </w:pPr>
          </w:p>
        </w:tc>
        <w:tc>
          <w:tcPr>
            <w:tcW w:w="2120" w:type="dxa"/>
            <w:vAlign w:val="bottom"/>
            <w:vMerge w:val="restart"/>
          </w:tcPr>
          <w:p>
            <w:pPr>
              <w:jc w:val="right"/>
              <w:ind w:right="221"/>
              <w:spacing w:after="0"/>
              <w:rPr>
                <w:sz w:val="20"/>
                <w:szCs w:val="20"/>
                <w:color w:val="auto"/>
              </w:rPr>
            </w:pPr>
            <w:r>
              <w:rPr>
                <w:rFonts w:ascii="Arial" w:cs="Arial" w:eastAsia="Arial" w:hAnsi="Arial"/>
                <w:sz w:val="20"/>
                <w:szCs w:val="20"/>
                <w:b w:val="1"/>
                <w:bCs w:val="1"/>
                <w:color w:val="auto"/>
                <w:w w:val="98"/>
              </w:rPr>
              <w:t>December 31, 2022</w:t>
            </w:r>
          </w:p>
        </w:tc>
        <w:tc>
          <w:tcPr>
            <w:tcW w:w="0" w:type="dxa"/>
            <w:vAlign w:val="bottom"/>
          </w:tcPr>
          <w:p>
            <w:pPr>
              <w:spacing w:after="0"/>
              <w:rPr>
                <w:sz w:val="1"/>
                <w:szCs w:val="1"/>
                <w:color w:val="auto"/>
              </w:rPr>
            </w:pPr>
          </w:p>
        </w:tc>
      </w:tr>
      <w:tr>
        <w:trPr>
          <w:trHeight w:val="283"/>
        </w:trPr>
        <w:tc>
          <w:tcPr>
            <w:tcW w:w="3560" w:type="dxa"/>
            <w:vAlign w:val="bottom"/>
          </w:tcPr>
          <w:p>
            <w:pPr>
              <w:spacing w:after="0"/>
              <w:rPr>
                <w:sz w:val="24"/>
                <w:szCs w:val="24"/>
                <w:color w:val="auto"/>
              </w:rPr>
            </w:pPr>
          </w:p>
        </w:tc>
        <w:tc>
          <w:tcPr>
            <w:tcW w:w="2760" w:type="dxa"/>
            <w:vAlign w:val="bottom"/>
          </w:tcPr>
          <w:p>
            <w:pPr>
              <w:jc w:val="center"/>
              <w:ind w:left="281"/>
              <w:spacing w:after="0"/>
              <w:rPr>
                <w:sz w:val="20"/>
                <w:szCs w:val="20"/>
                <w:color w:val="auto"/>
              </w:rPr>
            </w:pPr>
            <w:r>
              <w:rPr>
                <w:rFonts w:ascii="Arial" w:cs="Arial" w:eastAsia="Arial" w:hAnsi="Arial"/>
                <w:sz w:val="20"/>
                <w:szCs w:val="20"/>
                <w:b w:val="1"/>
                <w:bCs w:val="1"/>
                <w:color w:val="auto"/>
                <w:w w:val="97"/>
              </w:rPr>
              <w:t>(Years)</w:t>
            </w:r>
          </w:p>
        </w:tc>
        <w:tc>
          <w:tcPr>
            <w:tcW w:w="25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2760" w:type="dxa"/>
            <w:vAlign w:val="bottom"/>
            <w:tcBorders>
              <w:top w:val="single" w:sz="8" w:color="CCEEFF"/>
              <w:bottom w:val="single" w:sz="8" w:color="CCEEFF"/>
            </w:tcBorders>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top w:val="single" w:sz="8" w:color="auto"/>
              <w:bottom w:val="single" w:sz="8" w:color="CCEEFF"/>
            </w:tcBorders>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1,612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1,583</w:t>
            </w:r>
          </w:p>
        </w:tc>
        <w:tc>
          <w:tcPr>
            <w:tcW w:w="0" w:type="dxa"/>
            <w:vAlign w:val="bottom"/>
          </w:tcPr>
          <w:p>
            <w:pPr>
              <w:spacing w:after="0"/>
              <w:rPr>
                <w:sz w:val="1"/>
                <w:szCs w:val="1"/>
                <w:color w:val="auto"/>
              </w:rPr>
            </w:pPr>
          </w:p>
        </w:tc>
      </w:tr>
      <w:tr>
        <w:trPr>
          <w:trHeight w:val="261"/>
        </w:trPr>
        <w:tc>
          <w:tcPr>
            <w:tcW w:w="356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rPr>
              <w:t>15-39</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9,034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7,411</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2760" w:type="dxa"/>
            <w:vAlign w:val="bottom"/>
            <w:tcBorders>
              <w:bottom w:val="single" w:sz="8" w:color="CCEEFF"/>
            </w:tcBorders>
            <w:shd w:val="clear" w:color="auto" w:fill="CCEEFF"/>
          </w:tcPr>
          <w:p>
            <w:pPr>
              <w:jc w:val="center"/>
              <w:ind w:left="301"/>
              <w:spacing w:after="0"/>
              <w:rPr>
                <w:sz w:val="20"/>
                <w:szCs w:val="20"/>
                <w:color w:val="auto"/>
              </w:rPr>
            </w:pPr>
            <w:r>
              <w:rPr>
                <w:rFonts w:ascii="Arial" w:cs="Arial" w:eastAsia="Arial" w:hAnsi="Arial"/>
                <w:sz w:val="20"/>
                <w:szCs w:val="20"/>
                <w:color w:val="auto"/>
              </w:rPr>
              <w:t>7</w:t>
            </w:r>
          </w:p>
        </w:tc>
        <w:tc>
          <w:tcPr>
            <w:tcW w:w="9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22,223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18,983</w:t>
            </w:r>
          </w:p>
        </w:tc>
        <w:tc>
          <w:tcPr>
            <w:tcW w:w="0" w:type="dxa"/>
            <w:vAlign w:val="bottom"/>
          </w:tcPr>
          <w:p>
            <w:pPr>
              <w:spacing w:after="0"/>
              <w:rPr>
                <w:sz w:val="1"/>
                <w:szCs w:val="1"/>
                <w:color w:val="auto"/>
              </w:rPr>
            </w:pPr>
          </w:p>
        </w:tc>
      </w:tr>
      <w:tr>
        <w:trPr>
          <w:trHeight w:val="261"/>
        </w:trPr>
        <w:tc>
          <w:tcPr>
            <w:tcW w:w="356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5-7</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4,567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3,583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2760" w:type="dxa"/>
            <w:vAlign w:val="bottom"/>
            <w:tcBorders>
              <w:bottom w:val="single" w:sz="8" w:color="CCEEFF"/>
            </w:tcBorders>
            <w:shd w:val="clear" w:color="auto" w:fill="CCEEFF"/>
          </w:tcPr>
          <w:p>
            <w:pPr>
              <w:jc w:val="center"/>
              <w:ind w:left="301"/>
              <w:spacing w:after="0"/>
              <w:rPr>
                <w:sz w:val="20"/>
                <w:szCs w:val="20"/>
                <w:color w:val="auto"/>
              </w:rPr>
            </w:pPr>
            <w:r>
              <w:rPr>
                <w:rFonts w:ascii="Arial" w:cs="Arial" w:eastAsia="Arial" w:hAnsi="Arial"/>
                <w:sz w:val="20"/>
                <w:szCs w:val="20"/>
                <w:color w:val="auto"/>
              </w:rPr>
              <w:t>5</w:t>
            </w:r>
          </w:p>
        </w:tc>
        <w:tc>
          <w:tcPr>
            <w:tcW w:w="9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61"/>
        </w:trPr>
        <w:tc>
          <w:tcPr>
            <w:tcW w:w="356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2760" w:type="dxa"/>
            <w:vAlign w:val="bottom"/>
          </w:tcPr>
          <w:p>
            <w:pPr>
              <w:jc w:val="center"/>
              <w:ind w:left="301"/>
              <w:spacing w:after="0"/>
              <w:rPr>
                <w:sz w:val="20"/>
                <w:szCs w:val="20"/>
                <w:color w:val="auto"/>
              </w:rPr>
            </w:pPr>
            <w:r>
              <w:rPr>
                <w:rFonts w:ascii="Arial" w:cs="Arial" w:eastAsia="Arial" w:hAnsi="Arial"/>
                <w:sz w:val="20"/>
                <w:szCs w:val="20"/>
                <w:color w:val="auto"/>
                <w:w w:val="96"/>
              </w:rPr>
              <w:t>3-5</w:t>
            </w: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6,161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3,706</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276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w w:val="95"/>
              </w:rPr>
              <w:t>N/A</w:t>
            </w:r>
          </w:p>
        </w:tc>
        <w:tc>
          <w:tcPr>
            <w:tcW w:w="9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6,083</w:t>
            </w:r>
          </w:p>
        </w:tc>
        <w:tc>
          <w:tcPr>
            <w:tcW w:w="8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5,142</w:t>
            </w:r>
          </w:p>
        </w:tc>
        <w:tc>
          <w:tcPr>
            <w:tcW w:w="0" w:type="dxa"/>
            <w:vAlign w:val="bottom"/>
          </w:tcPr>
          <w:p>
            <w:pPr>
              <w:spacing w:after="0"/>
              <w:rPr>
                <w:sz w:val="1"/>
                <w:szCs w:val="1"/>
                <w:color w:val="auto"/>
              </w:rPr>
            </w:pPr>
          </w:p>
        </w:tc>
      </w:tr>
      <w:tr>
        <w:trPr>
          <w:trHeight w:val="259"/>
        </w:trPr>
        <w:tc>
          <w:tcPr>
            <w:tcW w:w="3560" w:type="dxa"/>
            <w:vAlign w:val="bottom"/>
          </w:tcPr>
          <w:p>
            <w:pPr>
              <w:ind w:left="240"/>
              <w:spacing w:after="0"/>
              <w:rPr>
                <w:sz w:val="20"/>
                <w:szCs w:val="20"/>
                <w:color w:val="auto"/>
              </w:rPr>
            </w:pPr>
            <w:r>
              <w:rPr>
                <w:rFonts w:ascii="Arial" w:cs="Arial" w:eastAsia="Arial" w:hAnsi="Arial"/>
                <w:sz w:val="20"/>
                <w:szCs w:val="20"/>
                <w:color w:val="auto"/>
              </w:rPr>
              <w:t>Total</w:t>
            </w:r>
          </w:p>
        </w:tc>
        <w:tc>
          <w:tcPr>
            <w:tcW w:w="2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50,346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40,993</w:t>
            </w:r>
          </w:p>
        </w:tc>
        <w:tc>
          <w:tcPr>
            <w:tcW w:w="0" w:type="dxa"/>
            <w:vAlign w:val="bottom"/>
          </w:tcPr>
          <w:p>
            <w:pPr>
              <w:spacing w:after="0"/>
              <w:rPr>
                <w:sz w:val="1"/>
                <w:szCs w:val="1"/>
                <w:color w:val="auto"/>
              </w:rPr>
            </w:pPr>
          </w:p>
        </w:tc>
      </w:tr>
      <w:tr>
        <w:trPr>
          <w:trHeight w:val="2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27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(20,825)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(17,819)</w:t>
            </w:r>
          </w:p>
        </w:tc>
        <w:tc>
          <w:tcPr>
            <w:tcW w:w="0" w:type="dxa"/>
            <w:vAlign w:val="bottom"/>
          </w:tcPr>
          <w:p>
            <w:pPr>
              <w:spacing w:after="0"/>
              <w:rPr>
                <w:sz w:val="1"/>
                <w:szCs w:val="1"/>
                <w:color w:val="auto"/>
              </w:rPr>
            </w:pPr>
          </w:p>
        </w:tc>
      </w:tr>
      <w:tr>
        <w:trPr>
          <w:trHeight w:val="254"/>
        </w:trPr>
        <w:tc>
          <w:tcPr>
            <w:tcW w:w="356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2760" w:type="dxa"/>
            <w:vAlign w:val="bottom"/>
          </w:tcPr>
          <w:p>
            <w:pPr>
              <w:spacing w:after="0"/>
              <w:rPr>
                <w:sz w:val="22"/>
                <w:szCs w:val="22"/>
                <w:color w:val="auto"/>
              </w:rPr>
            </w:pPr>
          </w:p>
        </w:tc>
        <w:tc>
          <w:tcPr>
            <w:tcW w:w="980" w:type="dxa"/>
            <w:vAlign w:val="bottom"/>
            <w:tcBorders>
              <w:top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29,521</w:t>
            </w:r>
          </w:p>
        </w:tc>
        <w:tc>
          <w:tcPr>
            <w:tcW w:w="80" w:type="dxa"/>
            <w:vAlign w:val="bottom"/>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23,174</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Depreciation expense was $0.9 million and $0.7 million for the three months ended September 30, 2023 and 2022, respectively, of which $0.4 million was included in cost of revenue in both periods and $0.5 million and $0.3 million, respectively, was included in depreciation and amortization, on the accompanying condensed consolidated statements of operations.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Depreciation expense was $2.4 million and $1.9 million for the nine months ended September 30, 2023 and 2022, respectively, of which $1.0 million and $1.2 million, respectively, was included in cost of revenue and $1.4 million and $0.6 million, respectively, was included in depreciation and amortization on the accompanying condensed consolidated statements of operations.</w:t>
      </w:r>
    </w:p>
    <w:p>
      <w:pPr>
        <w:spacing w:after="0" w:line="21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Changes in the carrying amount of goodwill by operating segment during the nine months ended September 30, 2023, consisted of the following (in thousands):</w:t>
      </w:r>
    </w:p>
    <w:tbl>
      <w:tblPr>
        <w:tblLayout w:type="fixed"/>
        <w:tblInd w:w="0" w:type="dxa"/>
        <w:tblCellMar>
          <w:top w:w="0" w:type="dxa"/>
          <w:left w:w="0" w:type="dxa"/>
          <w:bottom w:w="0" w:type="dxa"/>
          <w:right w:w="0" w:type="dxa"/>
        </w:tblCellMar>
      </w:tblPr>
      <w:tr>
        <w:trPr>
          <w:trHeight w:val="217"/>
        </w:trPr>
        <w:tc>
          <w:tcPr>
            <w:tcW w:w="4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400"/>
              <w:spacing w:after="0" w:line="217" w:lineRule="exact"/>
              <w:rPr>
                <w:sz w:val="20"/>
                <w:szCs w:val="20"/>
                <w:color w:val="auto"/>
              </w:rPr>
            </w:pPr>
            <w:r>
              <w:rPr>
                <w:rFonts w:ascii="Arial" w:cs="Arial" w:eastAsia="Arial" w:hAnsi="Arial"/>
                <w:sz w:val="20"/>
                <w:szCs w:val="20"/>
                <w:b w:val="1"/>
                <w:bCs w:val="1"/>
                <w:color w:val="auto"/>
                <w:w w:val="99"/>
              </w:rPr>
              <w:t>Array Legacy</w:t>
            </w:r>
          </w:p>
        </w:tc>
        <w:tc>
          <w:tcPr>
            <w:tcW w:w="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84"/>
        </w:trPr>
        <w:tc>
          <w:tcPr>
            <w:tcW w:w="4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2"/>
          </w:tcPr>
          <w:p>
            <w:pPr>
              <w:jc w:val="center"/>
              <w:ind w:right="420"/>
              <w:spacing w:after="0" w:line="284" w:lineRule="exact"/>
              <w:rPr>
                <w:sz w:val="20"/>
                <w:szCs w:val="20"/>
                <w:color w:val="auto"/>
              </w:rPr>
            </w:pPr>
            <w:r>
              <w:rPr>
                <w:rFonts w:ascii="Arial" w:cs="Arial" w:eastAsia="Arial" w:hAnsi="Arial"/>
                <w:sz w:val="20"/>
                <w:szCs w:val="20"/>
                <w:b w:val="1"/>
                <w:bCs w:val="1"/>
                <w:color w:val="auto"/>
                <w:w w:val="95"/>
              </w:rPr>
              <w:t>Operations</w:t>
            </w:r>
            <w:r>
              <w:rPr>
                <w:rFonts w:ascii="Arial" w:cs="Arial" w:eastAsia="Arial" w:hAnsi="Arial"/>
                <w:sz w:val="25"/>
                <w:szCs w:val="25"/>
                <w:b w:val="1"/>
                <w:bCs w:val="1"/>
                <w:color w:val="auto"/>
                <w:w w:val="95"/>
                <w:vertAlign w:val="superscript"/>
              </w:rPr>
              <w:t>(1)</w:t>
            </w:r>
          </w:p>
        </w:tc>
        <w:tc>
          <w:tcPr>
            <w:tcW w:w="300" w:type="dxa"/>
            <w:vAlign w:val="bottom"/>
          </w:tcPr>
          <w:p>
            <w:pPr>
              <w:spacing w:after="0"/>
              <w:rPr>
                <w:sz w:val="24"/>
                <w:szCs w:val="24"/>
                <w:color w:val="auto"/>
              </w:rPr>
            </w:pPr>
          </w:p>
        </w:tc>
        <w:tc>
          <w:tcPr>
            <w:tcW w:w="2100" w:type="dxa"/>
            <w:vAlign w:val="bottom"/>
            <w:gridSpan w:val="2"/>
          </w:tcPr>
          <w:p>
            <w:pPr>
              <w:ind w:left="160"/>
              <w:spacing w:after="0"/>
              <w:rPr>
                <w:sz w:val="20"/>
                <w:szCs w:val="20"/>
                <w:color w:val="auto"/>
              </w:rPr>
            </w:pPr>
            <w:r>
              <w:rPr>
                <w:rFonts w:ascii="Arial" w:cs="Arial" w:eastAsia="Arial" w:hAnsi="Arial"/>
                <w:sz w:val="20"/>
                <w:szCs w:val="20"/>
                <w:b w:val="1"/>
                <w:bCs w:val="1"/>
                <w:color w:val="auto"/>
              </w:rPr>
              <w:t>STI Operations</w:t>
            </w:r>
          </w:p>
        </w:tc>
        <w:tc>
          <w:tcPr>
            <w:tcW w:w="520" w:type="dxa"/>
            <w:vAlign w:val="bottom"/>
          </w:tcPr>
          <w:p>
            <w:pPr>
              <w:spacing w:after="0"/>
              <w:rPr>
                <w:sz w:val="24"/>
                <w:szCs w:val="24"/>
                <w:color w:val="auto"/>
              </w:rPr>
            </w:pPr>
          </w:p>
        </w:tc>
        <w:tc>
          <w:tcPr>
            <w:tcW w:w="1780" w:type="dxa"/>
            <w:vAlign w:val="bottom"/>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6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346,457</w:t>
            </w:r>
          </w:p>
        </w:tc>
        <w:tc>
          <w:tcPr>
            <w:tcW w:w="8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416,184</w:t>
            </w:r>
          </w:p>
        </w:tc>
      </w:tr>
      <w:tr>
        <w:trPr>
          <w:trHeight w:val="265"/>
        </w:trPr>
        <w:tc>
          <w:tcPr>
            <w:tcW w:w="4160" w:type="dxa"/>
            <w:vAlign w:val="bottom"/>
          </w:tcPr>
          <w:p>
            <w:pPr>
              <w:ind w:left="20"/>
              <w:spacing w:after="0"/>
              <w:rPr>
                <w:sz w:val="20"/>
                <w:szCs w:val="20"/>
                <w:color w:val="auto"/>
              </w:rPr>
            </w:pPr>
            <w:r>
              <w:rPr>
                <w:rFonts w:ascii="Arial" w:cs="Arial" w:eastAsia="Arial" w:hAnsi="Arial"/>
                <w:sz w:val="20"/>
                <w:szCs w:val="20"/>
                <w:color w:val="auto"/>
              </w:rPr>
              <w:t>Adjustment to goodwill (see Note 1)</w:t>
            </w:r>
          </w:p>
        </w:tc>
        <w:tc>
          <w:tcPr>
            <w:tcW w:w="320" w:type="dxa"/>
            <w:vAlign w:val="bottom"/>
          </w:tcPr>
          <w:p>
            <w:pPr>
              <w:spacing w:after="0"/>
              <w:rPr>
                <w:sz w:val="23"/>
                <w:szCs w:val="23"/>
                <w:color w:val="auto"/>
              </w:rPr>
            </w:pPr>
          </w:p>
        </w:tc>
        <w:tc>
          <w:tcPr>
            <w:tcW w:w="20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2020" w:type="dxa"/>
            <w:vAlign w:val="bottom"/>
          </w:tcPr>
          <w:p>
            <w:pPr>
              <w:jc w:val="right"/>
              <w:ind w:right="1"/>
              <w:spacing w:after="0"/>
              <w:rPr>
                <w:sz w:val="20"/>
                <w:szCs w:val="20"/>
                <w:color w:val="auto"/>
              </w:rPr>
            </w:pPr>
            <w:r>
              <w:rPr>
                <w:rFonts w:ascii="Arial" w:cs="Arial" w:eastAsia="Arial" w:hAnsi="Arial"/>
                <w:sz w:val="20"/>
                <w:szCs w:val="20"/>
                <w:color w:val="auto"/>
              </w:rPr>
              <w:t>2,000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75"/>
        </w:trPr>
        <w:tc>
          <w:tcPr>
            <w:tcW w:w="416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8,357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8,357</w:t>
            </w:r>
          </w:p>
        </w:tc>
      </w:tr>
      <w:tr>
        <w:trPr>
          <w:trHeight w:val="259"/>
        </w:trPr>
        <w:tc>
          <w:tcPr>
            <w:tcW w:w="416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20"/>
                <w:szCs w:val="20"/>
                <w:color w:val="auto"/>
                <w:w w:val="8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69,727</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2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20"/>
                <w:szCs w:val="20"/>
                <w:color w:val="auto"/>
              </w:rPr>
              <w:t>356,814</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426,541</w:t>
            </w:r>
          </w:p>
        </w:tc>
      </w:tr>
      <w:tr>
        <w:trPr>
          <w:trHeight w:val="25"/>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ind w:left="220" w:hanging="212"/>
        <w:spacing w:after="0" w:line="233"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impairment of $51.9 million.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quarter the Company evaluates if facts and circumstances indicate that it is more-likely-than-not that the fair value of its reporting units is less than their carrying value, which would require the Company to perform an interim goodwill impairment test. During our most recent evaluation, we concluded there were no indicators of impairment as of September 30,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520" w:type="dxa"/>
            <w:vAlign w:val="bottom"/>
          </w:tcPr>
          <w:p>
            <w:pPr>
              <w:spacing w:after="0"/>
              <w:rPr>
                <w:sz w:val="20"/>
                <w:szCs w:val="20"/>
                <w:color w:val="auto"/>
              </w:rPr>
            </w:pPr>
            <w:r>
              <w:rPr>
                <w:rFonts w:ascii="Arial" w:cs="Arial" w:eastAsia="Arial" w:hAnsi="Arial"/>
                <w:sz w:val="20"/>
                <w:szCs w:val="20"/>
                <w:b w:val="1"/>
                <w:bCs w:val="1"/>
                <w:color w:val="auto"/>
              </w:rPr>
              <w:t>Other Intangible Assets, Net</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8880" w:type="dxa"/>
            <w:vAlign w:val="bottom"/>
            <w:gridSpan w:val="5"/>
          </w:tcPr>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2900" w:type="dxa"/>
            <w:vAlign w:val="bottom"/>
          </w:tcPr>
          <w:p>
            <w:pPr>
              <w:jc w:val="center"/>
              <w:ind w:left="401"/>
              <w:spacing w:after="0" w:line="226" w:lineRule="exact"/>
              <w:rPr>
                <w:sz w:val="20"/>
                <w:szCs w:val="20"/>
                <w:color w:val="auto"/>
              </w:rPr>
            </w:pPr>
            <w:r>
              <w:rPr>
                <w:rFonts w:ascii="Arial" w:cs="Arial" w:eastAsia="Arial" w:hAnsi="Arial"/>
                <w:sz w:val="20"/>
                <w:szCs w:val="20"/>
                <w:b w:val="1"/>
                <w:bCs w:val="1"/>
                <w:color w:val="auto"/>
                <w:w w:val="98"/>
              </w:rPr>
              <w:t>Estimated Useful Lives</w:t>
            </w:r>
          </w:p>
        </w:tc>
        <w:tc>
          <w:tcPr>
            <w:tcW w:w="240" w:type="dxa"/>
            <w:vAlign w:val="bottom"/>
          </w:tcPr>
          <w:p>
            <w:pPr>
              <w:spacing w:after="0"/>
              <w:rPr>
                <w:sz w:val="19"/>
                <w:szCs w:val="19"/>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rPr>
              <w:t>September 30, 2023</w:t>
            </w: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2022</w:t>
            </w:r>
          </w:p>
        </w:tc>
        <w:tc>
          <w:tcPr>
            <w:tcW w:w="0" w:type="dxa"/>
            <w:vAlign w:val="bottom"/>
          </w:tcPr>
          <w:p>
            <w:pPr>
              <w:spacing w:after="0"/>
              <w:rPr>
                <w:sz w:val="1"/>
                <w:szCs w:val="1"/>
                <w:color w:val="auto"/>
              </w:rPr>
            </w:pPr>
          </w:p>
        </w:tc>
      </w:tr>
      <w:tr>
        <w:trPr>
          <w:trHeight w:val="283"/>
        </w:trPr>
        <w:tc>
          <w:tcPr>
            <w:tcW w:w="3520" w:type="dxa"/>
            <w:vAlign w:val="bottom"/>
          </w:tcPr>
          <w:p>
            <w:pPr>
              <w:spacing w:after="0"/>
              <w:rPr>
                <w:sz w:val="24"/>
                <w:szCs w:val="24"/>
                <w:color w:val="auto"/>
              </w:rPr>
            </w:pPr>
          </w:p>
        </w:tc>
        <w:tc>
          <w:tcPr>
            <w:tcW w:w="2900" w:type="dxa"/>
            <w:vAlign w:val="bottom"/>
          </w:tcPr>
          <w:p>
            <w:pPr>
              <w:jc w:val="center"/>
              <w:ind w:left="381"/>
              <w:spacing w:after="0"/>
              <w:rPr>
                <w:sz w:val="20"/>
                <w:szCs w:val="20"/>
                <w:color w:val="auto"/>
              </w:rPr>
            </w:pPr>
            <w:r>
              <w:rPr>
                <w:rFonts w:ascii="Arial" w:cs="Arial" w:eastAsia="Arial" w:hAnsi="Arial"/>
                <w:sz w:val="20"/>
                <w:szCs w:val="20"/>
                <w:b w:val="1"/>
                <w:bCs w:val="1"/>
                <w:color w:val="auto"/>
                <w:w w:val="97"/>
              </w:rPr>
              <w:t>(Years)</w:t>
            </w:r>
          </w:p>
        </w:tc>
        <w:tc>
          <w:tcPr>
            <w:tcW w:w="240" w:type="dxa"/>
            <w:vAlign w:val="bottom"/>
          </w:tcPr>
          <w:p>
            <w:pPr>
              <w:spacing w:after="0"/>
              <w:rPr>
                <w:sz w:val="24"/>
                <w:szCs w:val="24"/>
                <w:color w:val="auto"/>
              </w:rPr>
            </w:pPr>
          </w:p>
        </w:tc>
        <w:tc>
          <w:tcPr>
            <w:tcW w:w="2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tcPr>
          <w:p>
            <w:pPr>
              <w:jc w:val="center"/>
              <w:ind w:left="381"/>
              <w:spacing w:after="0"/>
              <w:rPr>
                <w:sz w:val="20"/>
                <w:szCs w:val="20"/>
                <w:color w:val="auto"/>
              </w:rPr>
            </w:pPr>
            <w:r>
              <w:rPr>
                <w:rFonts w:ascii="Arial" w:cs="Arial" w:eastAsia="Arial" w:hAnsi="Arial"/>
                <w:sz w:val="20"/>
                <w:szCs w:val="20"/>
                <w:color w:val="auto"/>
                <w:w w:val="98"/>
              </w:rPr>
              <w:t>14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203,800</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20"/>
                <w:szCs w:val="20"/>
                <w:color w:val="auto"/>
                <w:w w:val="98"/>
              </w:rPr>
              <w:t>10</w:t>
            </w:r>
          </w:p>
        </w:tc>
        <w:tc>
          <w:tcPr>
            <w:tcW w:w="2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327,008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321,935</w:t>
            </w:r>
          </w:p>
        </w:tc>
        <w:tc>
          <w:tcPr>
            <w:tcW w:w="0" w:type="dxa"/>
            <w:vAlign w:val="bottom"/>
          </w:tcPr>
          <w:p>
            <w:pPr>
              <w:spacing w:after="0"/>
              <w:rPr>
                <w:sz w:val="1"/>
                <w:szCs w:val="1"/>
                <w:color w:val="auto"/>
              </w:rPr>
            </w:pPr>
          </w:p>
        </w:tc>
      </w:tr>
      <w:tr>
        <w:trPr>
          <w:trHeight w:val="261"/>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tcPr>
          <w:p>
            <w:pPr>
              <w:jc w:val="center"/>
              <w:ind w:left="401"/>
              <w:spacing w:after="0"/>
              <w:rPr>
                <w:sz w:val="20"/>
                <w:szCs w:val="20"/>
                <w:color w:val="auto"/>
              </w:rPr>
            </w:pPr>
            <w:r>
              <w:rPr>
                <w:rFonts w:ascii="Arial" w:cs="Arial" w:eastAsia="Arial" w:hAnsi="Arial"/>
                <w:sz w:val="20"/>
                <w:szCs w:val="20"/>
                <w:color w:val="auto"/>
              </w:rPr>
              <w:t>1</w:t>
            </w: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52,443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51,015</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20"/>
                <w:szCs w:val="20"/>
                <w:color w:val="auto"/>
                <w:w w:val="98"/>
              </w:rPr>
              <w:t>20</w:t>
            </w:r>
          </w:p>
        </w:tc>
        <w:tc>
          <w:tcPr>
            <w:tcW w:w="24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26,014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25,682</w:t>
            </w: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Arial" w:cs="Arial" w:eastAsia="Arial" w:hAnsi="Arial"/>
                <w:sz w:val="20"/>
                <w:szCs w:val="20"/>
                <w:color w:val="auto"/>
              </w:rPr>
              <w:t>Total amortizable intangibles</w:t>
            </w:r>
          </w:p>
        </w:tc>
        <w:tc>
          <w:tcPr>
            <w:tcW w:w="29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609,265</w:t>
            </w: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602,432</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Accumulated amortization:</w:t>
            </w: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520" w:type="dxa"/>
            <w:vAlign w:val="bottom"/>
          </w:tcPr>
          <w:p>
            <w:pPr>
              <w:ind w:left="360"/>
              <w:spacing w:after="0"/>
              <w:rPr>
                <w:sz w:val="20"/>
                <w:szCs w:val="20"/>
                <w:color w:val="auto"/>
              </w:rPr>
            </w:pPr>
            <w:r>
              <w:rPr>
                <w:rFonts w:ascii="Arial" w:cs="Arial" w:eastAsia="Arial" w:hAnsi="Arial"/>
                <w:sz w:val="20"/>
                <w:szCs w:val="20"/>
                <w:color w:val="auto"/>
              </w:rPr>
              <w:t>Developed technology</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105,265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94,347</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Customer relationships</w:t>
            </w:r>
          </w:p>
        </w:tc>
        <w:tc>
          <w:tcPr>
            <w:tcW w:w="2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105,697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81,268</w:t>
            </w:r>
          </w:p>
        </w:tc>
        <w:tc>
          <w:tcPr>
            <w:tcW w:w="0" w:type="dxa"/>
            <w:vAlign w:val="bottom"/>
          </w:tcPr>
          <w:p>
            <w:pPr>
              <w:spacing w:after="0"/>
              <w:rPr>
                <w:sz w:val="1"/>
                <w:szCs w:val="1"/>
                <w:color w:val="auto"/>
              </w:rPr>
            </w:pPr>
          </w:p>
        </w:tc>
      </w:tr>
      <w:tr>
        <w:trPr>
          <w:trHeight w:val="279"/>
        </w:trPr>
        <w:tc>
          <w:tcPr>
            <w:tcW w:w="3520" w:type="dxa"/>
            <w:vAlign w:val="bottom"/>
          </w:tcPr>
          <w:p>
            <w:pPr>
              <w:ind w:left="360"/>
              <w:spacing w:after="0"/>
              <w:rPr>
                <w:sz w:val="20"/>
                <w:szCs w:val="20"/>
                <w:color w:val="auto"/>
              </w:rPr>
            </w:pPr>
            <w:r>
              <w:rPr>
                <w:rFonts w:ascii="Arial" w:cs="Arial" w:eastAsia="Arial" w:hAnsi="Arial"/>
                <w:sz w:val="20"/>
                <w:szCs w:val="20"/>
                <w:color w:val="auto"/>
              </w:rPr>
              <w:t>Backlog</w:t>
            </w:r>
          </w:p>
        </w:tc>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52,443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49,507</w:t>
            </w:r>
          </w:p>
        </w:tc>
        <w:tc>
          <w:tcPr>
            <w:tcW w:w="0" w:type="dxa"/>
            <w:vAlign w:val="bottom"/>
          </w:tcPr>
          <w:p>
            <w:pPr>
              <w:spacing w:after="0"/>
              <w:rPr>
                <w:sz w:val="1"/>
                <w:szCs w:val="1"/>
                <w:color w:val="auto"/>
              </w:rPr>
            </w:pPr>
          </w:p>
        </w:tc>
      </w:tr>
      <w:tr>
        <w:trPr>
          <w:trHeight w:val="288"/>
        </w:trPr>
        <w:tc>
          <w:tcPr>
            <w:tcW w:w="35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Trade name</w:t>
            </w:r>
          </w:p>
        </w:tc>
        <w:tc>
          <w:tcPr>
            <w:tcW w:w="29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2,237</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1,246</w:t>
            </w: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Arial" w:cs="Arial" w:eastAsia="Arial" w:hAnsi="Arial"/>
                <w:sz w:val="20"/>
                <w:szCs w:val="20"/>
                <w:color w:val="auto"/>
              </w:rPr>
              <w:t>Total accumulated amortization</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265,642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226,368</w:t>
            </w:r>
          </w:p>
        </w:tc>
        <w:tc>
          <w:tcPr>
            <w:tcW w:w="0" w:type="dxa"/>
            <w:vAlign w:val="bottom"/>
          </w:tcPr>
          <w:p>
            <w:pPr>
              <w:spacing w:after="0"/>
              <w:rPr>
                <w:sz w:val="1"/>
                <w:szCs w:val="1"/>
                <w:color w:val="auto"/>
              </w:rPr>
            </w:pPr>
          </w:p>
        </w:tc>
      </w:tr>
      <w:tr>
        <w:trPr>
          <w:trHeight w:val="23"/>
        </w:trPr>
        <w:tc>
          <w:tcPr>
            <w:tcW w:w="35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amortizable intangibles, net</w:t>
            </w:r>
          </w:p>
        </w:tc>
        <w:tc>
          <w:tcPr>
            <w:tcW w:w="2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343,623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376,064</w:t>
            </w: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Non-amortizable:</w:t>
            </w:r>
          </w:p>
        </w:tc>
        <w:tc>
          <w:tcPr>
            <w:tcW w:w="2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20" w:type="dxa"/>
            <w:vAlign w:val="bottom"/>
          </w:tcPr>
          <w:p>
            <w:pPr>
              <w:ind w:left="240"/>
              <w:spacing w:after="0"/>
              <w:rPr>
                <w:sz w:val="20"/>
                <w:szCs w:val="20"/>
                <w:color w:val="auto"/>
              </w:rPr>
            </w:pPr>
            <w:r>
              <w:rPr>
                <w:rFonts w:ascii="Arial" w:cs="Arial" w:eastAsia="Arial" w:hAnsi="Arial"/>
                <w:sz w:val="20"/>
                <w:szCs w:val="20"/>
                <w:color w:val="auto"/>
              </w:rPr>
              <w:t>Trade name</w:t>
            </w:r>
          </w:p>
        </w:tc>
        <w:tc>
          <w:tcPr>
            <w:tcW w:w="2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10,300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1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9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2140" w:type="dxa"/>
            <w:vAlign w:val="bottom"/>
          </w:tcPr>
          <w:p>
            <w:pPr>
              <w:jc w:val="right"/>
              <w:spacing w:after="0"/>
              <w:rPr>
                <w:sz w:val="20"/>
                <w:szCs w:val="20"/>
                <w:color w:val="auto"/>
              </w:rPr>
            </w:pPr>
            <w:r>
              <w:rPr>
                <w:rFonts w:ascii="Arial" w:cs="Arial" w:eastAsia="Arial" w:hAnsi="Arial"/>
                <w:sz w:val="20"/>
                <w:szCs w:val="20"/>
                <w:color w:val="auto"/>
              </w:rPr>
              <w:t>353,923</w:t>
            </w:r>
          </w:p>
        </w:tc>
        <w:tc>
          <w:tcPr>
            <w:tcW w:w="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jc w:val="right"/>
              <w:spacing w:after="0"/>
              <w:rPr>
                <w:sz w:val="20"/>
                <w:szCs w:val="20"/>
                <w:color w:val="auto"/>
              </w:rPr>
            </w:pPr>
            <w:r>
              <w:rPr>
                <w:rFonts w:ascii="Arial" w:cs="Arial" w:eastAsia="Arial" w:hAnsi="Arial"/>
                <w:sz w:val="20"/>
                <w:szCs w:val="20"/>
                <w:color w:val="auto"/>
              </w:rPr>
              <w:t>386,364</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Amortization expense related to intangible assets was $12.6 million and $24.6 million for the three months ended September 30, 2023 and 2022, respectively, of which $3.6 million was included in amortization of developed technology, a component of cost of revenue, in both periods and $9.0 million and $21.0 million, respectively, was included in depreciation and amortization, on the accompanying condensed consolidated statements of operations.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Amortization expense related to intangible assets was $38.8 million and $73.5 million for the nine months ended September 30, 2023 and 2022, respectively, of which $10.9 million was included in amortization of developed technology, a component of cost of revenue, in both periods and $27.9 million and $62.6 million, respectively, was included in depreciation and amortization, on the accompanying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September 30, 2023,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4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1"/>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2023</w:t>
            </w: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12,384</w:t>
            </w:r>
          </w:p>
        </w:tc>
      </w:tr>
      <w:tr>
        <w:trPr>
          <w:trHeight w:val="279"/>
        </w:trPr>
        <w:tc>
          <w:tcPr>
            <w:tcW w:w="8840" w:type="dxa"/>
            <w:vAlign w:val="bottom"/>
          </w:tcPr>
          <w:p>
            <w:pPr>
              <w:ind w:left="20"/>
              <w:spacing w:after="0"/>
              <w:rPr>
                <w:sz w:val="20"/>
                <w:szCs w:val="20"/>
                <w:color w:val="auto"/>
              </w:rPr>
            </w:pPr>
            <w:r>
              <w:rPr>
                <w:rFonts w:ascii="Arial" w:cs="Arial" w:eastAsia="Arial" w:hAnsi="Arial"/>
                <w:sz w:val="20"/>
                <w:szCs w:val="20"/>
                <w:color w:val="auto"/>
              </w:rPr>
              <w:t>2024</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49,538</w:t>
            </w:r>
          </w:p>
        </w:tc>
      </w:tr>
      <w:tr>
        <w:trPr>
          <w:trHeight w:val="288"/>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49,538</w:t>
            </w:r>
          </w:p>
        </w:tc>
      </w:tr>
      <w:tr>
        <w:trPr>
          <w:trHeight w:val="279"/>
        </w:trPr>
        <w:tc>
          <w:tcPr>
            <w:tcW w:w="8840" w:type="dxa"/>
            <w:vAlign w:val="bottom"/>
          </w:tcPr>
          <w:p>
            <w:pPr>
              <w:ind w:left="20"/>
              <w:spacing w:after="0"/>
              <w:rPr>
                <w:sz w:val="20"/>
                <w:szCs w:val="20"/>
                <w:color w:val="auto"/>
              </w:rPr>
            </w:pPr>
            <w:r>
              <w:rPr>
                <w:rFonts w:ascii="Arial" w:cs="Arial" w:eastAsia="Arial" w:hAnsi="Arial"/>
                <w:sz w:val="20"/>
                <w:szCs w:val="20"/>
                <w:color w:val="auto"/>
              </w:rPr>
              <w:t>2026</w:t>
            </w:r>
          </w:p>
        </w:tc>
        <w:tc>
          <w:tcPr>
            <w:tcW w:w="5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45,232</w:t>
            </w:r>
          </w:p>
        </w:tc>
      </w:tr>
      <w:tr>
        <w:trPr>
          <w:trHeight w:val="288"/>
        </w:trPr>
        <w:tc>
          <w:tcPr>
            <w:tcW w:w="884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52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40,588</w:t>
            </w:r>
          </w:p>
        </w:tc>
      </w:tr>
      <w:tr>
        <w:trPr>
          <w:trHeight w:val="27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146,343</w:t>
            </w:r>
          </w:p>
        </w:tc>
      </w:tr>
      <w:tr>
        <w:trPr>
          <w:trHeight w:val="307"/>
        </w:trPr>
        <w:tc>
          <w:tcPr>
            <w:tcW w:w="8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343,623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Long-lived assets, including both amortizable and non-amortizable intangible assets, are reviewed for impairment whenever events or changes in circumstances indicate the carrying amount of an asset group may not be recoverable. As of September 30, 2023, no events or circumstances were noted that would indicate the carrying amount of any of our asset groups may not be recoverable.</w:t>
      </w:r>
    </w:p>
    <w:p>
      <w:pPr>
        <w:spacing w:after="0" w:line="203"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recorded income tax expense of $7.2 million and $10.0 million for the three months ended September 30, 2023 and 2022, respectively, and an expense of $39.5 million and a benefit of $23.2 million for the nine months ended September 30, 2023 and 2022, respectively. The income tax expense for the nine months ended September 30, 2023, was unfavorably impacted by higher income in non-U.S. jurisdictions and an increase in income tax expense related to the Put Option (see </w:t>
      </w:r>
      <w:r>
        <w:rPr>
          <w:rFonts w:ascii="Arial" w:cs="Arial" w:eastAsia="Arial" w:hAnsi="Arial"/>
          <w:sz w:val="20"/>
          <w:szCs w:val="20"/>
          <w:u w:val="single" w:color="auto"/>
          <w:color w:val="0000FF"/>
        </w:rPr>
        <w:t>Note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1 – Organization, Business and Out-of-Period Adjustments</w:t>
      </w:r>
      <w:r>
        <w:rPr>
          <w:rFonts w:ascii="Arial" w:cs="Arial" w:eastAsia="Arial" w:hAnsi="Arial"/>
          <w:sz w:val="20"/>
          <w:szCs w:val="20"/>
          <w:color w:val="000000"/>
        </w:rPr>
        <w:t>), partially offset by benefits related to excess equity-based</w:t>
      </w:r>
      <w:r>
        <w:rPr>
          <w:rFonts w:ascii="Arial" w:cs="Arial" w:eastAsia="Arial" w:hAnsi="Arial"/>
          <w:sz w:val="20"/>
          <w:szCs w:val="20"/>
          <w:color w:val="0000FF"/>
        </w:rPr>
        <w:t xml:space="preserve"> </w:t>
      </w:r>
      <w:r>
        <w:rPr>
          <w:rFonts w:ascii="Arial" w:cs="Arial" w:eastAsia="Arial" w:hAnsi="Arial"/>
          <w:sz w:val="20"/>
          <w:szCs w:val="20"/>
          <w:color w:val="000000"/>
        </w:rPr>
        <w:t>compensation deductions recorded discretely. The tax expense for the nine months ended September 30, 2022, was favorably impacted by losses in non-U.S. jurisdictions which have higher tax rates than the U.S., partially offset by non-deductible expenses.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For the nine months ended September 30, 2023 and 2022, no reserves for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0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total debt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5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September 30, 2023</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63"/>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Senior Secured Credit Facility:</w:t>
            </w:r>
          </w:p>
        </w:tc>
        <w:tc>
          <w:tcPr>
            <w:tcW w:w="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61"/>
        </w:trPr>
        <w:tc>
          <w:tcPr>
            <w:tcW w:w="654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239,250</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312,475</w:t>
            </w:r>
          </w:p>
        </w:tc>
      </w:tr>
      <w:tr>
        <w:trPr>
          <w:trHeight w:val="2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83"/>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18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6540" w:type="dxa"/>
            <w:vAlign w:val="bottom"/>
          </w:tcPr>
          <w:p>
            <w:pPr>
              <w:ind w:left="460"/>
              <w:spacing w:after="0"/>
              <w:rPr>
                <w:sz w:val="20"/>
                <w:szCs w:val="20"/>
                <w:color w:val="auto"/>
              </w:rPr>
            </w:pPr>
            <w:r>
              <w:rPr>
                <w:rFonts w:ascii="Arial" w:cs="Arial" w:eastAsia="Arial" w:hAnsi="Arial"/>
                <w:sz w:val="20"/>
                <w:szCs w:val="20"/>
                <w:color w:val="auto"/>
              </w:rPr>
              <w:t>Total secured credit facility</w:t>
            </w:r>
          </w:p>
        </w:tc>
        <w:tc>
          <w:tcPr>
            <w:tcW w:w="1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239,250</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312,475</w:t>
            </w:r>
          </w:p>
        </w:tc>
      </w:tr>
      <w:tr>
        <w:trPr>
          <w:trHeight w:val="2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50"/>
        </w:trPr>
        <w:tc>
          <w:tcPr>
            <w:tcW w:w="6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r>
      <w:tr>
        <w:trPr>
          <w:trHeight w:val="261"/>
        </w:trPr>
        <w:tc>
          <w:tcPr>
            <w:tcW w:w="6540" w:type="dxa"/>
            <w:vAlign w:val="bottom"/>
          </w:tcPr>
          <w:p>
            <w:pPr>
              <w:ind w:left="20"/>
              <w:spacing w:after="0"/>
              <w:rPr>
                <w:sz w:val="20"/>
                <w:szCs w:val="20"/>
                <w:color w:val="auto"/>
              </w:rPr>
            </w:pPr>
            <w:r>
              <w:rPr>
                <w:rFonts w:ascii="Arial" w:cs="Arial" w:eastAsia="Arial" w:hAnsi="Arial"/>
                <w:sz w:val="20"/>
                <w:szCs w:val="20"/>
                <w:color w:val="auto"/>
              </w:rPr>
              <w:t>Convertible notes</w:t>
            </w:r>
          </w:p>
        </w:tc>
        <w:tc>
          <w:tcPr>
            <w:tcW w:w="180" w:type="dxa"/>
            <w:vAlign w:val="bottom"/>
          </w:tcPr>
          <w:p>
            <w:pPr>
              <w:spacing w:after="0"/>
              <w:rPr>
                <w:sz w:val="22"/>
                <w:szCs w:val="22"/>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425,000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8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debt</w:t>
            </w:r>
          </w:p>
        </w:tc>
        <w:tc>
          <w:tcPr>
            <w:tcW w:w="18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55,278</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51,951</w:t>
            </w:r>
          </w:p>
        </w:tc>
      </w:tr>
      <w:tr>
        <w:trPr>
          <w:trHeight w:val="254"/>
        </w:trPr>
        <w:tc>
          <w:tcPr>
            <w:tcW w:w="6540" w:type="dxa"/>
            <w:vAlign w:val="bottom"/>
          </w:tcPr>
          <w:p>
            <w:pPr>
              <w:ind w:left="20"/>
              <w:spacing w:after="0"/>
              <w:rPr>
                <w:sz w:val="20"/>
                <w:szCs w:val="20"/>
                <w:color w:val="auto"/>
              </w:rPr>
            </w:pPr>
            <w:r>
              <w:rPr>
                <w:rFonts w:ascii="Arial" w:cs="Arial" w:eastAsia="Arial" w:hAnsi="Arial"/>
                <w:sz w:val="20"/>
                <w:szCs w:val="20"/>
                <w:color w:val="auto"/>
              </w:rPr>
              <w:t>Total principal</w:t>
            </w:r>
          </w:p>
        </w:tc>
        <w:tc>
          <w:tcPr>
            <w:tcW w:w="1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719,528</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789,426</w:t>
            </w:r>
          </w:p>
        </w:tc>
      </w:tr>
      <w:tr>
        <w:trPr>
          <w:trHeight w:val="23"/>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6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18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(21,882)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(30,383)</w:t>
            </w:r>
          </w:p>
        </w:tc>
      </w:tr>
      <w:tr>
        <w:trPr>
          <w:trHeight w:val="261"/>
        </w:trPr>
        <w:tc>
          <w:tcPr>
            <w:tcW w:w="6540" w:type="dxa"/>
            <w:vAlign w:val="bottom"/>
          </w:tcPr>
          <w:p>
            <w:pPr>
              <w:ind w:left="20"/>
              <w:spacing w:after="0"/>
              <w:rPr>
                <w:sz w:val="20"/>
                <w:szCs w:val="20"/>
                <w:color w:val="auto"/>
              </w:rPr>
            </w:pPr>
            <w:r>
              <w:rPr>
                <w:rFonts w:ascii="Arial" w:cs="Arial" w:eastAsia="Arial" w:hAnsi="Arial"/>
                <w:sz w:val="20"/>
                <w:szCs w:val="20"/>
                <w:color w:val="auto"/>
              </w:rPr>
              <w:t>Current portion of debt</w:t>
            </w:r>
          </w:p>
        </w:tc>
        <w:tc>
          <w:tcPr>
            <w:tcW w:w="18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(38,767)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(38,691)</w:t>
            </w:r>
          </w:p>
        </w:tc>
      </w:tr>
      <w:tr>
        <w:trPr>
          <w:trHeight w:val="23"/>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30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658,879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720,352</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 The single purpose of the Third Amendment in March 2023 was to replace the former discontinued Senior Secured Credit Facility reference rate of LIBOR, with the comparable active reference rate, SOFR. There were no other changes as a result of the Third Amendment.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Under the Revolving Credit Facility, the Company had no outstanding balance as of both September 30, 2023 and December 31, 2022, $24.9 million and $38.8 million in standby letters of credit at September 30, 2023 and December 31, 2022, respectively, and availability of $175.1 million and $161.2 million at September 30, 2023 and December 31, 2022, respectively. In accordance with the Third Amendment, the Revolving Credit Facility pays interest at the Company’s election, at either (x) for SOFR Loans at Adjusted Term SOFR (as defined in the Credit Agreement) plus 3.25% or (y) for Base Rate Loans at the higher of the Prime Rate, one half of 1.00% above the Federal Funds Rate or the Adjusted Term SOFR for one month interest period, after giving effect to any floor plus 1.00%, plus 2.25%.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3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Term Loan Facility had a balance of $239.3 million and $312.5 million as of September 30, 2023 and December 31, 2022, respectively. The balance of the Term Loan Facility is presented in the accompanying condensed consolidated balance sheets, net of debt discount and issuance costs of $12.0 million and $19.1 million as of September 30, 2023 and December 31, 2022, respectively. In accordance with the Third Amendment, the Term Loan Facility pays interest at the Company’s election, at either</w:t>
      </w:r>
    </w:p>
    <w:p>
      <w:pPr>
        <w:spacing w:after="0" w:line="1"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for SOFR Loans at Adjusted Term SOFR (subject to a floor of 0.50%) plus 3.25% or (y) for Base Rate Loans at the higher of</w:t>
      </w:r>
    </w:p>
    <w:p>
      <w:pPr>
        <w:spacing w:after="0" w:line="3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Prime Rate, one half of 1.00% above the Federal Funds Rate or the Adjusted Term SOFR for one-month interest period, after giving effect to any floor plus 1.00%, plus 2.25%. The debt discount and issuance costs are being amortized using the effective interest method and the effective interest rate of the Term Loan Facility as of September 30, 2023, was 9.95%. The Term Loan Facility has an annual excess cash flow calculation, for which the prescribed formula did not result in requiring the Company to make an advance principal payment for the year ended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December 3, 2021 and December 9, 2021, the Company completed a $425.0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 As of September 30, 2023 and December 31, 2022, the principal balance of the Convertible Notes was $425.0 million with unamortized discount and issuance costs of $9.8 million and $11.3 million, respectively, for a net carrying amount of $415.2 million and $413.8 million, respectively.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conversion rate for the Notes was initially 41.9054 shares of the Company’s common stock per $1,000 principal amount of Notes, which was equivalent to an initial conversion price of approximately $23.86 per share of common stock or 10.1 million shares of common stock. The Convertible Notes were not convertible during the nine months ended September 30, 2023, and none have been converted to date. Also, given that the average market price of the Company’s common stock has not exceeded the exercise price since inception, there was no dilutive impact for the three and nine months ended September 30, 2023.</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$36.02 per share.</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for information regarding the accounting for the Capped Calls.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Other debt consists of the debt obligations of STI. Interest rates on other debt range from 0.55% to 4.41% annually. Of the $55.3 million other debt balance, approximately $45.3 million is denominated in Euros and $10.0 million is denominated in Brazilian Real.</w:t>
      </w:r>
    </w:p>
    <w:p>
      <w:pPr>
        <w:spacing w:after="0" w:line="19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$0.01 million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Company has classified the Series A Shares as temporary equity and is accreting the carrying amount to its full redemption amount from the date of issuance to the earliest redemption date using the effective interest method. Such accretion totaled $18.8 million and $17.2 million for the nine months ended September 30, 2023 and 2022, respectively. Refer to </w:t>
      </w:r>
      <w:r>
        <w:rPr>
          <w:rFonts w:ascii="Arial" w:cs="Arial" w:eastAsia="Arial" w:hAnsi="Arial"/>
          <w:sz w:val="20"/>
          <w:szCs w:val="20"/>
          <w:u w:val="single" w:color="auto"/>
          <w:color w:val="0000FF"/>
        </w:rPr>
        <w:t>Note 2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Summary of Significant Accounting Policies</w:t>
      </w:r>
      <w:r>
        <w:rPr>
          <w:rFonts w:ascii="Arial" w:cs="Arial" w:eastAsia="Arial" w:hAnsi="Arial"/>
          <w:sz w:val="20"/>
          <w:szCs w:val="20"/>
          <w:color w:val="0000FF"/>
        </w:rPr>
        <w:t xml:space="preserve"> </w:t>
      </w:r>
      <w:r>
        <w:rPr>
          <w:rFonts w:ascii="Arial" w:cs="Arial" w:eastAsia="Arial" w:hAnsi="Arial"/>
          <w:sz w:val="20"/>
          <w:szCs w:val="20"/>
          <w:color w:val="000000"/>
        </w:rPr>
        <w:t>for information regarding the accounting for the Put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During the nine months ended September 30, 2023, the Company accrued dividends on the Series A Shares at the Accrued Regular Dividend rate of 6.25% totaling $19.6 million. As of September 30, 2023, total accrued and unpaid dividends were $26.0 million.</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During the six months ended June 30, 2023, the Company paid the Purchasers a per annum cash commitment fee totaling $1.5 million on the unpurchased portion of Put Option. The Put Option expired effective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06"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66"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440" w:type="dxa"/>
            <w:vAlign w:val="bottom"/>
            <w:tcBorders>
              <w:bottom w:val="single" w:sz="8" w:color="auto"/>
            </w:tcBorders>
            <w:gridSpan w:val="5"/>
          </w:tcPr>
          <w:p>
            <w:pPr>
              <w:jc w:val="right"/>
              <w:spacing w:after="0"/>
              <w:rPr>
                <w:sz w:val="20"/>
                <w:szCs w:val="20"/>
                <w:color w:val="auto"/>
              </w:rPr>
            </w:pPr>
            <w:r>
              <w:rPr>
                <w:rFonts w:ascii="Arial" w:cs="Arial" w:eastAsia="Arial" w:hAnsi="Arial"/>
                <w:sz w:val="20"/>
                <w:szCs w:val="20"/>
                <w:b w:val="1"/>
                <w:bCs w:val="1"/>
                <w:color w:val="auto"/>
                <w:w w:val="99"/>
              </w:rPr>
              <w:t>Three Months Ended September 30,</w:t>
            </w:r>
          </w:p>
        </w:tc>
        <w:tc>
          <w:tcPr>
            <w:tcW w:w="80" w:type="dxa"/>
            <w:vAlign w:val="bottom"/>
          </w:tcPr>
          <w:p>
            <w:pPr>
              <w:spacing w:after="0"/>
              <w:rPr>
                <w:sz w:val="23"/>
                <w:szCs w:val="23"/>
                <w:color w:val="auto"/>
              </w:rPr>
            </w:pPr>
          </w:p>
        </w:tc>
        <w:tc>
          <w:tcPr>
            <w:tcW w:w="344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64"/>
        </w:trPr>
        <w:tc>
          <w:tcPr>
            <w:tcW w:w="30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Over time revenue</w:t>
            </w:r>
          </w:p>
        </w:tc>
        <w:tc>
          <w:tcPr>
            <w:tcW w:w="158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321,154</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458,405</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1,120,526</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991,561</w:t>
            </w:r>
          </w:p>
        </w:tc>
      </w:tr>
      <w:tr>
        <w:trPr>
          <w:trHeight w:val="261"/>
        </w:trPr>
        <w:tc>
          <w:tcPr>
            <w:tcW w:w="3080" w:type="dxa"/>
            <w:vAlign w:val="bottom"/>
          </w:tcPr>
          <w:p>
            <w:pPr>
              <w:ind w:left="20"/>
              <w:spacing w:after="0"/>
              <w:rPr>
                <w:sz w:val="20"/>
                <w:szCs w:val="20"/>
                <w:color w:val="auto"/>
              </w:rPr>
            </w:pPr>
            <w:r>
              <w:rPr>
                <w:rFonts w:ascii="Arial" w:cs="Arial" w:eastAsia="Arial" w:hAnsi="Arial"/>
                <w:sz w:val="20"/>
                <w:szCs w:val="20"/>
                <w:color w:val="auto"/>
              </w:rPr>
              <w:t>Point in time revenue</w:t>
            </w: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29,284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242424"/>
              </w:rPr>
              <w:t>56,619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114,410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243,914</w:t>
            </w:r>
          </w:p>
        </w:tc>
      </w:tr>
      <w:tr>
        <w:trPr>
          <w:trHeight w:val="23"/>
        </w:trPr>
        <w:tc>
          <w:tcPr>
            <w:tcW w:w="30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0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158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20"/>
                <w:szCs w:val="20"/>
                <w:color w:val="24242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515,024</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1,234,936</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1,235,475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and the corresponding amounts recorded in revenue relate to fluctuations in the timing and volume of billings.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Contract assets are recorded within accounts receivable, net on the condensed consolidated balance sheets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2023</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7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74,076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101,513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relate to advanced orders and payments received by the Company.</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2"/>
          </w:tcPr>
          <w:p>
            <w:pPr>
              <w:ind w:left="60"/>
              <w:spacing w:after="0"/>
              <w:rPr>
                <w:sz w:val="20"/>
                <w:szCs w:val="20"/>
                <w:color w:val="auto"/>
              </w:rPr>
            </w:pPr>
            <w:r>
              <w:rPr>
                <w:rFonts w:ascii="Arial" w:cs="Arial" w:eastAsia="Arial" w:hAnsi="Arial"/>
                <w:sz w:val="20"/>
                <w:szCs w:val="20"/>
                <w:b w:val="1"/>
                <w:bCs w:val="1"/>
                <w:color w:val="auto"/>
              </w:rPr>
              <w:t>September 30, 2023</w:t>
            </w:r>
          </w:p>
        </w:tc>
        <w:tc>
          <w:tcPr>
            <w:tcW w:w="200" w:type="dxa"/>
            <w:vAlign w:val="bottom"/>
          </w:tcPr>
          <w:p>
            <w:pPr>
              <w:spacing w:after="0"/>
              <w:rPr>
                <w:sz w:val="24"/>
                <w:szCs w:val="24"/>
                <w:color w:val="auto"/>
              </w:rPr>
            </w:pP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75"/>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100,757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178,922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During the nine months ended September 30, 2023, the Company converted $153.9 million in deferred revenue to revenue, which represented 86% of the prior year’s deferred revenue balance.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 During the three and nine months ended September 30, 2023, the Company recognized zero and $22.8 million, respectively, in revenue from a single customer for the sale of goods and services that also contained bill-and-hold obligations such as storage, handling and other custodial duties.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September 30, 2023, the Company had $336.2 million of remaining performance obligations. The Company expects to recognize revenue on 100% of these performance obligations in the next twelve months.</w:t>
      </w:r>
    </w:p>
    <w:p>
      <w:pPr>
        <w:spacing w:after="0" w:line="192"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80" w:type="dxa"/>
            <w:vAlign w:val="bottom"/>
          </w:tcPr>
          <w:p>
            <w:pPr>
              <w:spacing w:after="0"/>
              <w:rPr>
                <w:sz w:val="23"/>
                <w:szCs w:val="23"/>
                <w:color w:val="auto"/>
              </w:rPr>
            </w:pPr>
          </w:p>
        </w:tc>
        <w:tc>
          <w:tcPr>
            <w:tcW w:w="3500" w:type="dxa"/>
            <w:vAlign w:val="bottom"/>
            <w:gridSpan w:val="6"/>
          </w:tcPr>
          <w:p>
            <w:pPr>
              <w:ind w:left="20"/>
              <w:spacing w:after="0"/>
              <w:rPr>
                <w:sz w:val="20"/>
                <w:szCs w:val="20"/>
                <w:color w:val="auto"/>
              </w:rPr>
            </w:pPr>
            <w:r>
              <w:rPr>
                <w:rFonts w:ascii="Arial" w:cs="Arial" w:eastAsia="Arial" w:hAnsi="Arial"/>
                <w:sz w:val="20"/>
                <w:szCs w:val="20"/>
                <w:b w:val="1"/>
                <w:bCs w:val="1"/>
                <w:color w:val="auto"/>
              </w:rPr>
              <w:t>Three Months Ended September 30,</w:t>
            </w:r>
          </w:p>
        </w:tc>
        <w:tc>
          <w:tcPr>
            <w:tcW w:w="3460" w:type="dxa"/>
            <w:vAlign w:val="bottom"/>
            <w:gridSpan w:val="6"/>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63"/>
        </w:trPr>
        <w:tc>
          <w:tcPr>
            <w:tcW w:w="4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w:t>
            </w:r>
          </w:p>
        </w:tc>
        <w:tc>
          <w:tcPr>
            <w:tcW w:w="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40,644</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114,154</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9,683</w:t>
            </w:r>
          </w:p>
        </w:tc>
        <w:tc>
          <w:tcPr>
            <w:tcW w:w="0" w:type="dxa"/>
            <w:vAlign w:val="bottom"/>
          </w:tcPr>
          <w:p>
            <w:pPr>
              <w:spacing w:after="0"/>
              <w:rPr>
                <w:sz w:val="1"/>
                <w:szCs w:val="1"/>
                <w:color w:val="auto"/>
              </w:rPr>
            </w:pPr>
          </w:p>
        </w:tc>
      </w:tr>
      <w:tr>
        <w:trPr>
          <w:trHeight w:val="25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Less: preferred dividends and accretion</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13,091</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12,257</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38,359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36,045</w:t>
            </w:r>
          </w:p>
        </w:tc>
        <w:tc>
          <w:tcPr>
            <w:tcW w:w="0" w:type="dxa"/>
            <w:vAlign w:val="bottom"/>
          </w:tcPr>
          <w:p>
            <w:pPr>
              <w:spacing w:after="0"/>
              <w:rPr>
                <w:sz w:val="1"/>
                <w:szCs w:val="1"/>
                <w:color w:val="auto"/>
              </w:rPr>
            </w:pPr>
          </w:p>
        </w:tc>
      </w:tr>
      <w:tr>
        <w:trPr>
          <w:trHeight w:val="27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10,123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28,387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75,795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(26,362)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151,068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150,322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150,865</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8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360" w:type="dxa"/>
            <w:vAlign w:val="bottom"/>
          </w:tcPr>
          <w:p>
            <w:pPr>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0.50</w:t>
            </w:r>
          </w:p>
        </w:tc>
        <w:tc>
          <w:tcPr>
            <w:tcW w:w="80" w:type="dxa"/>
            <w:vAlign w:val="bottom"/>
          </w:tcPr>
          <w:p>
            <w:pPr>
              <w:spacing w:after="0"/>
              <w:rPr>
                <w:sz w:val="22"/>
                <w:szCs w:val="22"/>
                <w:color w:val="auto"/>
              </w:rPr>
            </w:pPr>
          </w:p>
        </w:tc>
        <w:tc>
          <w:tcPr>
            <w:tcW w:w="360" w:type="dxa"/>
            <w:vAlign w:val="bottom"/>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40"/>
              <w:spacing w:after="0"/>
              <w:rPr>
                <w:sz w:val="20"/>
                <w:szCs w:val="20"/>
                <w:color w:val="auto"/>
              </w:rPr>
            </w:pPr>
            <w:r>
              <w:rPr>
                <w:rFonts w:ascii="Arial" w:cs="Arial" w:eastAsia="Arial" w:hAnsi="Arial"/>
                <w:sz w:val="20"/>
                <w:szCs w:val="20"/>
                <w:color w:val="auto"/>
              </w:rPr>
              <w:t>Effect of restricted stock and performance</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80" w:type="dxa"/>
            <w:vAlign w:val="bottom"/>
          </w:tcPr>
          <w:p>
            <w:pPr>
              <w:ind w:left="240"/>
              <w:spacing w:after="0"/>
              <w:rPr>
                <w:sz w:val="20"/>
                <w:szCs w:val="20"/>
                <w:color w:val="auto"/>
              </w:rPr>
            </w:pPr>
            <w:r>
              <w:rPr>
                <w:rFonts w:ascii="Arial" w:cs="Arial" w:eastAsia="Arial" w:hAnsi="Arial"/>
                <w:sz w:val="20"/>
                <w:szCs w:val="20"/>
                <w:color w:val="auto"/>
              </w:rPr>
              <w:t>awards</w:t>
            </w:r>
          </w:p>
        </w:tc>
        <w:tc>
          <w:tcPr>
            <w:tcW w:w="3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1,255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1,060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1,219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6"/>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152,323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151,382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152,083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149,604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28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0.50</w:t>
            </w:r>
          </w:p>
        </w:tc>
        <w:tc>
          <w:tcPr>
            <w:tcW w:w="80" w:type="dxa"/>
            <w:vAlign w:val="bottom"/>
          </w:tcPr>
          <w:p>
            <w:pPr>
              <w:spacing w:after="0"/>
              <w:rPr>
                <w:sz w:val="22"/>
                <w:szCs w:val="22"/>
                <w:color w:val="auto"/>
              </w:rPr>
            </w:pPr>
          </w:p>
        </w:tc>
        <w:tc>
          <w:tcPr>
            <w:tcW w:w="36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Potentially dilutive common shares issuable pursuant to equity-based awards of 108,111 were not included for the nine months ended September 30, 2022, as their potential effect was anti-dilutive given the Company generated a net loss to common shareholders.</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There were no potentially dilutive common shares issuable pursuant to the Convertible Notes for both the nine months ended September 30, 2023 and 2022, as the average market price of the Company’s common stock has not exceeded the exercise price since their issuance.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8" w:name="page29"/>
    <w:bookmarkEnd w:id="28"/>
    <w:p>
      <w:pPr>
        <w:spacing w:after="0" w:line="306"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30, 2017, the Company filed its first amended complaint in the U.S. District Court for the District of New Mexico against Nextracker LLC, Daniel S. Shugar, Marco Garcia, Flextronics International U.S.A., Inc., Scott Graybeal and Colin Mitchell (collectively, the “Defendants”) asserting (among other claims) trade secret misappropriation, tortious interference with contract, fraud, and breach of contract (the “Nextracker Litigation”). On July 15, 2022, the Company settled its claims against Defendants for $42.8 million and received payment on August 4, 2022.</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 (5) gross mismanagement, (6) corporate waste, (7) aiding and abetting breach of fiduciary duty, and (8) contribution under sections 10(b) and 21D of the Securities Exchange Act of 1934.</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1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false/misleading proxy statement, (2) breach of fiduciary duty, and (3) aiding and abetting breaches of fiduciary duty. On August 24, 2021, the Second SDNY Derivative Action was consolidated with the First SDNY Derivative Action (the “Consolidated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December 7, 2021, an amended class action complaint was filed by lead plaintiffs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October 17, 2022, the Company and other defendants in the Plymouth Action filed a joint motion to dismiss (the “Motion to Dismiss”) the Consolidated Amended Complaint. The lead plaintiff filed a motion opposing the Motion to Dismiss on December 16, 2022, and the Company and other defendants filed a reply in support of the motion to dismiss on January 17, 2023.</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May 19, 2023, the Court in the Plymouth Action granted the Company’s Motion to Dismiss. On July 5, 2023, the Court denied the lead plaintiffs’ request for leave to amend the Consolidated Amended Complaint and dismissed the Plymouth Action with prejudice.</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 (the “Second Circuit Appeal”).</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On September 11, 2023, pursuant to a scheduling request filed by lead plaintiffs, the United States Court of Appeals for the Second Circuit ordered lead plaintiffs to file their opening brief in the Second Circuit Appeal by November 17, 2023.</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August 11, 2022, a second verified derivative complaint was filed against certain officers and directors of the Company Court of Chancery, asserting claims for: (1) breach of fiduciary duty; (2) aiding and abetting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breaches of fiduciary duty; (3) waste of corporate assets; (4) unjust enrichment; (5) insider selling; and (6) aiding and abetting insider selling (“Second Delaware Derivative Action”).</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September 2, 2022, the Second Delaware Derivative Action was consolidated with the First Delaware Derivative Action (the “Consolidated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Consolidated Amended Complaint in the Plymouth Action, (b) to the extent the Consolidated Amended Complaint in the Plymouth Action is further amended, the entry of an order on any motions to dismiss any such amended complaints in the Plymouth Action, or (c) the public announcement of a settlement of the Plymouth Action.</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stays in both the Consolidated SDNY Derivative Action and the Consolidated Delaware Derivative Action remain in place following the dismissal of the Plymouth Action during the pendency of the Second Circuit Appeal.</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September 30, 2023.</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September 30, 2023 and December 31, 2022, the fair value of the TRA was $9.6 million and $8.6 million, respectively.</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300" w:type="dxa"/>
            <w:vAlign w:val="bottom"/>
          </w:tcPr>
          <w:p>
            <w:pPr>
              <w:spacing w:after="0"/>
              <w:rPr>
                <w:sz w:val="23"/>
                <w:szCs w:val="23"/>
                <w:color w:val="auto"/>
              </w:rPr>
            </w:pPr>
          </w:p>
        </w:tc>
        <w:tc>
          <w:tcPr>
            <w:tcW w:w="3520" w:type="dxa"/>
            <w:vAlign w:val="bottom"/>
            <w:gridSpan w:val="6"/>
          </w:tcPr>
          <w:p>
            <w:pPr>
              <w:jc w:val="right"/>
              <w:ind w:right="120"/>
              <w:spacing w:after="0"/>
              <w:rPr>
                <w:sz w:val="20"/>
                <w:szCs w:val="20"/>
                <w:color w:val="auto"/>
              </w:rPr>
            </w:pPr>
            <w:r>
              <w:rPr>
                <w:rFonts w:ascii="Arial" w:cs="Arial" w:eastAsia="Arial" w:hAnsi="Arial"/>
                <w:sz w:val="20"/>
                <w:szCs w:val="20"/>
                <w:b w:val="1"/>
                <w:bCs w:val="1"/>
                <w:color w:val="auto"/>
                <w:w w:val="99"/>
              </w:rPr>
              <w:t>Three Months Ended September 30,</w:t>
            </w:r>
          </w:p>
        </w:tc>
        <w:tc>
          <w:tcPr>
            <w:tcW w:w="342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3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080" w:type="dxa"/>
            <w:vAlign w:val="bottom"/>
            <w:shd w:val="clear" w:color="auto" w:fill="CCEEFF"/>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9"/>
              </w:rPr>
              <w:t>9,429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shd w:val="clear" w:color="auto" w:fill="CCEEFF"/>
          </w:tcPr>
          <w:p>
            <w:pPr>
              <w:jc w:val="center"/>
              <w:ind w:left="541"/>
              <w:spacing w:after="0"/>
              <w:rPr>
                <w:sz w:val="20"/>
                <w:szCs w:val="20"/>
                <w:color w:val="auto"/>
              </w:rPr>
            </w:pPr>
            <w:r>
              <w:rPr>
                <w:rFonts w:ascii="Arial" w:cs="Arial" w:eastAsia="Arial" w:hAnsi="Arial"/>
                <w:sz w:val="20"/>
                <w:szCs w:val="20"/>
                <w:color w:val="auto"/>
                <w:w w:val="99"/>
              </w:rPr>
              <w:t>8,587</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14,577</w:t>
            </w:r>
          </w:p>
        </w:tc>
      </w:tr>
      <w:tr>
        <w:trPr>
          <w:trHeight w:val="279"/>
        </w:trPr>
        <w:tc>
          <w:tcPr>
            <w:tcW w:w="4300" w:type="dxa"/>
            <w:vAlign w:val="bottom"/>
          </w:tcPr>
          <w:p>
            <w:pPr>
              <w:ind w:left="140"/>
              <w:spacing w:after="0"/>
              <w:rPr>
                <w:sz w:val="20"/>
                <w:szCs w:val="20"/>
                <w:color w:val="auto"/>
              </w:rPr>
            </w:pPr>
            <w:r>
              <w:rPr>
                <w:rFonts w:ascii="Arial" w:cs="Arial" w:eastAsia="Arial" w:hAnsi="Arial"/>
                <w:sz w:val="20"/>
                <w:szCs w:val="20"/>
                <w:color w:val="auto"/>
              </w:rPr>
              <w:t>Payments</w:t>
            </w:r>
          </w:p>
        </w:tc>
        <w:tc>
          <w:tcPr>
            <w:tcW w:w="10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00" w:type="dxa"/>
            <w:vAlign w:val="bottom"/>
          </w:tcPr>
          <w:p>
            <w:pPr>
              <w:jc w:val="center"/>
              <w:ind w:left="541"/>
              <w:spacing w:after="0"/>
              <w:rPr>
                <w:sz w:val="20"/>
                <w:szCs w:val="20"/>
                <w:color w:val="auto"/>
              </w:rPr>
            </w:pPr>
            <w:r>
              <w:rPr>
                <w:rFonts w:ascii="Arial" w:cs="Arial" w:eastAsia="Arial" w:hAnsi="Arial"/>
                <w:sz w:val="20"/>
                <w:szCs w:val="20"/>
                <w:color w:val="auto"/>
                <w:w w:val="97"/>
              </w:rPr>
              <w:t>(1,200)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(1,483)</w:t>
            </w:r>
          </w:p>
        </w:tc>
      </w:tr>
      <w:tr>
        <w:trPr>
          <w:trHeight w:val="283"/>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10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(572)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center"/>
              <w:ind w:left="541"/>
              <w:spacing w:after="0"/>
              <w:rPr>
                <w:sz w:val="20"/>
                <w:szCs w:val="20"/>
                <w:color w:val="auto"/>
              </w:rPr>
            </w:pPr>
            <w:r>
              <w:rPr>
                <w:rFonts w:ascii="Arial" w:cs="Arial" w:eastAsia="Arial" w:hAnsi="Arial"/>
                <w:sz w:val="20"/>
                <w:szCs w:val="20"/>
                <w:color w:val="auto"/>
                <w:w w:val="99"/>
              </w:rPr>
              <w:t>2,232</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(5,981)</w:t>
            </w:r>
          </w:p>
        </w:tc>
      </w:tr>
      <w:tr>
        <w:trPr>
          <w:trHeight w:val="282"/>
        </w:trPr>
        <w:tc>
          <w:tcPr>
            <w:tcW w:w="43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080" w:type="dxa"/>
            <w:vAlign w:val="bottom"/>
            <w:tcBorders>
              <w:bottom w:val="single" w:sz="8" w:color="auto"/>
            </w:tcBorders>
          </w:tcPr>
          <w:p>
            <w:pPr>
              <w:jc w:val="right"/>
              <w:ind w:right="861"/>
              <w:spacing w:after="0"/>
              <w:rPr>
                <w:sz w:val="20"/>
                <w:szCs w:val="20"/>
                <w:color w:val="auto"/>
              </w:rPr>
            </w:pPr>
            <w:r>
              <w:rPr>
                <w:rFonts w:ascii="Arial" w:cs="Arial" w:eastAsia="Arial" w:hAnsi="Arial"/>
                <w:sz w:val="20"/>
                <w:szCs w:val="20"/>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9,619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7,113</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Borders>
              <w:bottom w:val="single" w:sz="8" w:color="auto"/>
            </w:tcBorders>
          </w:tcPr>
          <w:p>
            <w:pPr>
              <w:jc w:val="center"/>
              <w:ind w:left="541"/>
              <w:spacing w:after="0"/>
              <w:rPr>
                <w:sz w:val="20"/>
                <w:szCs w:val="20"/>
                <w:color w:val="auto"/>
              </w:rPr>
            </w:pPr>
            <w:r>
              <w:rPr>
                <w:rFonts w:ascii="Arial" w:cs="Arial" w:eastAsia="Arial" w:hAnsi="Arial"/>
                <w:sz w:val="20"/>
                <w:szCs w:val="20"/>
                <w:color w:val="auto"/>
                <w:w w:val="99"/>
              </w:rPr>
              <w:t>9,619</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7,113</w:t>
            </w:r>
          </w:p>
        </w:tc>
      </w:tr>
      <w:tr>
        <w:trPr>
          <w:trHeight w:val="21"/>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As of September 30, 2023, the Company posted surety bonds in the total amount of $217.6 million. The Company is required to provide surety bonds to various parties as required for certain transactions initiated during the ordinary course of business to guarantee the Company’s performance in accordance with contractual or legal obligations. These off-balance sheet arrangements do not adversely impact the Company’s liquidity or capital resources.</w:t>
      </w:r>
    </w:p>
    <w:p>
      <w:pPr>
        <w:spacing w:after="0" w:line="20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5"/>
          </w:tcPr>
          <w:p>
            <w:pPr>
              <w:ind w:left="660"/>
              <w:spacing w:after="0"/>
              <w:rPr>
                <w:sz w:val="20"/>
                <w:szCs w:val="20"/>
                <w:color w:val="auto"/>
              </w:rPr>
            </w:pPr>
            <w:r>
              <w:rPr>
                <w:rFonts w:ascii="Arial" w:cs="Arial" w:eastAsia="Arial" w:hAnsi="Arial"/>
                <w:sz w:val="20"/>
                <w:szCs w:val="20"/>
                <w:b w:val="1"/>
                <w:bCs w:val="1"/>
                <w:color w:val="auto"/>
              </w:rPr>
              <w:t>September 30, 2023</w:t>
            </w:r>
          </w:p>
        </w:tc>
        <w:tc>
          <w:tcPr>
            <w:tcW w:w="140" w:type="dxa"/>
            <w:vAlign w:val="bottom"/>
          </w:tcPr>
          <w:p>
            <w:pPr>
              <w:spacing w:after="0"/>
              <w:rPr>
                <w:sz w:val="24"/>
                <w:szCs w:val="24"/>
                <w:color w:val="auto"/>
              </w:rPr>
            </w:pPr>
          </w:p>
        </w:tc>
        <w:tc>
          <w:tcPr>
            <w:tcW w:w="33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December 31, 2022</w:t>
            </w:r>
          </w:p>
        </w:tc>
      </w:tr>
      <w:tr>
        <w:trPr>
          <w:trHeight w:val="257"/>
        </w:trPr>
        <w:tc>
          <w:tcPr>
            <w:tcW w:w="42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Carrying Value</w:t>
            </w:r>
          </w:p>
        </w:tc>
        <w:tc>
          <w:tcPr>
            <w:tcW w:w="24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Fair Value</w:t>
            </w:r>
          </w:p>
        </w:tc>
      </w:tr>
      <w:tr>
        <w:trPr>
          <w:trHeight w:val="250"/>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415,158</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485,563</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413,752</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430,236</w:t>
            </w:r>
          </w:p>
        </w:tc>
      </w:tr>
    </w:tbl>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820" w:type="dxa"/>
            <w:vAlign w:val="bottom"/>
            <w:gridSpan w:val="7"/>
          </w:tcPr>
          <w:p>
            <w:pPr>
              <w:spacing w:after="0"/>
              <w:rPr>
                <w:sz w:val="20"/>
                <w:szCs w:val="20"/>
                <w:color w:val="auto"/>
              </w:rPr>
            </w:pPr>
            <w:r>
              <w:rPr>
                <w:rFonts w:ascii="Arial" w:cs="Arial" w:eastAsia="Arial" w:hAnsi="Arial"/>
                <w:sz w:val="20"/>
                <w:szCs w:val="20"/>
                <w:color w:val="auto"/>
              </w:rPr>
              <w:t>The following table summarizes the activity related to the Capped Calls (in thousands):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4"/>
                <w:szCs w:val="24"/>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20" w:type="dxa"/>
            <w:vAlign w:val="bottom"/>
            <w:gridSpan w:val="5"/>
          </w:tcPr>
          <w:p>
            <w:pPr>
              <w:jc w:val="right"/>
              <w:spacing w:after="0"/>
              <w:rPr>
                <w:sz w:val="20"/>
                <w:szCs w:val="20"/>
                <w:color w:val="auto"/>
              </w:rPr>
            </w:pPr>
            <w:r>
              <w:rPr>
                <w:rFonts w:ascii="Arial" w:cs="Arial" w:eastAsia="Arial" w:hAnsi="Arial"/>
                <w:sz w:val="20"/>
                <w:szCs w:val="20"/>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7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64,014</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71"/>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300" w:type="dxa"/>
            <w:vAlign w:val="bottom"/>
          </w:tcPr>
          <w:p>
            <w:pPr>
              <w:ind w:left="140"/>
              <w:spacing w:after="0"/>
              <w:rPr>
                <w:sz w:val="20"/>
                <w:szCs w:val="20"/>
                <w:color w:val="auto"/>
              </w:rPr>
            </w:pPr>
            <w:r>
              <w:rPr>
                <w:rFonts w:ascii="Arial" w:cs="Arial" w:eastAsia="Arial" w:hAnsi="Arial"/>
                <w:sz w:val="20"/>
                <w:szCs w:val="20"/>
                <w:color w:val="auto"/>
              </w:rPr>
              <w:t>Change in fair value gain and loss</w:t>
            </w: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2"/>
          </w:tcPr>
          <w:p>
            <w:pPr>
              <w:ind w:left="104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(1,140)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140"/>
              <w:spacing w:after="0" w:line="203" w:lineRule="exact"/>
              <w:rPr>
                <w:sz w:val="20"/>
                <w:szCs w:val="20"/>
                <w:color w:val="auto"/>
              </w:rPr>
            </w:pPr>
            <w:r>
              <w:rPr>
                <w:rFonts w:ascii="Arial" w:cs="Arial" w:eastAsia="Arial" w:hAnsi="Arial"/>
                <w:sz w:val="20"/>
                <w:szCs w:val="20"/>
                <w:color w:val="auto"/>
              </w:rPr>
              <w:t>Change due to correction of errors (see Note</w:t>
            </w:r>
          </w:p>
        </w:tc>
        <w:tc>
          <w:tcPr>
            <w:tcW w:w="3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65,270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4300" w:type="dxa"/>
            <w:vAlign w:val="bottom"/>
            <w:shd w:val="clear" w:color="auto" w:fill="CCEEFF"/>
          </w:tcPr>
          <w:p>
            <w:pPr>
              <w:ind w:left="140"/>
              <w:spacing w:after="0"/>
              <w:rPr>
                <w:sz w:val="20"/>
                <w:szCs w:val="20"/>
                <w:color w:val="auto"/>
              </w:rPr>
            </w:pPr>
            <w:r>
              <w:rPr>
                <w:rFonts w:ascii="Arial" w:cs="Arial" w:eastAsia="Arial" w:hAnsi="Arial"/>
                <w:sz w:val="20"/>
                <w:szCs w:val="20"/>
                <w:color w:val="auto"/>
              </w:rPr>
              <w:t>1)</w:t>
            </w:r>
          </w:p>
        </w:tc>
        <w:tc>
          <w:tcPr>
            <w:tcW w:w="36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30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64,130</w:t>
            </w:r>
          </w:p>
        </w:tc>
        <w:tc>
          <w:tcPr>
            <w:tcW w:w="80" w:type="dxa"/>
            <w:vAlign w:val="bottom"/>
          </w:tcPr>
          <w:p>
            <w:pPr>
              <w:spacing w:after="0"/>
              <w:rPr>
                <w:sz w:val="23"/>
                <w:szCs w:val="23"/>
                <w:color w:val="auto"/>
              </w:rPr>
            </w:pP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400" w:type="dxa"/>
            <w:vAlign w:val="bottom"/>
            <w:gridSpan w:val="2"/>
          </w:tcPr>
          <w:p>
            <w:pPr>
              <w:ind w:left="104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61"/>
              <w:spacing w:after="0"/>
              <w:rPr>
                <w:sz w:val="20"/>
                <w:szCs w:val="20"/>
                <w:color w:val="auto"/>
              </w:rPr>
            </w:pPr>
            <w:r>
              <w:rPr>
                <w:rFonts w:ascii="Arial" w:cs="Arial" w:eastAsia="Arial" w:hAnsi="Arial"/>
                <w:sz w:val="20"/>
                <w:szCs w:val="20"/>
                <w:color w:val="auto"/>
                <w:w w:val="71"/>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64,130</w:t>
            </w:r>
          </w:p>
        </w:tc>
        <w:tc>
          <w:tcPr>
            <w:tcW w:w="80" w:type="dxa"/>
            <w:vAlign w:val="bottom"/>
          </w:tcPr>
          <w:p>
            <w:pPr>
              <w:spacing w:after="0"/>
              <w:rPr>
                <w:sz w:val="23"/>
                <w:szCs w:val="23"/>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Capped Calls are valued using a Black-Scholes model, with the most judgmental unobservable input being the volatility measure. The value of the Capped Call is determined using unobservable inputs and is considered to be a Level 3 value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fair value of the Term Loans and Other Debt is estimated using Level 2 inputs. The carrying values of the Term Loans outstanding under the Senior Secured Credit facility recorded in the condensed consolidated balance sheets approximate fair value due to the variable nature of the interest rates.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Other Debt totaling $55.3 million, consists of $40.0 million variable rate obligations and $15.3 million fixed rate obligations. Of the $15.3 million fixed rate obligations, $3.3 million mature in 2023 and $11.9 million mature in 2024. Due to the relative short-term maturity of the fixed rate obligations, the Company believes current carrying value approximates fair value. The carrying value of the $40.0 million variable rate obligations approximate fair value due to the variable nature of the interest rates.</w:t>
      </w:r>
    </w:p>
    <w:p>
      <w:pPr>
        <w:spacing w:after="0" w:line="20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Pursuant to the 2020 Plan, the Company grants restricted stock units (“RSUs”) to employees and members of the Company’s board of directors. The fair value of the RSUs is determined using the market value of the Company’s common stock on the grant date.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nine months ended September 30, 2023,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71"/>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2022</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1,700,824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13.81</w:t>
            </w:r>
          </w:p>
        </w:tc>
        <w:tc>
          <w:tcPr>
            <w:tcW w:w="0" w:type="dxa"/>
            <w:vAlign w:val="bottom"/>
          </w:tcPr>
          <w:p>
            <w:pPr>
              <w:spacing w:after="0"/>
              <w:rPr>
                <w:sz w:val="1"/>
                <w:szCs w:val="1"/>
                <w:color w:val="auto"/>
              </w:rPr>
            </w:pPr>
          </w:p>
        </w:tc>
      </w:tr>
      <w:tr>
        <w:trPr>
          <w:trHeight w:val="279"/>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846,559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17.90</w:t>
            </w:r>
          </w:p>
        </w:tc>
        <w:tc>
          <w:tcPr>
            <w:tcW w:w="0" w:type="dxa"/>
            <w:vAlign w:val="bottom"/>
          </w:tcPr>
          <w:p>
            <w:pPr>
              <w:spacing w:after="0"/>
              <w:rPr>
                <w:sz w:val="1"/>
                <w:szCs w:val="1"/>
                <w:color w:val="auto"/>
              </w:rPr>
            </w:pPr>
          </w:p>
        </w:tc>
      </w:tr>
      <w:tr>
        <w:trPr>
          <w:trHeight w:val="288"/>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(564,358)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r>
        <w:trPr>
          <w:trHeight w:val="279"/>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(135,313)</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18.57</w:t>
            </w:r>
          </w:p>
        </w:tc>
        <w:tc>
          <w:tcPr>
            <w:tcW w:w="0" w:type="dxa"/>
            <w:vAlign w:val="bottom"/>
          </w:tcPr>
          <w:p>
            <w:pPr>
              <w:spacing w:after="0"/>
              <w:rPr>
                <w:sz w:val="1"/>
                <w:szCs w:val="1"/>
                <w:color w:val="auto"/>
              </w:rPr>
            </w:pPr>
          </w:p>
        </w:tc>
      </w:tr>
      <w:tr>
        <w:trPr>
          <w:trHeight w:val="30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2023</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1,847,712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15.73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nine months ended September 30,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94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2023</w:t>
            </w: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Pr>
          <w:p>
            <w:pPr>
              <w:jc w:val="right"/>
              <w:ind w:right="881"/>
              <w:spacing w:after="0"/>
              <w:rPr>
                <w:sz w:val="20"/>
                <w:szCs w:val="20"/>
                <w:color w:val="auto"/>
              </w:rPr>
            </w:pPr>
            <w:r>
              <w:rPr>
                <w:rFonts w:ascii="Arial" w:cs="Arial" w:eastAsia="Arial" w:hAnsi="Arial"/>
                <w:sz w:val="20"/>
                <w:szCs w:val="20"/>
                <w:b w:val="1"/>
                <w:bCs w:val="1"/>
                <w:color w:val="auto"/>
              </w:rPr>
              <w:t>2022</w:t>
            </w:r>
          </w:p>
        </w:tc>
      </w:tr>
      <w:tr>
        <w:trPr>
          <w:trHeight w:val="257"/>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15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90 %</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60 %</w:t>
            </w:r>
          </w:p>
        </w:tc>
      </w:tr>
      <w:tr>
        <w:trPr>
          <w:trHeight w:val="261"/>
        </w:trPr>
        <w:tc>
          <w:tcPr>
            <w:tcW w:w="7940" w:type="dxa"/>
            <w:vAlign w:val="bottom"/>
            <w:gridSpan w:val="2"/>
          </w:tcPr>
          <w:p>
            <w:pPr>
              <w:ind w:left="20"/>
              <w:spacing w:after="0"/>
              <w:rPr>
                <w:sz w:val="20"/>
                <w:szCs w:val="20"/>
                <w:color w:val="auto"/>
              </w:rPr>
            </w:pPr>
            <w:r>
              <w:rPr>
                <w:rFonts w:ascii="Arial" w:cs="Arial" w:eastAsia="Arial" w:hAnsi="Arial"/>
                <w:sz w:val="20"/>
                <w:szCs w:val="20"/>
                <w:color w:val="auto"/>
              </w:rPr>
              <w:t>Risk-free interest rate</w:t>
            </w:r>
          </w:p>
        </w:tc>
        <w:tc>
          <w:tcPr>
            <w:tcW w:w="820" w:type="dxa"/>
            <w:vAlign w:val="bottom"/>
          </w:tcPr>
          <w:p>
            <w:pPr>
              <w:jc w:val="right"/>
              <w:spacing w:after="0"/>
              <w:rPr>
                <w:sz w:val="20"/>
                <w:szCs w:val="20"/>
                <w:color w:val="auto"/>
              </w:rPr>
            </w:pPr>
            <w:r>
              <w:rPr>
                <w:rFonts w:ascii="Arial" w:cs="Arial" w:eastAsia="Arial" w:hAnsi="Arial"/>
                <w:sz w:val="20"/>
                <w:szCs w:val="20"/>
                <w:color w:val="auto"/>
              </w:rPr>
              <w:t>3.74 %</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Arial" w:cs="Arial" w:eastAsia="Arial" w:hAnsi="Arial"/>
                <w:sz w:val="20"/>
                <w:szCs w:val="20"/>
                <w:color w:val="auto"/>
              </w:rPr>
              <w:t>2.83 %</w:t>
            </w:r>
          </w:p>
        </w:tc>
      </w:tr>
      <w:tr>
        <w:trPr>
          <w:trHeight w:val="23"/>
        </w:trPr>
        <w:tc>
          <w:tcPr>
            <w:tcW w:w="6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61"/>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 %</w:t>
            </w:r>
          </w:p>
        </w:tc>
        <w:tc>
          <w:tcPr>
            <w:tcW w:w="24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 %</w:t>
            </w:r>
          </w:p>
        </w:tc>
      </w:tr>
      <w:tr>
        <w:trPr>
          <w:trHeight w:val="23"/>
        </w:trPr>
        <w:tc>
          <w:tcPr>
            <w:tcW w:w="6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PSU activity under the 2020 Plan during the nine months ended September 30, 2023,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71"/>
        </w:trPr>
        <w:tc>
          <w:tcPr>
            <w:tcW w:w="6560" w:type="dxa"/>
            <w:vAlign w:val="bottom"/>
            <w:tcBorders>
              <w:bottom w:val="single" w:sz="8" w:color="CCEEFF"/>
            </w:tcBorders>
          </w:tcPr>
          <w:p>
            <w:pPr>
              <w:spacing w:after="0"/>
              <w:rPr>
                <w:sz w:val="23"/>
                <w:szCs w:val="23"/>
                <w:color w:val="auto"/>
              </w:rPr>
            </w:pPr>
          </w:p>
        </w:tc>
        <w:tc>
          <w:tcPr>
            <w:tcW w:w="2300" w:type="dxa"/>
            <w:vAlign w:val="bottom"/>
            <w:tcBorders>
              <w:bottom w:val="single" w:sz="8" w:color="auto"/>
            </w:tcBorders>
            <w:vMerge w:val="continue"/>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2022</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464,393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11.96</w:t>
            </w:r>
          </w:p>
        </w:tc>
        <w:tc>
          <w:tcPr>
            <w:tcW w:w="0" w:type="dxa"/>
            <w:vAlign w:val="bottom"/>
          </w:tcPr>
          <w:p>
            <w:pPr>
              <w:spacing w:after="0"/>
              <w:rPr>
                <w:sz w:val="1"/>
                <w:szCs w:val="1"/>
                <w:color w:val="auto"/>
              </w:rPr>
            </w:pPr>
          </w:p>
        </w:tc>
      </w:tr>
      <w:tr>
        <w:trPr>
          <w:trHeight w:val="279"/>
        </w:trPr>
        <w:tc>
          <w:tcPr>
            <w:tcW w:w="65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ind w:right="1"/>
              <w:spacing w:after="0"/>
              <w:rPr>
                <w:sz w:val="20"/>
                <w:szCs w:val="20"/>
                <w:color w:val="auto"/>
              </w:rPr>
            </w:pPr>
            <w:r>
              <w:rPr>
                <w:rFonts w:ascii="Arial" w:cs="Arial" w:eastAsia="Arial" w:hAnsi="Arial"/>
                <w:sz w:val="20"/>
                <w:szCs w:val="20"/>
                <w:color w:val="auto"/>
              </w:rPr>
              <w:t>263,594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19.22</w:t>
            </w:r>
          </w:p>
        </w:tc>
        <w:tc>
          <w:tcPr>
            <w:tcW w:w="0" w:type="dxa"/>
            <w:vAlign w:val="bottom"/>
          </w:tcPr>
          <w:p>
            <w:pPr>
              <w:spacing w:after="0"/>
              <w:rPr>
                <w:sz w:val="1"/>
                <w:szCs w:val="1"/>
                <w:color w:val="auto"/>
              </w:rPr>
            </w:pPr>
          </w:p>
        </w:tc>
      </w:tr>
      <w:tr>
        <w:trPr>
          <w:trHeight w:val="288"/>
        </w:trPr>
        <w:tc>
          <w:tcPr>
            <w:tcW w:w="65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(33,176)</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18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15.15</w:t>
            </w:r>
          </w:p>
        </w:tc>
        <w:tc>
          <w:tcPr>
            <w:tcW w:w="0" w:type="dxa"/>
            <w:vAlign w:val="bottom"/>
          </w:tcPr>
          <w:p>
            <w:pPr>
              <w:spacing w:after="0"/>
              <w:rPr>
                <w:sz w:val="1"/>
                <w:szCs w:val="1"/>
                <w:color w:val="auto"/>
              </w:rPr>
            </w:pPr>
          </w:p>
        </w:tc>
      </w:tr>
      <w:tr>
        <w:trPr>
          <w:trHeight w:val="30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Outstanding non-vested, September 30, 2023</w:t>
            </w:r>
          </w:p>
        </w:tc>
        <w:tc>
          <w:tcPr>
            <w:tcW w:w="2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694,811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14.56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months ended September 30, 2023 and 2022, the Company recognized $3.4 million and $4.2 million, respectively, in equity-based compensation expense. For the nine months ended September 30, 2023 and 2022, the Company recognized $11.9 million and $11.7 million, respectively, in equity-based compensation. At September 30, 2023, the Company had $24.7 million of unrecognized compensation costs related to RSUs and PSUs, which are expected to be recognized over approximately 2.0 years and 2.2 years, respectively.</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Segment Reporting</w:t>
      </w:r>
    </w:p>
    <w:p>
      <w:pPr>
        <w:spacing w:after="0" w:line="24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 and reportable segment. Concurrent with the acquisition of STI in January 2022, the Company began operating as two segments; Array Legacy Operations and STI Operations.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certain financial information for the Company’s reportable segments to information presented in its condensed consolidated financial statements for the three and nine months ended September 30,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2023 and 2022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260" w:type="dxa"/>
            <w:vAlign w:val="bottom"/>
          </w:tcPr>
          <w:p>
            <w:pPr>
              <w:spacing w:after="0"/>
              <w:rPr>
                <w:sz w:val="23"/>
                <w:szCs w:val="23"/>
                <w:color w:val="auto"/>
              </w:rPr>
            </w:pPr>
          </w:p>
        </w:tc>
        <w:tc>
          <w:tcPr>
            <w:tcW w:w="3520" w:type="dxa"/>
            <w:vAlign w:val="bottom"/>
            <w:gridSpan w:val="6"/>
          </w:tcPr>
          <w:p>
            <w:pPr>
              <w:ind w:left="40"/>
              <w:spacing w:after="0"/>
              <w:rPr>
                <w:sz w:val="20"/>
                <w:szCs w:val="20"/>
                <w:color w:val="auto"/>
              </w:rPr>
            </w:pPr>
            <w:r>
              <w:rPr>
                <w:rFonts w:ascii="Arial" w:cs="Arial" w:eastAsia="Arial" w:hAnsi="Arial"/>
                <w:sz w:val="20"/>
                <w:szCs w:val="20"/>
                <w:b w:val="1"/>
                <w:bCs w:val="1"/>
                <w:color w:val="auto"/>
              </w:rPr>
              <w:t>Three Months Ended September 30,</w:t>
            </w:r>
          </w:p>
        </w:tc>
        <w:tc>
          <w:tcPr>
            <w:tcW w:w="3460" w:type="dxa"/>
            <w:vAlign w:val="bottom"/>
            <w:gridSpan w:val="5"/>
          </w:tcPr>
          <w:p>
            <w:pPr>
              <w:jc w:val="right"/>
              <w:ind w:right="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4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r>
      <w:tr>
        <w:trPr>
          <w:trHeight w:val="236"/>
        </w:trPr>
        <w:tc>
          <w:tcPr>
            <w:tcW w:w="42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4"/>
        </w:trPr>
        <w:tc>
          <w:tcPr>
            <w:tcW w:w="4260" w:type="dxa"/>
            <w:vAlign w:val="bottom"/>
          </w:tcPr>
          <w:p>
            <w:pPr>
              <w:ind w:left="240"/>
              <w:spacing w:after="0"/>
              <w:rPr>
                <w:sz w:val="20"/>
                <w:szCs w:val="20"/>
                <w:color w:val="auto"/>
              </w:rPr>
            </w:pPr>
            <w:r>
              <w:rPr>
                <w:rFonts w:ascii="Arial" w:cs="Arial" w:eastAsia="Arial" w:hAnsi="Arial"/>
                <w:sz w:val="20"/>
                <w:szCs w:val="20"/>
                <w:color w:val="auto"/>
              </w:rPr>
              <w:t>Array Legacy Operations</w:t>
            </w:r>
          </w:p>
        </w:tc>
        <w:tc>
          <w:tcPr>
            <w:tcW w:w="380" w:type="dxa"/>
            <w:vAlign w:val="bottom"/>
          </w:tcPr>
          <w:p>
            <w:pPr>
              <w:ind w:left="2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244,857</w:t>
            </w:r>
          </w:p>
        </w:tc>
        <w:tc>
          <w:tcPr>
            <w:tcW w:w="80" w:type="dxa"/>
            <w:vAlign w:val="bottom"/>
          </w:tcPr>
          <w:p>
            <w:pPr>
              <w:spacing w:after="0"/>
              <w:rPr>
                <w:sz w:val="22"/>
                <w:szCs w:val="22"/>
                <w:color w:val="auto"/>
              </w:rPr>
            </w:pPr>
          </w:p>
        </w:tc>
        <w:tc>
          <w:tcPr>
            <w:tcW w:w="380" w:type="dxa"/>
            <w:vAlign w:val="bottom"/>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400,463</w:t>
            </w:r>
          </w:p>
        </w:tc>
        <w:tc>
          <w:tcPr>
            <w:tcW w:w="80" w:type="dxa"/>
            <w:vAlign w:val="bottom"/>
          </w:tcPr>
          <w:p>
            <w:pPr>
              <w:spacing w:after="0"/>
              <w:rPr>
                <w:sz w:val="22"/>
                <w:szCs w:val="22"/>
                <w:color w:val="auto"/>
              </w:rPr>
            </w:pP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1"/>
              <w:spacing w:after="0"/>
              <w:rPr>
                <w:sz w:val="20"/>
                <w:szCs w:val="20"/>
                <w:color w:val="auto"/>
              </w:rPr>
            </w:pPr>
            <w:r>
              <w:rPr>
                <w:rFonts w:ascii="Arial" w:cs="Arial" w:eastAsia="Arial" w:hAnsi="Arial"/>
                <w:sz w:val="20"/>
                <w:szCs w:val="20"/>
                <w:color w:val="auto"/>
              </w:rPr>
              <w:t>895,322</w:t>
            </w:r>
          </w:p>
        </w:tc>
        <w:tc>
          <w:tcPr>
            <w:tcW w:w="8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998,292</w:t>
            </w:r>
          </w:p>
        </w:tc>
      </w:tr>
      <w:tr>
        <w:trPr>
          <w:trHeight w:val="257"/>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105,581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114,561</w:t>
            </w:r>
          </w:p>
        </w:tc>
        <w:tc>
          <w:tcPr>
            <w:tcW w:w="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339,614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237,183</w:t>
            </w:r>
          </w:p>
        </w:tc>
      </w:tr>
      <w:tr>
        <w:trPr>
          <w:trHeight w:val="253"/>
        </w:trPr>
        <w:tc>
          <w:tcPr>
            <w:tcW w:w="4260" w:type="dxa"/>
            <w:vAlign w:val="bottom"/>
          </w:tcPr>
          <w:p>
            <w:pPr>
              <w:ind w:left="2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350,438</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515,024</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1,234,936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1,235,475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54"/>
        </w:trPr>
        <w:tc>
          <w:tcPr>
            <w:tcW w:w="426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9"/>
        </w:trPr>
        <w:tc>
          <w:tcPr>
            <w:tcW w:w="42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Array Legacy Operations</w:t>
            </w:r>
          </w:p>
        </w:tc>
        <w:tc>
          <w:tcPr>
            <w:tcW w:w="3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58,233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60,281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241,019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108,111</w:t>
            </w:r>
          </w:p>
        </w:tc>
      </w:tr>
      <w:tr>
        <w:trPr>
          <w:trHeight w:val="254"/>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29,146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16,302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90,303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27,727</w:t>
            </w:r>
          </w:p>
        </w:tc>
      </w:tr>
      <w:tr>
        <w:trPr>
          <w:trHeight w:val="27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87,379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76,583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331,322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135,838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973"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230505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right="2100"/>
        <w:spacing w:after="0" w:line="461"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2022 and the related Management’s Discussion and Analysis of Financial Condition and Results of Operations included in our Annual Report on Form 10-K for the year ended December 31, 2022 (“2022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2022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and in our Annual Report on Form 10-K for the fiscal year ended December 31, 2022. Our principal risks include the following:</w:t>
      </w:r>
    </w:p>
    <w:p>
      <w:pPr>
        <w:spacing w:after="0" w:line="334" w:lineRule="exact"/>
        <w:rPr>
          <w:sz w:val="20"/>
          <w:szCs w:val="20"/>
          <w:color w:val="auto"/>
        </w:rPr>
      </w:pPr>
    </w:p>
    <w:p>
      <w:pPr>
        <w:ind w:left="660" w:hanging="328"/>
        <w:spacing w:after="0" w:line="275"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6" w:name="page37"/>
    <w:bookmarkEnd w:id="36"/>
    <w:p>
      <w:pPr>
        <w:ind w:left="328"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pacing w:after="0" w:line="92" w:lineRule="exact"/>
        <w:rPr>
          <w:rFonts w:ascii="Arial" w:cs="Arial" w:eastAsia="Arial" w:hAnsi="Arial"/>
          <w:sz w:val="20"/>
          <w:szCs w:val="20"/>
          <w:color w:val="auto"/>
        </w:rPr>
      </w:pPr>
    </w:p>
    <w:p>
      <w:pPr>
        <w:ind w:left="328" w:hanging="328"/>
        <w:spacing w:after="0"/>
        <w:tabs>
          <w:tab w:leader="none" w:pos="328" w:val="left"/>
        </w:tabs>
        <w:numPr>
          <w:ilvl w:val="0"/>
          <w:numId w:val="20"/>
        </w:numPr>
        <w:rPr>
          <w:rFonts w:ascii="Arial" w:cs="Arial" w:eastAsia="Arial" w:hAnsi="Arial"/>
          <w:sz w:val="22"/>
          <w:szCs w:val="22"/>
          <w:color w:val="231F20"/>
        </w:rPr>
      </w:pPr>
      <w:r>
        <w:rPr>
          <w:rFonts w:ascii="Arial" w:cs="Arial" w:eastAsia="Arial" w:hAnsi="Arial"/>
          <w:sz w:val="20"/>
          <w:szCs w:val="20"/>
          <w:color w:val="auto"/>
        </w:rPr>
        <w:t>competitive pressures within our industry may harm our business, revenues, growth rates and market share;</w:t>
      </w:r>
    </w:p>
    <w:p>
      <w:pPr>
        <w:spacing w:after="0" w:line="113" w:lineRule="exact"/>
        <w:rPr>
          <w:rFonts w:ascii="Arial" w:cs="Arial" w:eastAsia="Arial" w:hAnsi="Arial"/>
          <w:sz w:val="22"/>
          <w:szCs w:val="22"/>
          <w:color w:val="231F20"/>
        </w:rPr>
      </w:pPr>
    </w:p>
    <w:p>
      <w:pPr>
        <w:ind w:left="328"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66" w:lineRule="exact"/>
        <w:rPr>
          <w:rFonts w:ascii="Arial" w:cs="Arial" w:eastAsia="Arial" w:hAnsi="Arial"/>
          <w:sz w:val="20"/>
          <w:szCs w:val="20"/>
          <w:color w:val="auto"/>
        </w:rPr>
      </w:pPr>
    </w:p>
    <w:p>
      <w:pPr>
        <w:ind w:left="328" w:hanging="328"/>
        <w:spacing w:after="0" w:line="289"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failure to retain key personnel or a failure to attract additional qualified personnel may affect our ability to achieve our anticipated level of growth and adversely affect our business;</w:t>
      </w:r>
    </w:p>
    <w:p>
      <w:pPr>
        <w:spacing w:after="0" w:line="53" w:lineRule="exact"/>
        <w:rPr>
          <w:rFonts w:ascii="Arial" w:cs="Arial" w:eastAsia="Arial" w:hAnsi="Arial"/>
          <w:sz w:val="20"/>
          <w:szCs w:val="20"/>
          <w:color w:val="auto"/>
        </w:rPr>
      </w:pPr>
    </w:p>
    <w:p>
      <w:pPr>
        <w:ind w:left="328"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80" w:lineRule="exact"/>
        <w:rPr>
          <w:rFonts w:ascii="Arial" w:cs="Arial" w:eastAsia="Arial" w:hAnsi="Arial"/>
          <w:sz w:val="20"/>
          <w:szCs w:val="20"/>
          <w:color w:val="auto"/>
        </w:rPr>
      </w:pPr>
    </w:p>
    <w:p>
      <w:pPr>
        <w:ind w:left="328"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have and may continue to face challenges in our ability to consolidate the financial reporting of our acquired foreign subsidiaries;</w:t>
      </w:r>
    </w:p>
    <w:p>
      <w:pPr>
        <w:spacing w:after="0" w:line="66" w:lineRule="exact"/>
        <w:rPr>
          <w:rFonts w:ascii="Arial" w:cs="Arial" w:eastAsia="Arial" w:hAnsi="Arial"/>
          <w:sz w:val="20"/>
          <w:szCs w:val="20"/>
          <w:color w:val="auto"/>
        </w:rPr>
      </w:pPr>
    </w:p>
    <w:p>
      <w:pPr>
        <w:ind w:left="328" w:hanging="328"/>
        <w:spacing w:after="0" w:line="289"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65" w:lineRule="exact"/>
        <w:rPr>
          <w:rFonts w:ascii="Arial" w:cs="Arial" w:eastAsia="Arial" w:hAnsi="Arial"/>
          <w:sz w:val="20"/>
          <w:szCs w:val="20"/>
          <w:color w:val="auto"/>
        </w:rPr>
      </w:pPr>
    </w:p>
    <w:p>
      <w:pPr>
        <w:ind w:left="328" w:hanging="328"/>
        <w:spacing w:after="0"/>
        <w:tabs>
          <w:tab w:leader="none" w:pos="328" w:val="left"/>
        </w:tabs>
        <w:numPr>
          <w:ilvl w:val="0"/>
          <w:numId w:val="20"/>
        </w:numPr>
        <w:rPr>
          <w:rFonts w:ascii="Arial" w:cs="Arial" w:eastAsia="Arial" w:hAnsi="Arial"/>
          <w:sz w:val="22"/>
          <w:szCs w:val="22"/>
          <w:color w:val="auto"/>
        </w:rPr>
      </w:pPr>
      <w:r>
        <w:rPr>
          <w:rFonts w:ascii="Arial" w:cs="Arial" w:eastAsia="Arial" w:hAnsi="Arial"/>
          <w:sz w:val="20"/>
          <w:szCs w:val="20"/>
          <w:color w:val="auto"/>
        </w:rPr>
        <w:t>we may experience delays, disruptions or quality control problems in our product development operations;</w:t>
      </w:r>
    </w:p>
    <w:p>
      <w:pPr>
        <w:spacing w:after="0" w:line="113" w:lineRule="exact"/>
        <w:rPr>
          <w:rFonts w:ascii="Arial" w:cs="Arial" w:eastAsia="Arial" w:hAnsi="Arial"/>
          <w:sz w:val="22"/>
          <w:szCs w:val="22"/>
          <w:color w:val="auto"/>
        </w:rPr>
      </w:pPr>
    </w:p>
    <w:p>
      <w:pPr>
        <w:jc w:val="both"/>
        <w:ind w:left="328" w:hanging="328"/>
        <w:spacing w:after="0" w:line="271"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further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71" w:lineRule="exact"/>
        <w:rPr>
          <w:rFonts w:ascii="Arial" w:cs="Arial" w:eastAsia="Arial" w:hAnsi="Arial"/>
          <w:sz w:val="20"/>
          <w:szCs w:val="20"/>
          <w:color w:val="auto"/>
        </w:rPr>
      </w:pPr>
    </w:p>
    <w:p>
      <w:pPr>
        <w:ind w:left="328"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to tax laws and regulations that are applied adversely to us or our customers could materially adversely affect our business, financial condition, results of operations and prospects;</w:t>
      </w:r>
    </w:p>
    <w:p>
      <w:pPr>
        <w:spacing w:after="0" w:line="80" w:lineRule="exact"/>
        <w:rPr>
          <w:rFonts w:ascii="Arial" w:cs="Arial" w:eastAsia="Arial" w:hAnsi="Arial"/>
          <w:sz w:val="20"/>
          <w:szCs w:val="20"/>
          <w:color w:val="auto"/>
        </w:rPr>
      </w:pPr>
    </w:p>
    <w:p>
      <w:pPr>
        <w:jc w:val="both"/>
        <w:ind w:left="328" w:hanging="328"/>
        <w:spacing w:after="0" w:line="264"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91" w:lineRule="exact"/>
        <w:rPr>
          <w:rFonts w:ascii="Arial" w:cs="Arial" w:eastAsia="Arial" w:hAnsi="Arial"/>
          <w:sz w:val="20"/>
          <w:szCs w:val="20"/>
          <w:color w:val="auto"/>
        </w:rPr>
      </w:pPr>
    </w:p>
    <w:p>
      <w:pPr>
        <w:ind w:left="328" w:right="20" w:hanging="328"/>
        <w:spacing w:after="0" w:line="275" w:lineRule="auto"/>
        <w:tabs>
          <w:tab w:leader="none" w:pos="316"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80" w:lineRule="exact"/>
        <w:rPr>
          <w:rFonts w:ascii="Arial" w:cs="Arial" w:eastAsia="Arial" w:hAnsi="Arial"/>
          <w:sz w:val="20"/>
          <w:szCs w:val="20"/>
          <w:color w:val="auto"/>
        </w:rPr>
      </w:pPr>
    </w:p>
    <w:p>
      <w:pPr>
        <w:ind w:left="328" w:right="20" w:hanging="328"/>
        <w:spacing w:after="0" w:line="265" w:lineRule="auto"/>
        <w:tabs>
          <w:tab w:leader="none" w:pos="323" w:val="left"/>
        </w:tabs>
        <w:numPr>
          <w:ilvl w:val="0"/>
          <w:numId w:val="20"/>
        </w:numPr>
        <w:rPr>
          <w:rFonts w:ascii="Arial" w:cs="Arial" w:eastAsia="Arial" w:hAnsi="Arial"/>
          <w:sz w:val="22"/>
          <w:szCs w:val="22"/>
          <w:color w:val="auto"/>
        </w:rPr>
      </w:pPr>
      <w:r>
        <w:rPr>
          <w:rFonts w:ascii="Arial" w:cs="Arial" w:eastAsia="Arial" w:hAnsi="Arial"/>
          <w:sz w:val="20"/>
          <w:szCs w:val="20"/>
          <w:color w:val="auto"/>
        </w:rPr>
        <w:t>changes in the global trade environment, including the imposition of import tariffs or other import restrictions, could adversely affect the amount or timing of our revenues, results of operations or cash flows;</w:t>
      </w:r>
    </w:p>
    <w:p>
      <w:pPr>
        <w:spacing w:after="0" w:line="101" w:lineRule="exact"/>
        <w:rPr>
          <w:rFonts w:ascii="Arial" w:cs="Arial" w:eastAsia="Arial" w:hAnsi="Arial"/>
          <w:sz w:val="22"/>
          <w:szCs w:val="22"/>
          <w:color w:val="auto"/>
        </w:rPr>
      </w:pPr>
    </w:p>
    <w:p>
      <w:pPr>
        <w:jc w:val="both"/>
        <w:ind w:left="328" w:hanging="328"/>
        <w:spacing w:after="0" w:line="257" w:lineRule="auto"/>
        <w:tabs>
          <w:tab w:leader="none" w:pos="323" w:val="left"/>
        </w:tabs>
        <w:numPr>
          <w:ilvl w:val="0"/>
          <w:numId w:val="20"/>
        </w:numPr>
        <w:rPr>
          <w:rFonts w:ascii="Arial" w:cs="Arial" w:eastAsia="Arial" w:hAnsi="Arial"/>
          <w:sz w:val="22"/>
          <w:szCs w:val="22"/>
          <w:color w:val="auto"/>
        </w:rPr>
      </w:pPr>
      <w:r>
        <w:rPr>
          <w:rFonts w:ascii="Arial" w:cs="Arial" w:eastAsia="Arial" w:hAnsi="Arial"/>
          <w:sz w:val="20"/>
          <w:szCs w:val="20"/>
          <w:color w:val="auto"/>
        </w:rPr>
        <w:t>economic, political and market conditions, including the Russian-Ukraine conflict, uncertain credit and global financial markets resulting from increasing inflation and interest rates along with recent bank failures, and the COVID-19 pandemic, have had and could continue to have an adverse effect on our business, results of operations and financial condition, including our revenue growth and profitability, which in turn could adversely affect our stock price;</w:t>
      </w:r>
    </w:p>
    <w:p>
      <w:pPr>
        <w:spacing w:after="0" w:line="110" w:lineRule="exact"/>
        <w:rPr>
          <w:rFonts w:ascii="Arial" w:cs="Arial" w:eastAsia="Arial" w:hAnsi="Arial"/>
          <w:sz w:val="22"/>
          <w:szCs w:val="22"/>
          <w:color w:val="auto"/>
        </w:rPr>
      </w:pPr>
    </w:p>
    <w:p>
      <w:pPr>
        <w:ind w:left="328" w:hanging="328"/>
        <w:spacing w:after="0" w:line="265" w:lineRule="auto"/>
        <w:tabs>
          <w:tab w:leader="none" w:pos="323" w:val="left"/>
        </w:tabs>
        <w:numPr>
          <w:ilvl w:val="0"/>
          <w:numId w:val="20"/>
        </w:numPr>
        <w:rPr>
          <w:rFonts w:ascii="Arial" w:cs="Arial" w:eastAsia="Arial" w:hAnsi="Arial"/>
          <w:sz w:val="22"/>
          <w:szCs w:val="22"/>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64135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23" w:right="339" w:bottom="1440" w:gutter="0" w:footer="0" w:header="0"/>
        </w:sectPr>
      </w:pPr>
    </w:p>
    <w:bookmarkStart w:id="37" w:name="page38"/>
    <w:bookmarkEnd w:id="37"/>
    <w:p>
      <w:pPr>
        <w:ind w:left="660" w:hanging="328"/>
        <w:spacing w:after="0" w:line="26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8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0"/>
          <w:szCs w:val="20"/>
          <w:color w:val="auto"/>
        </w:rPr>
        <w:t>significant changes in the cost of raw materials could adversely affect our financial performance;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0"/>
          <w:szCs w:val="20"/>
          <w:color w:val="auto"/>
        </w:rPr>
        <w:t>we may be unable to remediate our material weaknesses in a timely manner or at all;</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0"/>
          <w:szCs w:val="20"/>
          <w:color w:val="auto"/>
        </w:rPr>
        <w:t>our substantial indebtedness could adversely affect our financial condition;</w:t>
      </w:r>
    </w:p>
    <w:p>
      <w:pPr>
        <w:spacing w:after="0" w:line="113" w:lineRule="exact"/>
        <w:rPr>
          <w:rFonts w:ascii="Arial" w:cs="Arial" w:eastAsia="Arial" w:hAnsi="Arial"/>
          <w:sz w:val="22"/>
          <w:szCs w:val="22"/>
          <w:color w:val="auto"/>
        </w:rPr>
      </w:pPr>
    </w:p>
    <w:p>
      <w:pPr>
        <w:ind w:left="660" w:hanging="328"/>
        <w:spacing w:after="0" w:line="289"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implementation of the Inflation Reduction Act may not deliver as much growth as we are anticipating, and we may not be able to maximize its benefits; and</w:t>
      </w:r>
    </w:p>
    <w:p>
      <w:pPr>
        <w:spacing w:after="0" w:line="67" w:lineRule="exact"/>
        <w:rPr>
          <w:rFonts w:ascii="Arial" w:cs="Arial" w:eastAsia="Arial" w:hAnsi="Arial"/>
          <w:sz w:val="20"/>
          <w:szCs w:val="20"/>
          <w:color w:val="auto"/>
        </w:rPr>
      </w:pPr>
    </w:p>
    <w:p>
      <w:pPr>
        <w:ind w:left="660" w:hanging="328"/>
        <w:spacing w:after="0" w:line="265" w:lineRule="auto"/>
        <w:tabs>
          <w:tab w:leader="none" w:pos="655" w:val="left"/>
        </w:tabs>
        <w:numPr>
          <w:ilvl w:val="0"/>
          <w:numId w:val="21"/>
        </w:numPr>
        <w:rPr>
          <w:rFonts w:ascii="Arial" w:cs="Arial" w:eastAsia="Arial" w:hAnsi="Arial"/>
          <w:sz w:val="22"/>
          <w:szCs w:val="22"/>
          <w:color w:val="auto"/>
        </w:rPr>
      </w:pPr>
      <w:r>
        <w:rPr>
          <w:rFonts w:ascii="Arial" w:cs="Arial" w:eastAsia="Arial" w:hAnsi="Arial"/>
          <w:sz w:val="20"/>
          <w:szCs w:val="20"/>
          <w:color w:val="auto"/>
        </w:rPr>
        <w:t>cybersecurity or other data incidents, including unauthorized disclosure of personal or sensitive data or theft of confidential information could harm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than projects that use “fixed tilt” mounting systems, which do not move. The vast majority of ground mounted solar systems in the U.S. use trackers.</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nine months ended September 30, 2023, we derived 72% and 28% of our revenues from customers in the United States and the rest of the world, respectively. As of September 30, 2023, we had shipped more than 70.0 gigawatts of trackers to customers worldwide, including STI.</w:t>
      </w:r>
    </w:p>
    <w:p>
      <w:pPr>
        <w:spacing w:after="0" w:line="211"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Our corporate headquarters are located in Albuquerque, New Mexico. As of September 30, 2023, we had 1,058 full-time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auto"/>
        </w:rPr>
        <w:t>Acquisition of STI Norland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January 11, 2022, the Company completed its acquisition of STI for purchase consideration of $410.5 million in cash and 13,894,800 shares of the Company’s common stock. The fair value of the purchase consideration was $610.8 million and resulted in the Company owning 100% of the equity interests in STI.</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STI generates revenue through the design, manufacture and sale of its utility-scale solar tracker systems to customers in global markets that include Spain, Brazil, U.S. and South Africa. The integration of STI provides us the opportunity to accelerate our international expansion and better address rising global demand for utility-scale solar projects, particularly in developing countries in South America and Africa.</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Out-of-Period Adjustment for the Correction of Errors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During the first quarter of fiscal year 2023, the Company identified certain errors in its previously issued financial statements that have been corrected through a cumulative out-of-period adjustment in the condensed consolidated financial statements as of and for the three months ended March 31, 2023. The Company has concluded that the cumulative out-of-period adjustment for the correction of these errors is not material to the financial statements for the three months ended March 31, 2023. A summary of these corrections and a summary of the cumulative impact is provided in </w:t>
      </w:r>
      <w:r>
        <w:rPr>
          <w:rFonts w:ascii="Arial" w:cs="Arial" w:eastAsia="Arial" w:hAnsi="Arial"/>
          <w:sz w:val="20"/>
          <w:szCs w:val="20"/>
          <w:u w:val="single" w:color="auto"/>
          <w:color w:val="0000FF"/>
        </w:rPr>
        <w:t>Note 1 – Organization, Business and Out-of-Period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Adjustments</w:t>
      </w:r>
      <w:r>
        <w:rPr>
          <w:rFonts w:ascii="Arial" w:cs="Arial" w:eastAsia="Arial" w:hAnsi="Arial"/>
          <w:sz w:val="20"/>
          <w:szCs w:val="20"/>
          <w:color w:val="0000FF"/>
        </w:rPr>
        <w:t xml:space="preserve"> </w:t>
      </w:r>
      <w:r>
        <w:rPr>
          <w:rFonts w:ascii="Arial" w:cs="Arial" w:eastAsia="Arial" w:hAnsi="Arial"/>
          <w:sz w:val="20"/>
          <w:szCs w:val="20"/>
          <w:color w:val="000000"/>
        </w:rPr>
        <w:t>in Part I of this Quarterly Report.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Inflationary pressures are expected to persist, at least in the near-term, and may continue to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April 1, 2022, the U.S. Department of Commerce (“USDOC”) initiated anti-circumvention inquiries of the U.S. Solar 1 Orders covering merchandise from Vietnam, Malaysia, Thailand, and Cambodia pursuant to Section 781 of the Tariff Act of 1930. The USDOC issued preliminary determinations in these inquiries on December 1, 2022, affirmatively finding that certain photovoltaic solar cells and modules produced in Vietnam, Malaysia, Thailand, and Cambodia using parts and components from China from certain producers and/or exporters, are circumventing the Solar 1 Orders and therefore should be subject to the antidumping and countervailing duty liabilities arising from those orders.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a result of the USDOC’s investigation, we saw a number of projects in our order book initially delayed; however, on June 6, 2022, President Biden issued an emergency declaration delaying the imposition of any cash deposit or duty payment obligations on merchandise subject to these inquiries until the earlier of (i) the expiration of the order on June 6, 2024, or (ii) termination of the emergency declaration by the President. Merchandise from the four subject countries covered under the scope of these inquiries should therefore not be subject to any antidumping or countervailing duty liabilities under the Solar 1 Orders until the termination of the emergency declaration as long as the importer(s) and exporter(s) follow proper certification procedures that will be implemented by the USDOC. On May 3, 2023, however, the U.S. Senate voted to repeal President Biden’s emergency declaration. On May 16, President Biden announced that he had vetoed the U.S. Senate’s actions, and the emergency declaration will remain in place until June of 2024.</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August 18, 2023, the USDOC announced the final determinations in the circumvention inquiries of solar cells and modules from China. The USDOC found that certain Chinese producers were shipping solar products through Cambodia, Malaysia, Thailand, and/or Vietnam for minor processing in an attempt to circumvent</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9" w:name="page40"/>
    <w:bookmarkEnd w:id="39"/>
    <w:p>
      <w:pPr>
        <w:jc w:val="both"/>
        <w:spacing w:after="0" w:line="262" w:lineRule="auto"/>
        <w:rPr>
          <w:sz w:val="20"/>
          <w:szCs w:val="20"/>
          <w:color w:val="auto"/>
        </w:rPr>
      </w:pPr>
      <w:r>
        <w:rPr>
          <w:rFonts w:ascii="Arial" w:cs="Arial" w:eastAsia="Arial" w:hAnsi="Arial"/>
          <w:sz w:val="20"/>
          <w:szCs w:val="20"/>
          <w:color w:val="auto"/>
        </w:rPr>
        <w:t>antidumping and countervailing duties. The final determination affirms the USDOC’s preliminary findings in most respects; however, pursuant to President Biden’s June 6, 2022 emergency declaration, duties will not be collected on any solar module and cell imports from these four countries until June 2024. The repeal of the President’s emergency declaration, and any affirmative determinations made once the suspension is lifted in any event, would have an adverse effect on the global solar energy marketplace, and as such, an adverse effect on our business, financial condition, and results of operations.</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we have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Solar panel imports to the U.S. may also be impacted by the Uyghur Forced Labor Prevention Act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Antidumping and Countervailing Duty Petitions on Aluminum Extrusions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October 4, 2023, domestic producers filed petitions with the USDOC International Trade Commission, seeking antidumping duties on imports of aluminum extrusions from Colombia, the Dominican Republic, Ecuador, India, Indonesia, Italy, Malaysia, Mexico, China, South Korea, Taiwan, Thailand, Turkey, the United Arab Emirates (UAE) and Vietnam, and countervailing duties on such imports from China, Indonesia, Mexico and Turkey.</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merchandise subject to this investigation is aluminum extrusions, regardless of form, finishing or fabrication, whether assembled with other parts or unassembled, whether coated, painted, anodized or thermally improved. Certain components in our trackers, including certain clamps, U-joints, and bearing housings are made using extruded aluminum. It is anticipated that the USDOC will set preliminary countervailing duty rates in March of 2024 and preliminary antidumping rates in May of 2024, with the potential to cover materials imported from December 2023 and February 2024 onward, respectively. We cannot currently predict what, if any, impact the USDOC’s investigation will have on the overall future supply of these components. We continue to monitor developments in the investigation and work to mitigate its impact on our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20"/>
          <w:szCs w:val="20"/>
          <w:color w:val="auto"/>
        </w:rPr>
        <w:t>supply chain, but if we are unable to do so, these antidumping and countervailing duties could negatively impact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Russian-Ukraine Conflict</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ongoing Russian-Ukraine conflict has reduced the availability of material that can be sourced in Europe and, as a result, increased logistics costs for the procurement of certain inputs and materials used in our products. We do not know ultimate severity or duration of the conflict, but we continue to monitor the situation and evaluate our procurement strategy and supply chain as to reduce any negative impact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 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while CPW is calculated by dividing total applicable costs of goods sold by total applicable MWs. These metrics enable us to evaluate trends in pricing, manufacturing cost and customer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Our operating segments generate revenue from the sale of solar tracking systems, parts and services. Our customers include EPCs, utilities, large solar developers and independent power producers. For each individual </w:t>
      </w:r>
      <w:r>
        <w:rPr>
          <w:rFonts w:ascii="Arial" w:cs="Arial" w:eastAsia="Arial" w:hAnsi="Arial"/>
          <w:sz w:val="21"/>
          <w:szCs w:val="21"/>
          <w:color w:val="auto"/>
        </w:rPr>
        <w:t>solar</w:t>
      </w:r>
      <w:r>
        <w:rPr>
          <w:rFonts w:ascii="Arial" w:cs="Arial" w:eastAsia="Arial" w:hAnsi="Arial"/>
          <w:sz w:val="20"/>
          <w:szCs w:val="20"/>
          <w:color w:val="auto"/>
        </w:rPr>
        <w:t xml:space="preserve">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expanding our global footprint to new evolving markets, growing our production and supply chain capabilities to meet demand, and continuing to develop and introduce new and innovative products that address the changing technology and performance requirements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Cost of revenue for both segments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Some of these costs, primarily personnel and depreciation of test and manufacturing equipment, are not directly affected by sales volume.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 We do not currently hedge against changes in the price of raw materials.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addition, cost of revenue includes amortization of developed technology.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General and administrative expenses consist primarily of salaries, benefits and equity-based compensation related to our executive, sales, engineering, finance, human resources, information technology and legal personnel, as well as travel, facility costs, marketing, bad debt provision and professional fees. Further, as a relatively new public company, we may incur additional audit, accounting, tax, legal and other costs related to compliance with applicable securities laws and other regulations, as well as additional insurance, investor relations and other costs associated with being a public company.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Contingent consideration consists of the changes in fair value of the Taxes Receivable Agreement (“TRA”) entered into with Ron P. Corio, a former indirect stockholder, concurrent with the Acquisition of Array Technologies Patent Holdings Co., LLC by our Former Parent, ATI Investment Parent, LLC.</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TRA liability is recorded at fair value and changes in the fair value are recognized in earnings. The TRA will generally provide for the payment by our operating company,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Mr. Corio include the timing of tax payments, a discount rate, book income projections, timing of expected adjustments to calculate taxable income and the projected rate of use for attributes defined in the TRA.</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jc w:val="both"/>
        <w:ind w:right="20"/>
        <w:spacing w:after="0" w:line="275" w:lineRule="auto"/>
        <w:rPr>
          <w:sz w:val="20"/>
          <w:szCs w:val="20"/>
          <w:color w:val="auto"/>
        </w:rPr>
      </w:pPr>
      <w:r>
        <w:rPr>
          <w:rFonts w:ascii="Arial" w:cs="Arial" w:eastAsia="Arial" w:hAnsi="Arial"/>
          <w:sz w:val="20"/>
          <w:szCs w:val="20"/>
          <w:color w:val="auto"/>
        </w:rPr>
        <w:t>Amortization of intangibles consists of customer relationships, contractual backlog, and the STI trade name amortized over their expected period of use.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Interest expense consists of interest and other charges paid in connection with (i) our $575 million senior secured 7-year term loan facility (the “Term Loan Facility”), (ii) our $200 million senior secured 5-year revolving credit facility (the “Revolving Credit Facility” and, together with the Term Loan Facility, the “Senior Secured Credit Facility”), (iii) our 1.00% Convertible Senior Notes due 2028 (the “Convertible Notes”), and (iv) the Other Debt we assumed in connection with the STI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are subject to U.S. federal and state and non-U.S. income taxes. As we expand into additional foreign markets, we may be subject to additional foreign tax.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9"/>
              </w:rPr>
              <w:t>Three Months Ended</w:t>
            </w:r>
          </w:p>
        </w:tc>
        <w:tc>
          <w:tcPr>
            <w:tcW w:w="2360" w:type="dxa"/>
            <w:vAlign w:val="bottom"/>
            <w:gridSpan w:val="4"/>
            <w:vMerge w:val="restart"/>
          </w:tcPr>
          <w:p>
            <w:pPr>
              <w:ind w:left="200"/>
              <w:spacing w:after="0"/>
              <w:rPr>
                <w:sz w:val="20"/>
                <w:szCs w:val="20"/>
                <w:color w:val="auto"/>
              </w:rPr>
            </w:pPr>
            <w:r>
              <w:rPr>
                <w:rFonts w:ascii="Arial" w:cs="Arial" w:eastAsia="Arial" w:hAnsi="Arial"/>
                <w:sz w:val="20"/>
                <w:szCs w:val="20"/>
                <w:b w:val="1"/>
                <w:bCs w:val="1"/>
                <w:color w:val="auto"/>
              </w:rPr>
              <w:t>Increase/(Decrease)</w:t>
            </w:r>
          </w:p>
        </w:tc>
        <w:tc>
          <w:tcPr>
            <w:tcW w:w="258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99"/>
              </w:rPr>
              <w:t>Nine Months Ended</w:t>
            </w:r>
          </w:p>
        </w:tc>
        <w:tc>
          <w:tcPr>
            <w:tcW w:w="160" w:type="dxa"/>
            <w:vAlign w:val="bottom"/>
          </w:tcPr>
          <w:p>
            <w:pPr>
              <w:spacing w:after="0"/>
              <w:rPr>
                <w:sz w:val="19"/>
                <w:szCs w:val="19"/>
                <w:color w:val="auto"/>
              </w:rPr>
            </w:pPr>
          </w:p>
        </w:tc>
        <w:tc>
          <w:tcPr>
            <w:tcW w:w="2120" w:type="dxa"/>
            <w:vAlign w:val="bottom"/>
            <w:gridSpan w:val="3"/>
            <w:vMerge w:val="restart"/>
          </w:tcPr>
          <w:p>
            <w:pPr>
              <w:jc w:val="right"/>
              <w:ind w:right="101"/>
              <w:spacing w:after="0"/>
              <w:rPr>
                <w:sz w:val="20"/>
                <w:szCs w:val="20"/>
                <w:color w:val="auto"/>
              </w:rPr>
            </w:pPr>
            <w:r>
              <w:rPr>
                <w:rFonts w:ascii="Arial" w:cs="Arial" w:eastAsia="Arial" w:hAnsi="Arial"/>
                <w:sz w:val="20"/>
                <w:szCs w:val="20"/>
                <w:b w:val="1"/>
                <w:bCs w:val="1"/>
                <w:color w:val="auto"/>
              </w:rPr>
              <w:t>Increase/(Decrease)</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9"/>
              </w:rPr>
              <w:t>September 30,</w:t>
            </w:r>
          </w:p>
        </w:tc>
        <w:tc>
          <w:tcPr>
            <w:tcW w:w="2360" w:type="dxa"/>
            <w:vAlign w:val="bottom"/>
            <w:gridSpan w:val="4"/>
            <w:vMerge w:val="continue"/>
          </w:tcPr>
          <w:p>
            <w:pPr>
              <w:spacing w:after="0"/>
              <w:rPr>
                <w:sz w:val="22"/>
                <w:szCs w:val="22"/>
                <w:color w:val="auto"/>
              </w:rPr>
            </w:pPr>
          </w:p>
        </w:tc>
        <w:tc>
          <w:tcPr>
            <w:tcW w:w="258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97"/>
              </w:rPr>
              <w:t>September 30,</w:t>
            </w:r>
          </w:p>
        </w:tc>
        <w:tc>
          <w:tcPr>
            <w:tcW w:w="160" w:type="dxa"/>
            <w:vAlign w:val="bottom"/>
          </w:tcPr>
          <w:p>
            <w:pPr>
              <w:spacing w:after="0"/>
              <w:rPr>
                <w:sz w:val="22"/>
                <w:szCs w:val="22"/>
                <w:color w:val="auto"/>
              </w:rPr>
            </w:pPr>
          </w:p>
        </w:tc>
        <w:tc>
          <w:tcPr>
            <w:tcW w:w="21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b w:val="1"/>
                <w:bCs w:val="1"/>
                <w:color w:val="auto"/>
              </w:rPr>
              <w:t>2023</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118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1180" w:type="dxa"/>
            <w:vAlign w:val="bottom"/>
            <w:tcBorders>
              <w:top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2023</w:t>
            </w:r>
          </w:p>
        </w:tc>
        <w:tc>
          <w:tcPr>
            <w:tcW w:w="1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50"/>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515,024</w:t>
            </w:r>
          </w:p>
        </w:tc>
        <w:tc>
          <w:tcPr>
            <w:tcW w:w="8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(164,586)</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8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$ 1,234,936</w:t>
            </w:r>
          </w:p>
        </w:tc>
        <w:tc>
          <w:tcPr>
            <w:tcW w:w="14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$ 1,235,475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(539)</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4"/>
        </w:trPr>
        <w:tc>
          <w:tcPr>
            <w:tcW w:w="1620" w:type="dxa"/>
            <w:vAlign w:val="bottom"/>
          </w:tcPr>
          <w:p>
            <w:pPr>
              <w:ind w:left="20"/>
              <w:spacing w:after="0"/>
              <w:rPr>
                <w:sz w:val="20"/>
                <w:szCs w:val="20"/>
                <w:color w:val="auto"/>
              </w:rPr>
            </w:pPr>
            <w:r>
              <w:rPr>
                <w:rFonts w:ascii="Arial" w:cs="Arial" w:eastAsia="Arial" w:hAnsi="Arial"/>
                <w:sz w:val="20"/>
                <w:szCs w:val="20"/>
                <w:color w:val="auto"/>
              </w:rPr>
              <w:t>Cost of revenue:</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20" w:type="dxa"/>
            <w:vAlign w:val="bottom"/>
            <w:shd w:val="clear" w:color="auto" w:fill="CCEEFF"/>
          </w:tcPr>
          <w:p>
            <w:pPr>
              <w:ind w:left="240"/>
              <w:spacing w:after="0" w:line="201" w:lineRule="exact"/>
              <w:rPr>
                <w:sz w:val="20"/>
                <w:szCs w:val="20"/>
                <w:color w:val="auto"/>
              </w:rPr>
            </w:pPr>
            <w:r>
              <w:rPr>
                <w:rFonts w:ascii="Arial" w:cs="Arial" w:eastAsia="Arial" w:hAnsi="Arial"/>
                <w:sz w:val="20"/>
                <w:szCs w:val="20"/>
                <w:color w:val="auto"/>
              </w:rPr>
              <w:t>Cost of product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240"/>
              <w:spacing w:after="0" w:line="203" w:lineRule="exact"/>
              <w:rPr>
                <w:sz w:val="20"/>
                <w:szCs w:val="20"/>
                <w:color w:val="auto"/>
              </w:rPr>
            </w:pPr>
            <w:r>
              <w:rPr>
                <w:rFonts w:ascii="Arial" w:cs="Arial" w:eastAsia="Arial" w:hAnsi="Arial"/>
                <w:sz w:val="20"/>
                <w:szCs w:val="20"/>
                <w:color w:val="auto"/>
              </w:rPr>
              <w:t>and service</w:t>
            </w:r>
          </w:p>
        </w:tc>
        <w:tc>
          <w:tcPr>
            <w:tcW w:w="1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259,419</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434,801</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(175,382)</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892,696</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1,088,719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(196,023)</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47"/>
        </w:trPr>
        <w:tc>
          <w:tcPr>
            <w:tcW w:w="16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revenue</w:t>
            </w: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240"/>
              <w:spacing w:after="0" w:line="199" w:lineRule="exact"/>
              <w:rPr>
                <w:sz w:val="20"/>
                <w:szCs w:val="20"/>
                <w:color w:val="auto"/>
              </w:rPr>
            </w:pPr>
            <w:r>
              <w:rPr>
                <w:rFonts w:ascii="Arial" w:cs="Arial" w:eastAsia="Arial" w:hAnsi="Arial"/>
                <w:sz w:val="20"/>
                <w:szCs w:val="20"/>
                <w:color w:val="auto"/>
              </w:rPr>
              <w:t>Amortization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40"/>
              <w:spacing w:after="0" w:line="203" w:lineRule="exact"/>
              <w:rPr>
                <w:sz w:val="20"/>
                <w:szCs w:val="20"/>
                <w:color w:val="auto"/>
              </w:rPr>
            </w:pPr>
            <w:r>
              <w:rPr>
                <w:rFonts w:ascii="Arial" w:cs="Arial" w:eastAsia="Arial" w:hAnsi="Arial"/>
                <w:sz w:val="20"/>
                <w:szCs w:val="20"/>
                <w:color w:val="auto"/>
              </w:rPr>
              <w:t>developed</w:t>
            </w: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3,640</w:t>
            </w: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3,640</w:t>
            </w:r>
          </w:p>
        </w:tc>
        <w:tc>
          <w:tcPr>
            <w:tcW w:w="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auto"/>
              </w:rPr>
              <w:t>— %</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1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10,918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47"/>
        </w:trPr>
        <w:tc>
          <w:tcPr>
            <w:tcW w:w="16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technology</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gridSpan w:val="2"/>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620" w:type="dxa"/>
            <w:vAlign w:val="bottom"/>
            <w:shd w:val="clear" w:color="auto" w:fill="CCEEFF"/>
          </w:tcPr>
          <w:p>
            <w:pPr>
              <w:ind w:left="20"/>
              <w:spacing w:after="0" w:line="179" w:lineRule="exact"/>
              <w:rPr>
                <w:sz w:val="20"/>
                <w:szCs w:val="20"/>
                <w:color w:val="auto"/>
              </w:rPr>
            </w:pPr>
            <w:r>
              <w:rPr>
                <w:rFonts w:ascii="Arial" w:cs="Arial" w:eastAsia="Arial" w:hAnsi="Arial"/>
                <w:sz w:val="20"/>
                <w:szCs w:val="20"/>
                <w:color w:val="auto"/>
              </w:rPr>
              <w:t>Total cost of</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263,059</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438,441</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(175,382)</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(40)%</w:t>
            </w:r>
          </w:p>
        </w:tc>
        <w:tc>
          <w:tcPr>
            <w:tcW w:w="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903,614</w:t>
            </w:r>
          </w:p>
        </w:tc>
        <w:tc>
          <w:tcPr>
            <w:tcW w:w="1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1,099,637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(196,023)</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47"/>
        </w:trPr>
        <w:tc>
          <w:tcPr>
            <w:tcW w:w="1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620" w:type="dxa"/>
            <w:vAlign w:val="bottom"/>
          </w:tcPr>
          <w:p>
            <w:pPr>
              <w:ind w:left="600"/>
              <w:spacing w:after="0" w:line="179" w:lineRule="exact"/>
              <w:rPr>
                <w:sz w:val="20"/>
                <w:szCs w:val="20"/>
                <w:color w:val="auto"/>
              </w:rPr>
            </w:pPr>
            <w:r>
              <w:rPr>
                <w:rFonts w:ascii="Arial" w:cs="Arial" w:eastAsia="Arial" w:hAnsi="Arial"/>
                <w:sz w:val="20"/>
                <w:szCs w:val="20"/>
                <w:color w:val="auto"/>
              </w:rPr>
              <w:t>Gross</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87,379</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76,583</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10,796</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14 %</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331,322</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135,838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195,484</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144 %</w:t>
            </w:r>
          </w:p>
        </w:tc>
        <w:tc>
          <w:tcPr>
            <w:tcW w:w="0" w:type="dxa"/>
            <w:vAlign w:val="bottom"/>
          </w:tcPr>
          <w:p>
            <w:pPr>
              <w:spacing w:after="0"/>
              <w:rPr>
                <w:sz w:val="1"/>
                <w:szCs w:val="1"/>
                <w:color w:val="auto"/>
              </w:rPr>
            </w:pPr>
          </w:p>
        </w:tc>
      </w:tr>
      <w:tr>
        <w:trPr>
          <w:trHeight w:val="247"/>
        </w:trPr>
        <w:tc>
          <w:tcPr>
            <w:tcW w:w="1620" w:type="dxa"/>
            <w:vAlign w:val="bottom"/>
            <w:tcBorders>
              <w:bottom w:val="single" w:sz="8" w:color="CCEEFF"/>
            </w:tcBorders>
          </w:tcPr>
          <w:p>
            <w:pPr>
              <w:ind w:left="600"/>
              <w:spacing w:after="0"/>
              <w:rPr>
                <w:sz w:val="20"/>
                <w:szCs w:val="20"/>
                <w:color w:val="auto"/>
              </w:rPr>
            </w:pPr>
            <w:r>
              <w:rPr>
                <w:rFonts w:ascii="Arial" w:cs="Arial" w:eastAsia="Arial" w:hAnsi="Arial"/>
                <w:sz w:val="20"/>
                <w:szCs w:val="20"/>
                <w:color w:val="auto"/>
              </w:rPr>
              <w:t>profit</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CCEEFF"/>
            </w:tcBorders>
            <w:gridSpan w:val="2"/>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62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Operating</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20" w:type="dxa"/>
            <w:vAlign w:val="bottom"/>
          </w:tcPr>
          <w:p>
            <w:pPr>
              <w:ind w:left="20"/>
              <w:spacing w:after="0"/>
              <w:rPr>
                <w:sz w:val="20"/>
                <w:szCs w:val="20"/>
                <w:color w:val="auto"/>
              </w:rPr>
            </w:pPr>
            <w:r>
              <w:rPr>
                <w:rFonts w:ascii="Arial" w:cs="Arial" w:eastAsia="Arial" w:hAnsi="Arial"/>
                <w:sz w:val="20"/>
                <w:szCs w:val="20"/>
                <w:b w:val="1"/>
                <w:bCs w:val="1"/>
                <w:color w:val="auto"/>
              </w:rPr>
              <w:t>expenses:</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General and</w:t>
            </w:r>
          </w:p>
        </w:tc>
        <w:tc>
          <w:tcPr>
            <w:tcW w:w="1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37,432</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38,703</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(1,271)</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115,825</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113,064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2,761</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2 %</w:t>
            </w:r>
          </w:p>
        </w:tc>
        <w:tc>
          <w:tcPr>
            <w:tcW w:w="0" w:type="dxa"/>
            <w:vAlign w:val="bottom"/>
          </w:tcPr>
          <w:p>
            <w:pPr>
              <w:spacing w:after="0"/>
              <w:rPr>
                <w:sz w:val="1"/>
                <w:szCs w:val="1"/>
                <w:color w:val="auto"/>
              </w:rPr>
            </w:pPr>
          </w:p>
        </w:tc>
      </w:tr>
      <w:tr>
        <w:trPr>
          <w:trHeight w:val="247"/>
        </w:trPr>
        <w:tc>
          <w:tcPr>
            <w:tcW w:w="1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administrative</w:t>
            </w: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620" w:type="dxa"/>
            <w:vAlign w:val="bottom"/>
          </w:tcPr>
          <w:p>
            <w:pPr>
              <w:ind w:left="20"/>
              <w:spacing w:after="0" w:line="199" w:lineRule="exact"/>
              <w:rPr>
                <w:sz w:val="20"/>
                <w:szCs w:val="20"/>
                <w:color w:val="auto"/>
              </w:rPr>
            </w:pPr>
            <w:r>
              <w:rPr>
                <w:rFonts w:ascii="Arial" w:cs="Arial" w:eastAsia="Arial" w:hAnsi="Arial"/>
                <w:sz w:val="20"/>
                <w:szCs w:val="20"/>
                <w:color w:val="auto"/>
              </w:rPr>
              <w:t>Change in fair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20"/>
              <w:spacing w:after="0" w:line="203" w:lineRule="exact"/>
              <w:rPr>
                <w:sz w:val="20"/>
                <w:szCs w:val="20"/>
                <w:color w:val="auto"/>
              </w:rPr>
            </w:pPr>
            <w:r>
              <w:rPr>
                <w:rFonts w:ascii="Arial" w:cs="Arial" w:eastAsia="Arial" w:hAnsi="Arial"/>
                <w:sz w:val="20"/>
                <w:szCs w:val="20"/>
                <w:color w:val="auto"/>
              </w:rPr>
              <w:t>value of</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20" w:type="dxa"/>
            <w:vAlign w:val="bottom"/>
          </w:tcPr>
          <w:p>
            <w:pPr>
              <w:ind w:left="20"/>
              <w:spacing w:after="0" w:line="193" w:lineRule="exact"/>
              <w:rPr>
                <w:sz w:val="20"/>
                <w:szCs w:val="20"/>
                <w:color w:val="auto"/>
              </w:rPr>
            </w:pPr>
            <w:r>
              <w:rPr>
                <w:rFonts w:ascii="Arial" w:cs="Arial" w:eastAsia="Arial" w:hAnsi="Arial"/>
                <w:sz w:val="20"/>
                <w:szCs w:val="20"/>
                <w:color w:val="auto"/>
              </w:rPr>
              <w:t>contingent</w:t>
            </w: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190</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(572)</w:t>
            </w:r>
          </w:p>
        </w:tc>
        <w:tc>
          <w:tcPr>
            <w:tcW w:w="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762</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133 %</w:t>
            </w:r>
          </w:p>
        </w:tc>
        <w:tc>
          <w:tcPr>
            <w:tcW w:w="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2,232</w:t>
            </w: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(5,981)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8,213</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137 %</w:t>
            </w:r>
          </w:p>
        </w:tc>
        <w:tc>
          <w:tcPr>
            <w:tcW w:w="0" w:type="dxa"/>
            <w:vAlign w:val="bottom"/>
          </w:tcPr>
          <w:p>
            <w:pPr>
              <w:spacing w:after="0"/>
              <w:rPr>
                <w:sz w:val="1"/>
                <w:szCs w:val="1"/>
                <w:color w:val="auto"/>
              </w:rPr>
            </w:pPr>
          </w:p>
        </w:tc>
      </w:tr>
      <w:tr>
        <w:trPr>
          <w:trHeight w:val="254"/>
        </w:trPr>
        <w:tc>
          <w:tcPr>
            <w:tcW w:w="1620" w:type="dxa"/>
            <w:vAlign w:val="bottom"/>
          </w:tcPr>
          <w:p>
            <w:pPr>
              <w:ind w:left="20"/>
              <w:spacing w:after="0"/>
              <w:rPr>
                <w:sz w:val="20"/>
                <w:szCs w:val="20"/>
                <w:color w:val="auto"/>
              </w:rPr>
            </w:pPr>
            <w:r>
              <w:rPr>
                <w:rFonts w:ascii="Arial" w:cs="Arial" w:eastAsia="Arial" w:hAnsi="Arial"/>
                <w:sz w:val="20"/>
                <w:szCs w:val="20"/>
                <w:color w:val="auto"/>
              </w:rPr>
              <w:t>consideration</w:t>
            </w:r>
          </w:p>
        </w:tc>
        <w:tc>
          <w:tcPr>
            <w:tcW w:w="14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20" w:type="dxa"/>
            <w:vAlign w:val="bottom"/>
            <w:shd w:val="clear" w:color="auto" w:fill="CCEEFF"/>
          </w:tcPr>
          <w:p>
            <w:pPr>
              <w:ind w:left="20"/>
              <w:spacing w:after="0" w:line="201" w:lineRule="exact"/>
              <w:rPr>
                <w:sz w:val="20"/>
                <w:szCs w:val="20"/>
                <w:color w:val="auto"/>
              </w:rPr>
            </w:pPr>
            <w:r>
              <w:rPr>
                <w:rFonts w:ascii="Arial" w:cs="Arial" w:eastAsia="Arial" w:hAnsi="Arial"/>
                <w:sz w:val="20"/>
                <w:szCs w:val="20"/>
                <w:color w:val="auto"/>
              </w:rPr>
              <w:t>Depreciation and</w:t>
            </w:r>
          </w:p>
        </w:tc>
        <w:tc>
          <w:tcPr>
            <w:tcW w:w="14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9,552</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21,258</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(11,706)</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29,361</w:t>
            </w:r>
          </w:p>
        </w:tc>
        <w:tc>
          <w:tcPr>
            <w:tcW w:w="14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63,237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(33,876)</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47"/>
        </w:trPr>
        <w:tc>
          <w:tcPr>
            <w:tcW w:w="1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amortization</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620" w:type="dxa"/>
            <w:vAlign w:val="bottom"/>
          </w:tcPr>
          <w:p>
            <w:pPr>
              <w:ind w:left="240"/>
              <w:spacing w:after="0" w:line="179" w:lineRule="exact"/>
              <w:rPr>
                <w:sz w:val="20"/>
                <w:szCs w:val="20"/>
                <w:color w:val="auto"/>
              </w:rPr>
            </w:pPr>
            <w:r>
              <w:rPr>
                <w:rFonts w:ascii="Arial" w:cs="Arial" w:eastAsia="Arial" w:hAnsi="Arial"/>
                <w:sz w:val="20"/>
                <w:szCs w:val="20"/>
                <w:color w:val="auto"/>
              </w:rPr>
              <w:t>Total operating</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20"/>
                <w:szCs w:val="20"/>
                <w:color w:val="auto"/>
              </w:rPr>
              <w:t>47,174</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59,389</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(12,215)</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(21)%</w:t>
            </w:r>
          </w:p>
        </w:tc>
        <w:tc>
          <w:tcPr>
            <w:tcW w:w="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147,418</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170,320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(22,902)</w:t>
            </w:r>
          </w:p>
        </w:tc>
        <w:tc>
          <w:tcPr>
            <w:tcW w:w="1100" w:type="dxa"/>
            <w:vAlign w:val="bottom"/>
            <w:gridSpan w:val="2"/>
            <w:vMerge w:val="restart"/>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47"/>
        </w:trPr>
        <w:tc>
          <w:tcPr>
            <w:tcW w:w="16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expenses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CCEEFF"/>
            </w:tcBorders>
            <w:gridSpan w:val="2"/>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1700" w:type="dxa"/>
            <w:vAlign w:val="bottom"/>
          </w:tcPr>
          <w:p>
            <w:pPr>
              <w:ind w:left="20"/>
              <w:spacing w:after="0"/>
              <w:rPr>
                <w:sz w:val="20"/>
                <w:szCs w:val="20"/>
                <w:color w:val="auto"/>
              </w:rPr>
            </w:pPr>
            <w:r>
              <w:rPr>
                <w:rFonts w:ascii="Arial" w:cs="Arial" w:eastAsia="Arial" w:hAnsi="Arial"/>
                <w:sz w:val="20"/>
                <w:szCs w:val="20"/>
                <w:color w:val="auto"/>
              </w:rPr>
              <w:t>Income (loss) from</w:t>
            </w:r>
          </w:p>
        </w:tc>
        <w:tc>
          <w:tcPr>
            <w:tcW w:w="1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40,205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17,194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23,011</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134 %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183,904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(34,482)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218,386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633 %</w:t>
            </w:r>
          </w:p>
        </w:tc>
        <w:tc>
          <w:tcPr>
            <w:tcW w:w="0" w:type="dxa"/>
            <w:vAlign w:val="bottom"/>
          </w:tcPr>
          <w:p>
            <w:pPr>
              <w:spacing w:after="0"/>
              <w:rPr>
                <w:sz w:val="1"/>
                <w:szCs w:val="1"/>
                <w:color w:val="auto"/>
              </w:rPr>
            </w:pPr>
          </w:p>
        </w:tc>
      </w:tr>
      <w:tr>
        <w:trPr>
          <w:trHeight w:val="247"/>
        </w:trPr>
        <w:tc>
          <w:tcPr>
            <w:tcW w:w="1700" w:type="dxa"/>
            <w:vAlign w:val="bottom"/>
          </w:tcPr>
          <w:p>
            <w:pPr>
              <w:ind w:left="20"/>
              <w:spacing w:after="0"/>
              <w:rPr>
                <w:sz w:val="20"/>
                <w:szCs w:val="20"/>
                <w:color w:val="auto"/>
              </w:rPr>
            </w:pPr>
            <w:r>
              <w:rPr>
                <w:rFonts w:ascii="Arial" w:cs="Arial" w:eastAsia="Arial" w:hAnsi="Arial"/>
                <w:sz w:val="20"/>
                <w:szCs w:val="20"/>
                <w:color w:val="auto"/>
              </w:rPr>
              <w:t>operations</w:t>
            </w: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line="189" w:lineRule="exact"/>
              <w:rPr>
                <w:sz w:val="20"/>
                <w:szCs w:val="20"/>
                <w:color w:val="auto"/>
              </w:rPr>
            </w:pPr>
            <w:r>
              <w:rPr>
                <w:rFonts w:ascii="Arial" w:cs="Arial" w:eastAsia="Arial" w:hAnsi="Arial"/>
                <w:sz w:val="20"/>
                <w:szCs w:val="20"/>
                <w:b w:val="1"/>
                <w:bCs w:val="1"/>
                <w:color w:val="auto"/>
              </w:rPr>
              <w:t>Other (expense)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20"/>
                <w:szCs w:val="20"/>
                <w:b w:val="1"/>
                <w:bCs w:val="1"/>
                <w:color w:val="auto"/>
              </w:rPr>
              <w:t>income:</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Other (expense),</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(446)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20"/>
                <w:szCs w:val="20"/>
                <w:color w:val="auto"/>
              </w:rPr>
              <w:t>(1,092)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646</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59 %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(2,295)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2,168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247"/>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w:t>
            </w:r>
          </w:p>
        </w:tc>
        <w:tc>
          <w:tcPr>
            <w:tcW w:w="1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700" w:type="dxa"/>
            <w:vAlign w:val="bottom"/>
          </w:tcPr>
          <w:p>
            <w:pPr>
              <w:ind w:left="20"/>
              <w:spacing w:after="0"/>
              <w:rPr>
                <w:sz w:val="20"/>
                <w:szCs w:val="20"/>
                <w:color w:val="auto"/>
              </w:rPr>
            </w:pPr>
            <w:r>
              <w:rPr>
                <w:rFonts w:ascii="Arial" w:cs="Arial" w:eastAsia="Arial" w:hAnsi="Arial"/>
                <w:sz w:val="20"/>
                <w:szCs w:val="20"/>
                <w:color w:val="auto"/>
              </w:rPr>
              <w:t>Interest income</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778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2,647</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(340)%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ind w:right="21"/>
              <w:spacing w:after="0"/>
              <w:rPr>
                <w:sz w:val="20"/>
                <w:szCs w:val="20"/>
                <w:color w:val="auto"/>
              </w:rPr>
            </w:pPr>
            <w:r>
              <w:rPr>
                <w:rFonts w:ascii="Arial" w:cs="Arial" w:eastAsia="Arial" w:hAnsi="Arial"/>
                <w:sz w:val="20"/>
                <w:szCs w:val="20"/>
                <w:color w:val="auto"/>
              </w:rPr>
              <w:t>6,124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2,371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3,753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158 %</w:t>
            </w:r>
          </w:p>
        </w:tc>
        <w:tc>
          <w:tcPr>
            <w:tcW w:w="0" w:type="dxa"/>
            <w:vAlign w:val="bottom"/>
          </w:tcPr>
          <w:p>
            <w:pPr>
              <w:spacing w:after="0"/>
              <w:rPr>
                <w:sz w:val="1"/>
                <w:szCs w:val="1"/>
                <w:color w:val="auto"/>
              </w:rPr>
            </w:pPr>
          </w:p>
        </w:tc>
      </w:tr>
      <w:tr>
        <w:trPr>
          <w:trHeight w:val="259"/>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Legal settlement</w:t>
            </w:r>
          </w:p>
        </w:tc>
        <w:tc>
          <w:tcPr>
            <w:tcW w:w="16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(42,750)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198"/>
        </w:trPr>
        <w:tc>
          <w:tcPr>
            <w:tcW w:w="1700" w:type="dxa"/>
            <w:vAlign w:val="bottom"/>
          </w:tcPr>
          <w:p>
            <w:pPr>
              <w:ind w:left="20"/>
              <w:spacing w:after="0" w:line="199" w:lineRule="exact"/>
              <w:rPr>
                <w:sz w:val="20"/>
                <w:szCs w:val="20"/>
                <w:color w:val="auto"/>
              </w:rPr>
            </w:pPr>
            <w:r>
              <w:rPr>
                <w:rFonts w:ascii="Arial" w:cs="Arial" w:eastAsia="Arial" w:hAnsi="Arial"/>
                <w:sz w:val="20"/>
                <w:szCs w:val="20"/>
                <w:color w:val="auto"/>
              </w:rPr>
              <w:t>Foreign currency</w:t>
            </w: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207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(159)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366</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230 %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1,968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(1,695)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47"/>
        </w:trPr>
        <w:tc>
          <w:tcPr>
            <w:tcW w:w="1700" w:type="dxa"/>
            <w:vAlign w:val="bottom"/>
          </w:tcPr>
          <w:p>
            <w:pPr>
              <w:ind w:left="20"/>
              <w:spacing w:after="0"/>
              <w:rPr>
                <w:sz w:val="20"/>
                <w:szCs w:val="20"/>
                <w:color w:val="auto"/>
              </w:rPr>
            </w:pPr>
            <w:r>
              <w:rPr>
                <w:rFonts w:ascii="Arial" w:cs="Arial" w:eastAsia="Arial" w:hAnsi="Arial"/>
                <w:sz w:val="20"/>
                <w:szCs w:val="20"/>
                <w:color w:val="auto"/>
              </w:rPr>
              <w:t>gain (loss)</w:t>
            </w: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Change in fair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ind w:left="20"/>
              <w:spacing w:after="0" w:line="193" w:lineRule="exact"/>
              <w:rPr>
                <w:sz w:val="20"/>
                <w:szCs w:val="20"/>
                <w:color w:val="auto"/>
              </w:rPr>
            </w:pPr>
            <w:r>
              <w:rPr>
                <w:rFonts w:ascii="Arial" w:cs="Arial" w:eastAsia="Arial" w:hAnsi="Arial"/>
                <w:sz w:val="20"/>
                <w:szCs w:val="20"/>
                <w:color w:val="auto"/>
              </w:rPr>
              <w:t>value of derivative</w:t>
            </w: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116</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100 %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(1,140)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w:t>
            </w:r>
          </w:p>
        </w:tc>
        <w:tc>
          <w:tcPr>
            <w:tcW w:w="16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gridSpan w:val="2"/>
            <w:vMerge w:val="continue"/>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gridSpan w:val="4"/>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Interest expense</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(13,064)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(8,831)</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(4,233)</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(48)%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(23,812)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(49)%</w:t>
            </w:r>
          </w:p>
        </w:tc>
        <w:tc>
          <w:tcPr>
            <w:tcW w:w="0" w:type="dxa"/>
            <w:vAlign w:val="bottom"/>
          </w:tcPr>
          <w:p>
            <w:pPr>
              <w:spacing w:after="0"/>
              <w:rPr>
                <w:sz w:val="1"/>
                <w:szCs w:val="1"/>
                <w:color w:val="auto"/>
              </w:rPr>
            </w:pPr>
          </w:p>
        </w:tc>
      </w:tr>
      <w:tr>
        <w:trPr>
          <w:trHeight w:val="181"/>
        </w:trPr>
        <w:tc>
          <w:tcPr>
            <w:tcW w:w="1700" w:type="dxa"/>
            <w:vAlign w:val="bottom"/>
            <w:shd w:val="clear" w:color="auto" w:fill="CCEEFF"/>
          </w:tcPr>
          <w:p>
            <w:pPr>
              <w:ind w:left="240"/>
              <w:spacing w:after="0" w:line="181" w:lineRule="exact"/>
              <w:rPr>
                <w:sz w:val="20"/>
                <w:szCs w:val="20"/>
                <w:color w:val="auto"/>
              </w:rPr>
            </w:pPr>
            <w:r>
              <w:rPr>
                <w:rFonts w:ascii="Arial" w:cs="Arial" w:eastAsia="Arial" w:hAnsi="Arial"/>
                <w:sz w:val="20"/>
                <w:szCs w:val="20"/>
                <w:color w:val="auto"/>
              </w:rPr>
              <w:t>Total other</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700" w:type="dxa"/>
            <w:vAlign w:val="bottom"/>
            <w:shd w:val="clear" w:color="auto" w:fill="CCEEFF"/>
          </w:tcPr>
          <w:p>
            <w:pPr>
              <w:ind w:left="240"/>
              <w:spacing w:after="0" w:line="193" w:lineRule="exact"/>
              <w:rPr>
                <w:sz w:val="20"/>
                <w:szCs w:val="20"/>
                <w:color w:val="auto"/>
              </w:rPr>
            </w:pPr>
            <w:r>
              <w:rPr>
                <w:rFonts w:ascii="Arial" w:cs="Arial" w:eastAsia="Arial" w:hAnsi="Arial"/>
                <w:sz w:val="20"/>
                <w:szCs w:val="20"/>
                <w:color w:val="auto"/>
              </w:rPr>
              <w:t>(expense)</w:t>
            </w: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(9,762)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33,446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(43,208)</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(129)%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(30,242)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20,982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(51,224)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(244)%</w:t>
            </w: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20"/>
              <w:spacing w:after="0" w:line="179" w:lineRule="exact"/>
              <w:rPr>
                <w:sz w:val="20"/>
                <w:szCs w:val="20"/>
                <w:color w:val="auto"/>
              </w:rPr>
            </w:pPr>
            <w:r>
              <w:rPr>
                <w:rFonts w:ascii="Arial" w:cs="Arial" w:eastAsia="Arial" w:hAnsi="Arial"/>
                <w:sz w:val="20"/>
                <w:szCs w:val="20"/>
                <w:color w:val="auto"/>
              </w:rPr>
              <w:t>Income (loss)</w:t>
            </w: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30,443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50,640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(20,197)</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153,662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(13,500)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167,162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1238 %</w:t>
            </w:r>
          </w:p>
        </w:tc>
        <w:tc>
          <w:tcPr>
            <w:tcW w:w="0" w:type="dxa"/>
            <w:vAlign w:val="bottom"/>
          </w:tcPr>
          <w:p>
            <w:pPr>
              <w:spacing w:after="0"/>
              <w:rPr>
                <w:sz w:val="1"/>
                <w:szCs w:val="1"/>
                <w:color w:val="auto"/>
              </w:rPr>
            </w:pPr>
          </w:p>
        </w:tc>
      </w:tr>
      <w:tr>
        <w:trPr>
          <w:trHeight w:val="247"/>
        </w:trPr>
        <w:tc>
          <w:tcPr>
            <w:tcW w:w="1700" w:type="dxa"/>
            <w:vAlign w:val="bottom"/>
          </w:tcPr>
          <w:p>
            <w:pPr>
              <w:ind w:left="20"/>
              <w:spacing w:after="0"/>
              <w:rPr>
                <w:sz w:val="20"/>
                <w:szCs w:val="20"/>
                <w:color w:val="auto"/>
              </w:rPr>
            </w:pPr>
            <w:r>
              <w:rPr>
                <w:rFonts w:ascii="Arial" w:cs="Arial" w:eastAsia="Arial" w:hAnsi="Arial"/>
                <w:sz w:val="20"/>
                <w:szCs w:val="20"/>
                <w:color w:val="auto"/>
              </w:rPr>
              <w:t>before taxes</w:t>
            </w:r>
          </w:p>
        </w:tc>
        <w:tc>
          <w:tcPr>
            <w:tcW w:w="1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Income tax</w:t>
            </w:r>
          </w:p>
        </w:tc>
        <w:tc>
          <w:tcPr>
            <w:tcW w:w="16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7,229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9,996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(2,767)</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39,508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(23,183)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62,691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270 %</w:t>
            </w:r>
          </w:p>
        </w:tc>
        <w:tc>
          <w:tcPr>
            <w:tcW w:w="0" w:type="dxa"/>
            <w:vAlign w:val="bottom"/>
          </w:tcPr>
          <w:p>
            <w:pPr>
              <w:spacing w:after="0"/>
              <w:rPr>
                <w:sz w:val="1"/>
                <w:szCs w:val="1"/>
                <w:color w:val="auto"/>
              </w:rPr>
            </w:pPr>
          </w:p>
        </w:tc>
      </w:tr>
      <w:tr>
        <w:trPr>
          <w:trHeight w:val="247"/>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 (benefit)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ind w:left="20"/>
              <w:spacing w:after="0"/>
              <w:rPr>
                <w:sz w:val="20"/>
                <w:szCs w:val="20"/>
                <w:color w:val="auto"/>
              </w:rPr>
            </w:pPr>
            <w:r>
              <w:rPr>
                <w:rFonts w:ascii="Arial" w:cs="Arial" w:eastAsia="Arial" w:hAnsi="Arial"/>
                <w:sz w:val="20"/>
                <w:szCs w:val="20"/>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23,214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40,644</w:t>
            </w:r>
          </w:p>
        </w:tc>
        <w:tc>
          <w:tcPr>
            <w:tcW w:w="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(17,430)</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(43)%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114,154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9,683</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104,471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1079 %</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0"/>
        </w:trPr>
        <w:tc>
          <w:tcPr>
            <w:tcW w:w="10480" w:type="dxa"/>
            <w:vAlign w:val="bottom"/>
            <w:gridSpan w:val="30"/>
          </w:tcPr>
          <w:p>
            <w:pPr>
              <w:spacing w:after="0"/>
              <w:rPr>
                <w:sz w:val="20"/>
                <w:szCs w:val="20"/>
                <w:color w:val="auto"/>
              </w:rPr>
            </w:pPr>
            <w:r>
              <w:rPr>
                <w:rFonts w:ascii="Arial" w:cs="Arial" w:eastAsia="Arial" w:hAnsi="Arial"/>
                <w:sz w:val="20"/>
                <w:szCs w:val="20"/>
                <w:color w:val="auto"/>
                <w:w w:val="99"/>
              </w:rPr>
              <w:t>The following table provides details on our operating results by reportable segment for the respective periods (dollars in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00" w:type="dxa"/>
            <w:vAlign w:val="bottom"/>
          </w:tcPr>
          <w:p>
            <w:pPr>
              <w:spacing w:after="0"/>
              <w:rPr>
                <w:sz w:val="20"/>
                <w:szCs w:val="20"/>
                <w:color w:val="auto"/>
              </w:rPr>
            </w:pPr>
            <w:r>
              <w:rPr>
                <w:rFonts w:ascii="Arial" w:cs="Arial" w:eastAsia="Arial" w:hAnsi="Arial"/>
                <w:sz w:val="20"/>
                <w:szCs w:val="20"/>
                <w:color w:val="auto"/>
              </w:rPr>
              <w:t>thousands):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6"/>
          </w:tcPr>
          <w:p>
            <w:pPr>
              <w:jc w:val="right"/>
              <w:ind w:right="240"/>
              <w:spacing w:after="0" w:line="212" w:lineRule="exact"/>
              <w:rPr>
                <w:sz w:val="20"/>
                <w:szCs w:val="20"/>
                <w:color w:val="auto"/>
              </w:rPr>
            </w:pPr>
            <w:r>
              <w:rPr>
                <w:rFonts w:ascii="Arial" w:cs="Arial" w:eastAsia="Arial" w:hAnsi="Arial"/>
                <w:sz w:val="20"/>
                <w:szCs w:val="20"/>
                <w:b w:val="1"/>
                <w:bCs w:val="1"/>
                <w:color w:val="auto"/>
                <w:w w:val="99"/>
              </w:rPr>
              <w:t>Three Months Ended</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Increase/(Decrease)</w:t>
            </w:r>
          </w:p>
        </w:tc>
        <w:tc>
          <w:tcPr>
            <w:tcW w:w="180" w:type="dxa"/>
            <w:vAlign w:val="bottom"/>
          </w:tcPr>
          <w:p>
            <w:pPr>
              <w:spacing w:after="0"/>
              <w:rPr>
                <w:sz w:val="18"/>
                <w:szCs w:val="18"/>
                <w:color w:val="auto"/>
              </w:rPr>
            </w:pPr>
          </w:p>
        </w:tc>
        <w:tc>
          <w:tcPr>
            <w:tcW w:w="2380" w:type="dxa"/>
            <w:vAlign w:val="bottom"/>
            <w:gridSpan w:val="9"/>
          </w:tcPr>
          <w:p>
            <w:pPr>
              <w:jc w:val="center"/>
              <w:ind w:right="260"/>
              <w:spacing w:after="0" w:line="212" w:lineRule="exact"/>
              <w:rPr>
                <w:sz w:val="20"/>
                <w:szCs w:val="20"/>
                <w:color w:val="auto"/>
              </w:rPr>
            </w:pPr>
            <w:r>
              <w:rPr>
                <w:rFonts w:ascii="Arial" w:cs="Arial" w:eastAsia="Arial" w:hAnsi="Arial"/>
                <w:sz w:val="20"/>
                <w:szCs w:val="20"/>
                <w:b w:val="1"/>
                <w:bCs w:val="1"/>
                <w:color w:val="auto"/>
                <w:w w:val="98"/>
              </w:rPr>
              <w:t>Nine Months Ended</w:t>
            </w:r>
          </w:p>
        </w:tc>
        <w:tc>
          <w:tcPr>
            <w:tcW w:w="160" w:type="dxa"/>
            <w:vAlign w:val="bottom"/>
          </w:tcPr>
          <w:p>
            <w:pPr>
              <w:spacing w:after="0"/>
              <w:rPr>
                <w:sz w:val="18"/>
                <w:szCs w:val="18"/>
                <w:color w:val="auto"/>
              </w:rPr>
            </w:pPr>
          </w:p>
        </w:tc>
        <w:tc>
          <w:tcPr>
            <w:tcW w:w="2080" w:type="dxa"/>
            <w:vAlign w:val="bottom"/>
            <w:gridSpan w:val="5"/>
            <w:vMerge w:val="restart"/>
          </w:tcPr>
          <w:p>
            <w:pPr>
              <w:jc w:val="right"/>
              <w:ind w:right="101"/>
              <w:spacing w:after="0"/>
              <w:rPr>
                <w:sz w:val="20"/>
                <w:szCs w:val="20"/>
                <w:color w:val="auto"/>
              </w:rPr>
            </w:pPr>
            <w:r>
              <w:rPr>
                <w:rFonts w:ascii="Arial" w:cs="Arial" w:eastAsia="Arial" w:hAnsi="Arial"/>
                <w:sz w:val="20"/>
                <w:szCs w:val="20"/>
                <w:b w:val="1"/>
                <w:bCs w:val="1"/>
                <w:color w:val="auto"/>
                <w:w w:val="98"/>
              </w:rPr>
              <w:t>Increase/(Decrease)</w:t>
            </w:r>
          </w:p>
        </w:tc>
        <w:tc>
          <w:tcPr>
            <w:tcW w:w="0" w:type="dxa"/>
            <w:vAlign w:val="bottom"/>
          </w:tcPr>
          <w:p>
            <w:pPr>
              <w:spacing w:after="0"/>
              <w:rPr>
                <w:sz w:val="1"/>
                <w:szCs w:val="1"/>
                <w:color w:val="auto"/>
              </w:rPr>
            </w:pPr>
          </w:p>
        </w:tc>
      </w:tr>
      <w:tr>
        <w:trPr>
          <w:trHeight w:val="257"/>
        </w:trPr>
        <w:tc>
          <w:tcPr>
            <w:tcW w:w="17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Revenue:</w:t>
            </w:r>
          </w:p>
        </w:tc>
        <w:tc>
          <w:tcPr>
            <w:tcW w:w="160" w:type="dxa"/>
            <w:vAlign w:val="bottom"/>
          </w:tcPr>
          <w:p>
            <w:pPr>
              <w:spacing w:after="0"/>
              <w:rPr>
                <w:sz w:val="22"/>
                <w:szCs w:val="22"/>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20"/>
                <w:szCs w:val="20"/>
                <w:b w:val="1"/>
                <w:bCs w:val="1"/>
                <w:color w:val="auto"/>
              </w:rPr>
              <w:t>September 30,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4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2380" w:type="dxa"/>
            <w:vAlign w:val="bottom"/>
            <w:gridSpan w:val="9"/>
          </w:tcPr>
          <w:p>
            <w:pPr>
              <w:jc w:val="center"/>
              <w:ind w:right="260"/>
              <w:spacing w:after="0"/>
              <w:rPr>
                <w:sz w:val="20"/>
                <w:szCs w:val="20"/>
                <w:color w:val="auto"/>
              </w:rPr>
            </w:pPr>
            <w:r>
              <w:rPr>
                <w:rFonts w:ascii="Arial" w:cs="Arial" w:eastAsia="Arial" w:hAnsi="Arial"/>
                <w:sz w:val="20"/>
                <w:szCs w:val="20"/>
                <w:b w:val="1"/>
                <w:bCs w:val="1"/>
                <w:color w:val="auto"/>
                <w:w w:val="99"/>
              </w:rPr>
              <w:t>September 30,</w:t>
            </w:r>
          </w:p>
        </w:tc>
        <w:tc>
          <w:tcPr>
            <w:tcW w:w="160" w:type="dxa"/>
            <w:vAlign w:val="bottom"/>
          </w:tcPr>
          <w:p>
            <w:pPr>
              <w:spacing w:after="0"/>
              <w:rPr>
                <w:sz w:val="22"/>
                <w:szCs w:val="22"/>
                <w:color w:val="auto"/>
              </w:rPr>
            </w:pPr>
          </w:p>
        </w:tc>
        <w:tc>
          <w:tcPr>
            <w:tcW w:w="2080" w:type="dxa"/>
            <w:vAlign w:val="bottom"/>
            <w:gridSpan w:val="5"/>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Borders>
              <w:bottom w:val="single" w:sz="8" w:color="CCEEFF"/>
            </w:tcBorders>
            <w:vMerge w:val="continue"/>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2023</w:t>
            </w:r>
          </w:p>
        </w:tc>
        <w:tc>
          <w:tcPr>
            <w:tcW w:w="2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20"/>
                <w:szCs w:val="20"/>
                <w:b w:val="1"/>
                <w:bCs w:val="1"/>
                <w:color w:val="auto"/>
              </w:rPr>
              <w:t>2022</w:t>
            </w:r>
          </w:p>
        </w:tc>
        <w:tc>
          <w:tcPr>
            <w:tcW w:w="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80" w:type="dxa"/>
            <w:vAlign w:val="bottom"/>
            <w:tcBorders>
              <w:top w:val="single" w:sz="8" w:color="auto"/>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2023</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2022</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178"/>
        </w:trPr>
        <w:tc>
          <w:tcPr>
            <w:tcW w:w="1700" w:type="dxa"/>
            <w:vAlign w:val="bottom"/>
            <w:shd w:val="clear" w:color="auto" w:fill="CCEEFF"/>
          </w:tcPr>
          <w:p>
            <w:pPr>
              <w:ind w:left="240"/>
              <w:spacing w:after="0" w:line="179" w:lineRule="exact"/>
              <w:rPr>
                <w:sz w:val="20"/>
                <w:szCs w:val="20"/>
                <w:color w:val="auto"/>
              </w:rPr>
            </w:pPr>
            <w:r>
              <w:rPr>
                <w:rFonts w:ascii="Arial" w:cs="Arial" w:eastAsia="Arial" w:hAnsi="Arial"/>
                <w:sz w:val="20"/>
                <w:szCs w:val="20"/>
                <w:color w:val="auto"/>
              </w:rPr>
              <w:t>Array Legacy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244,857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400,463</w:t>
            </w:r>
          </w:p>
        </w:tc>
        <w:tc>
          <w:tcPr>
            <w:tcW w:w="40" w:type="dxa"/>
            <w:vAlign w:val="bottom"/>
            <w:shd w:val="clear" w:color="auto" w:fill="CCEEFF"/>
          </w:tcPr>
          <w:p>
            <w:pPr>
              <w:spacing w:after="0"/>
              <w:rPr>
                <w:sz w:val="15"/>
                <w:szCs w:val="15"/>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(155,606)</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(39)%</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895,322</w:t>
            </w:r>
          </w:p>
        </w:tc>
        <w:tc>
          <w:tcPr>
            <w:tcW w:w="300" w:type="dxa"/>
            <w:vAlign w:val="bottom"/>
            <w:gridSpan w:val="4"/>
            <w:vMerge w:val="restart"/>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998,292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(102,970)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47"/>
        </w:trPr>
        <w:tc>
          <w:tcPr>
            <w:tcW w:w="1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gridSpan w:val="3"/>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300" w:type="dxa"/>
            <w:vAlign w:val="bottom"/>
            <w:gridSpan w:val="4"/>
            <w:vMerge w:val="continue"/>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170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105,581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114,561</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(8,980)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339,614</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237,183</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102,431</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20"/>
                <w:szCs w:val="20"/>
                <w:color w:val="auto"/>
              </w:rPr>
              <w:t>43 %</w:t>
            </w:r>
          </w:p>
        </w:tc>
        <w:tc>
          <w:tcPr>
            <w:tcW w:w="0" w:type="dxa"/>
            <w:vAlign w:val="bottom"/>
          </w:tcPr>
          <w:p>
            <w:pPr>
              <w:spacing w:after="0"/>
              <w:rPr>
                <w:sz w:val="1"/>
                <w:szCs w:val="1"/>
                <w:color w:val="auto"/>
              </w:rPr>
            </w:pPr>
          </w:p>
        </w:tc>
      </w:tr>
      <w:tr>
        <w:trPr>
          <w:trHeight w:val="278"/>
        </w:trPr>
        <w:tc>
          <w:tcPr>
            <w:tcW w:w="1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350,438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515,024</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(164,586)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1,234,936</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8"/>
              </w:rPr>
              <w:t>1,235,475</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(539)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Gross Profit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240"/>
              <w:spacing w:after="0" w:line="199" w:lineRule="exact"/>
              <w:rPr>
                <w:sz w:val="20"/>
                <w:szCs w:val="20"/>
                <w:color w:val="auto"/>
              </w:rPr>
            </w:pPr>
            <w:r>
              <w:rPr>
                <w:rFonts w:ascii="Arial" w:cs="Arial" w:eastAsia="Arial" w:hAnsi="Arial"/>
                <w:sz w:val="20"/>
                <w:szCs w:val="20"/>
                <w:color w:val="auto"/>
              </w:rPr>
              <w:t>Array Legacy</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58,233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60,281</w:t>
            </w:r>
          </w:p>
        </w:tc>
        <w:tc>
          <w:tcPr>
            <w:tcW w:w="40" w:type="dxa"/>
            <w:vAlign w:val="bottom"/>
          </w:tcPr>
          <w:p>
            <w:pPr>
              <w:spacing w:after="0"/>
              <w:rPr>
                <w:sz w:val="17"/>
                <w:szCs w:val="17"/>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(2,048)</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(3)%</w:t>
            </w: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241,019</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108,111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132,908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123 %</w:t>
            </w:r>
          </w:p>
        </w:tc>
        <w:tc>
          <w:tcPr>
            <w:tcW w:w="0" w:type="dxa"/>
            <w:vAlign w:val="bottom"/>
          </w:tcPr>
          <w:p>
            <w:pPr>
              <w:spacing w:after="0"/>
              <w:rPr>
                <w:sz w:val="1"/>
                <w:szCs w:val="1"/>
                <w:color w:val="auto"/>
              </w:rPr>
            </w:pPr>
          </w:p>
        </w:tc>
      </w:tr>
      <w:tr>
        <w:trPr>
          <w:trHeight w:val="247"/>
        </w:trPr>
        <w:tc>
          <w:tcPr>
            <w:tcW w:w="1700" w:type="dxa"/>
            <w:vAlign w:val="bottom"/>
          </w:tcPr>
          <w:p>
            <w:pPr>
              <w:ind w:left="240"/>
              <w:spacing w:after="0"/>
              <w:rPr>
                <w:sz w:val="20"/>
                <w:szCs w:val="20"/>
                <w:color w:val="auto"/>
              </w:rPr>
            </w:pPr>
            <w:r>
              <w:rPr>
                <w:rFonts w:ascii="Arial" w:cs="Arial" w:eastAsia="Arial" w:hAnsi="Arial"/>
                <w:sz w:val="20"/>
                <w:szCs w:val="20"/>
                <w:color w:val="auto"/>
              </w:rPr>
              <w:t>Operations</w:t>
            </w:r>
          </w:p>
        </w:tc>
        <w:tc>
          <w:tcPr>
            <w:tcW w:w="1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300" w:type="dxa"/>
            <w:vAlign w:val="bottom"/>
            <w:gridSpan w:val="4"/>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STI Operations</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29,146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16,302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79 %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90,303</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27,727</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62,576</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226 %</w:t>
            </w:r>
          </w:p>
        </w:tc>
        <w:tc>
          <w:tcPr>
            <w:tcW w:w="0" w:type="dxa"/>
            <w:vAlign w:val="bottom"/>
          </w:tcPr>
          <w:p>
            <w:pPr>
              <w:spacing w:after="0"/>
              <w:rPr>
                <w:sz w:val="1"/>
                <w:szCs w:val="1"/>
                <w:color w:val="auto"/>
              </w:rPr>
            </w:pPr>
          </w:p>
        </w:tc>
      </w:tr>
      <w:tr>
        <w:trPr>
          <w:trHeight w:val="178"/>
        </w:trPr>
        <w:tc>
          <w:tcPr>
            <w:tcW w:w="1700" w:type="dxa"/>
            <w:vAlign w:val="bottom"/>
          </w:tcPr>
          <w:p>
            <w:pPr>
              <w:ind w:left="360"/>
              <w:spacing w:after="0" w:line="179" w:lineRule="exact"/>
              <w:rPr>
                <w:sz w:val="20"/>
                <w:szCs w:val="20"/>
                <w:color w:val="auto"/>
              </w:rPr>
            </w:pPr>
            <w:r>
              <w:rPr>
                <w:rFonts w:ascii="Arial" w:cs="Arial" w:eastAsia="Arial" w:hAnsi="Arial"/>
                <w:sz w:val="20"/>
                <w:szCs w:val="20"/>
                <w:color w:val="auto"/>
              </w:rPr>
              <w:t>Total Gross</w:t>
            </w: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960" w:type="dxa"/>
            <w:vAlign w:val="bottom"/>
            <w:vMerge w:val="restart"/>
          </w:tcPr>
          <w:p>
            <w:pPr>
              <w:jc w:val="right"/>
              <w:spacing w:after="0"/>
              <w:rPr>
                <w:sz w:val="20"/>
                <w:szCs w:val="20"/>
                <w:color w:val="auto"/>
              </w:rPr>
            </w:pPr>
            <w:r>
              <w:rPr>
                <w:rFonts w:ascii="Arial" w:cs="Arial" w:eastAsia="Arial" w:hAnsi="Arial"/>
                <w:sz w:val="20"/>
                <w:szCs w:val="20"/>
                <w:color w:val="auto"/>
              </w:rPr>
              <w:t>87,379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restart"/>
          </w:tcPr>
          <w:p>
            <w:pPr>
              <w:jc w:val="right"/>
              <w:ind w:right="1"/>
              <w:spacing w:after="0"/>
              <w:rPr>
                <w:sz w:val="20"/>
                <w:szCs w:val="20"/>
                <w:color w:val="auto"/>
              </w:rPr>
            </w:pPr>
            <w:r>
              <w:rPr>
                <w:rFonts w:ascii="Arial" w:cs="Arial" w:eastAsia="Arial" w:hAnsi="Arial"/>
                <w:sz w:val="20"/>
                <w:szCs w:val="20"/>
                <w:color w:val="auto"/>
                <w:w w:val="89"/>
              </w:rPr>
              <w:t>$</w:t>
            </w:r>
          </w:p>
        </w:tc>
        <w:tc>
          <w:tcPr>
            <w:tcW w:w="900" w:type="dxa"/>
            <w:vAlign w:val="bottom"/>
            <w:vMerge w:val="restart"/>
          </w:tcPr>
          <w:p>
            <w:pPr>
              <w:jc w:val="right"/>
              <w:ind w:right="1"/>
              <w:spacing w:after="0"/>
              <w:rPr>
                <w:sz w:val="20"/>
                <w:szCs w:val="20"/>
                <w:color w:val="auto"/>
              </w:rPr>
            </w:pPr>
            <w:r>
              <w:rPr>
                <w:rFonts w:ascii="Arial" w:cs="Arial" w:eastAsia="Arial" w:hAnsi="Arial"/>
                <w:sz w:val="20"/>
                <w:szCs w:val="20"/>
                <w:color w:val="auto"/>
              </w:rPr>
              <w:t>76,583</w:t>
            </w:r>
          </w:p>
        </w:tc>
        <w:tc>
          <w:tcPr>
            <w:tcW w:w="40" w:type="dxa"/>
            <w:vAlign w:val="bottom"/>
          </w:tcPr>
          <w:p>
            <w:pPr>
              <w:spacing w:after="0"/>
              <w:rPr>
                <w:sz w:val="15"/>
                <w:szCs w:val="15"/>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20"/>
                <w:szCs w:val="20"/>
                <w:color w:val="auto"/>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10,796</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14 %</w:t>
            </w:r>
          </w:p>
        </w:tc>
        <w:tc>
          <w:tcPr>
            <w:tcW w:w="8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331,322</w:t>
            </w:r>
          </w:p>
        </w:tc>
        <w:tc>
          <w:tcPr>
            <w:tcW w:w="300" w:type="dxa"/>
            <w:vAlign w:val="bottom"/>
            <w:gridSpan w:val="4"/>
            <w:vMerge w:val="restart"/>
          </w:tcPr>
          <w:p>
            <w:pPr>
              <w:jc w:val="right"/>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135,838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20"/>
                <w:szCs w:val="20"/>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195,484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144 %</w:t>
            </w:r>
          </w:p>
        </w:tc>
        <w:tc>
          <w:tcPr>
            <w:tcW w:w="0" w:type="dxa"/>
            <w:vAlign w:val="bottom"/>
          </w:tcPr>
          <w:p>
            <w:pPr>
              <w:spacing w:after="0"/>
              <w:rPr>
                <w:sz w:val="1"/>
                <w:szCs w:val="1"/>
                <w:color w:val="auto"/>
              </w:rPr>
            </w:pPr>
          </w:p>
        </w:tc>
      </w:tr>
      <w:tr>
        <w:trPr>
          <w:trHeight w:val="220"/>
        </w:trPr>
        <w:tc>
          <w:tcPr>
            <w:tcW w:w="1700" w:type="dxa"/>
            <w:vAlign w:val="bottom"/>
          </w:tcPr>
          <w:p>
            <w:pPr>
              <w:ind w:left="360"/>
              <w:spacing w:after="0" w:line="220" w:lineRule="exact"/>
              <w:rPr>
                <w:sz w:val="20"/>
                <w:szCs w:val="20"/>
                <w:color w:val="auto"/>
              </w:rPr>
            </w:pPr>
            <w:r>
              <w:rPr>
                <w:rFonts w:ascii="Arial" w:cs="Arial" w:eastAsia="Arial" w:hAnsi="Arial"/>
                <w:sz w:val="20"/>
                <w:szCs w:val="20"/>
                <w:color w:val="auto"/>
              </w:rPr>
              <w:t>Profit</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3"/>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00" w:type="dxa"/>
            <w:vAlign w:val="bottom"/>
            <w:gridSpan w:val="4"/>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September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revenue decreased $164.6 million, or 32%, driven primarily by a decrease in both Array Legacy Operations of 39% and STI Operations of 8%.</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44" w:name="page45"/>
    <w:bookmarkEnd w:id="44"/>
    <w:p>
      <w:pPr>
        <w:jc w:val="both"/>
        <w:ind w:right="20"/>
        <w:spacing w:after="0" w:line="275" w:lineRule="auto"/>
        <w:rPr>
          <w:sz w:val="20"/>
          <w:szCs w:val="20"/>
          <w:color w:val="auto"/>
        </w:rPr>
      </w:pPr>
      <w:r>
        <w:rPr>
          <w:rFonts w:ascii="Arial" w:cs="Arial" w:eastAsia="Arial" w:hAnsi="Arial"/>
          <w:sz w:val="20"/>
          <w:szCs w:val="20"/>
          <w:color w:val="auto"/>
        </w:rPr>
        <w:t>The decrease in revenue in Array Legacy Operations was driven by a 33% reduction in the number of MWs shipped due to project delays from our customers, as well as a 9% reduction in ASP due to lower input costs for materials and logistics.</w:t>
      </w:r>
    </w:p>
    <w:p>
      <w:pPr>
        <w:spacing w:after="0" w:line="215"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The decrease in revenue in STI Operations was driven by a decrease in the number of megawatts shipped, most notably in the Brazil region, which offset lower ASP due to a smaller percentage of construction services being offered.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cost of revenue decreased by $175.4 million, or 40%, driven primarily by a reduction in revenue combined with lower input costs.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gross profit increased by $10.8 million, or 14%. As a percentage of revenue, consolidated gross profit increased to 25% for the three months ended September 30, 2023, as compared to 15% during the same period in the prior year. Both operating segments had increases in gross profit as a percent of revenue.</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decreased by $2.0 million, or 3%. As a percentage of revenue, gross profit increased to 24% from 15% for the three months ended September 30, 2023 and 2022, respectively. The increase in gross profit as a percent of revenue was driven by an improvement in pass through pricing to customers, in addition to cost savings due to improved raw materials pricing and lower logistics rates, as well as a higher proportion of higher margin non-tracker revenue.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STI Operations gross profit increased by $12.8 million, or 79%. As a percentage of revenue, gross profit for STI Operations increased to 28% from 14% for the three months ended September 30, 2023 and 2022, respectively, driven primarily by improved pass through pricing, cost savings opportunities on raw materials and a reduced impact of lower margin construction related services provided.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general and administrative expenses decreased by $1.3 million, or 3%. In the third quarter of 2022, the Company incurred $4.9 million in professional fees related to the STI acquisition for which there were no comparable expenses in the current year. Excluding those fees, expense was up primarily due to an increase in payroll and related costs, driven by an increase in headcount.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Consolidated contingent consideration expense increased by $0.8 million, or 133%, as a result of the increased valuation of the TRA liability.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depreciation and amortization decreased by $11.7 million or 55%, due to the decrease in the amortization of intangibles of $12.0 million, as the backlog purchased as part of the STI Acquisition had a one-year life and was fully amortized in the first quarter of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interest expense increased by $4.2 million, or 48%, primarily due to increased variable interest rates charged on our Term Loan Facility as well as the acceleration of $2.5 million of non-cash interest expense related to an unscheduled principal payment made against the outstanding Term Loan balance.</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45" w:name="page46"/>
    <w:bookmarkEnd w:id="45"/>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expect interest expense to be higher for the remainder of 2023 compared to 2022 as a result of continued higher variable interest rates.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income tax decreased by $2.8 million, or 28%. The Company recorded income tax expense of $7.2 million for the three months ended September 30, 2023, compared to income tax expense of $10.0 million for the three months ended September 30, 2022. Our effective tax rate was 23.7% for the three months ended September 30, 2023, and 19.7% for the three months ended September 30, 2022. The tax expense for the three months ended September 30, 2023, was unfavorably impacted by higher income in non-U.S. jurisdictions which have higher tax rates than the U.S. and non-deductible expenses. The tax expense for the three months ended September 30, 2022, which includes $8.7 million related to the legal settlement discretely recorded in the period, was favorably impacted by losses in non-U.S. jurisdictions which have higher tax rates than the U.S., partially offset by non-deductible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net income decreased by $17.4 million, or 43%, driven by a $164.6 million decrease in consolidated revenue and the nonrecurrence in the current year of a $42.8 million legal settlement gain recognized by Array Legacy Operations during the three months ended September 30, 2022.</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nine months ended September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revenue was flat year over year, driven by an increase in STI Operations of $102.4 million, offset by a decrease in Array Legacy Operations of $103.0 million.</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$102.4 million, or 43%, revenue increase in STI Operations was driven by an increase in the number of megawatts shipped, most notably in the Brazil region, which offset lower ASP due to a smaller percentage of construction services being offered.</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$103.0 million, or 10%, revenue decrease in Array Legacy Operations was driven by a decrease in the number of megawatts shipped, due primarily to project delays from our customers.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1"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Consolidated cost of revenue decreased by $196.0 million, or 18%, driven primarily by a reduction in revenue combined with a decrease in input costs.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Consolidated gross profit increased by $195.5 million, or 144%. As a percentage of revenue, consolidated gross profit increased to 27% for the nine months ended September 30, 2023, as compared to 11% during the same period in the prior year. The increase in gross profit dollars was driven by cost savings opportunities and lower overall costs in logistics and raw materials, a higher proportion of higher margin non-tracker revenue and a decrease in lower margin construction related services.</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Array Legacy Operations gross profit increased by $132.9 million, or 123%. As a percentage of revenue, gross profit at Array Legacy Operations increased to 27% from 11% for the nine months ended September 30, 2023 and 2022, respectively. The increase in gross profit as a percent of revenue was driven by an improvement in pass through pricing to customers, in addition to cost savings opportunities in logistics and raw materials, as well as a higher proportion of higher margin non-tracker revenue.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6" w:name="page47"/>
    <w:bookmarkEnd w:id="46"/>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STI Operations gross profit increased by $62.6 million, or 226%. As a percentage of revenue, gross profit for STI Operations increased to 27% from 12% for the nine months ended September 30, 2023 and 2022, respectively, driven primarily by improved pass through pricing and a reduced impact of lower margin construction related services provided.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general and administrative expenses increased by $2.8 million, or 2%. The increase was driven by higher payroll and related expenses incurred to increase headcount in support of our growth and innovation strategy. These increases were partially offset by no acquisition related expenses in 2023 compared to expenses related to the STI Acquisition in 2022.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contingent consideration expense increased by $8.2 million, or 137% as a result of the increased valuation of the TRA liability, which was driven by a decrease in the credit spread used in the valuation, consistent with the overall downward trend of credit spreads subsequent to 2022.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depreciation and amortization decreased by $33.9 million, or 54%, due to the decrease in the amortization of intangibles of $34.7 million, as the backlog purchased as part of the STI Acquisition had a one-year life and was fully amortized as of the first quarter of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interest expense increased by $11.6 million, or 49%, primarily due to increased variable interest rates charged on our Term Loan Facility as well as the acceleration of $3.6 million of non-cash interest expense related to unscheduled principal payments made against the outstanding Term Loan balance.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income tax increased by $62.7 million, or 270%. The Company recorded income tax expense of $39.5 million for the nine months ended September 30, 2023, compared to a benefit of $23.2 million for the nine months ended September 30, 2022. Our effective tax rate was 25.7% and 171.7% for the nine months ended September 30, 2023 and 2022, respectively. The tax expense for the nine months ended September 30, 2023, was unfavorably impacted by higher income in non-U.S. jurisdictions and an increase in income tax expense related to the Put Option, partially offset by benefits related to excess stock compensation deductions recorded discretely during the period. The tax benefit for the nine months ended September 30, 2022, which includes $8.7 million related to the legal settlement discretely recorded in the period, was favorably impacted by losses in non-U.S. jurisdictions which have higher tax rates than the U.S., partially offset by non-deductible expenses.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net income increased by $104.5 million, or 1,079%, driven by a 144% increase in consolidated gross profit margin and a $22.9 million reduction in operating expenses, partially offset by a $62.7 million increase in income tax expense and the nonrecurrence in the current year of a $42.8 million legal settlement gain recognized by Array Legacy Operations during the three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6"/>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7"/>
        </w:trPr>
        <w:tc>
          <w:tcPr>
            <w:tcW w:w="6520" w:type="dxa"/>
            <w:vAlign w:val="bottom"/>
          </w:tcPr>
          <w:p>
            <w:pPr>
              <w:spacing w:after="0"/>
              <w:rPr>
                <w:sz w:val="24"/>
                <w:szCs w:val="24"/>
                <w:color w:val="auto"/>
              </w:rPr>
            </w:pPr>
          </w:p>
        </w:tc>
        <w:tc>
          <w:tcPr>
            <w:tcW w:w="472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20"/>
                <w:szCs w:val="20"/>
                <w:b w:val="1"/>
                <w:bCs w:val="1"/>
                <w:color w:val="auto"/>
              </w:rPr>
              <w:t>Nine Months Ended September 30,</w:t>
            </w:r>
          </w:p>
        </w:tc>
      </w:tr>
      <w:tr>
        <w:trPr>
          <w:trHeight w:val="250"/>
        </w:trPr>
        <w:tc>
          <w:tcPr>
            <w:tcW w:w="65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41"/>
              <w:spacing w:after="0"/>
              <w:rPr>
                <w:sz w:val="20"/>
                <w:szCs w:val="20"/>
                <w:color w:val="auto"/>
              </w:rPr>
            </w:pPr>
            <w:r>
              <w:rPr>
                <w:rFonts w:ascii="Arial" w:cs="Arial" w:eastAsia="Arial" w:hAnsi="Arial"/>
                <w:sz w:val="20"/>
                <w:szCs w:val="20"/>
                <w:b w:val="1"/>
                <w:bCs w:val="1"/>
                <w:color w:val="auto"/>
              </w:rPr>
              <w:t>2022</w:t>
            </w: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operating activities</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137,974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44,023</w:t>
            </w:r>
          </w:p>
        </w:tc>
      </w:tr>
      <w:tr>
        <w:trPr>
          <w:trHeight w:val="279"/>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(11,615)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(380,506)</w:t>
            </w:r>
          </w:p>
        </w:tc>
      </w:tr>
      <w:tr>
        <w:trPr>
          <w:trHeight w:val="288"/>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provided by financing activities</w:t>
            </w:r>
          </w:p>
        </w:tc>
        <w:tc>
          <w:tcPr>
            <w:tcW w:w="1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(84,442)</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33,146</w:t>
            </w:r>
          </w:p>
        </w:tc>
      </w:tr>
      <w:tr>
        <w:trPr>
          <w:trHeight w:val="261"/>
        </w:trPr>
        <w:tc>
          <w:tcPr>
            <w:tcW w:w="652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(1,808)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20"/>
                <w:szCs w:val="20"/>
                <w:color w:val="auto"/>
              </w:rPr>
              <w:t>(1,555)</w:t>
            </w:r>
          </w:p>
        </w:tc>
      </w:tr>
      <w:tr>
        <w:trPr>
          <w:trHeight w:val="23"/>
        </w:trPr>
        <w:tc>
          <w:tcPr>
            <w:tcW w:w="65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30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60" w:type="dxa"/>
            <w:vAlign w:val="bottom"/>
            <w:tcBorders>
              <w:bottom w:val="single" w:sz="8" w:color="CCEEFF"/>
            </w:tcBorders>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40,109</w:t>
            </w:r>
          </w:p>
        </w:tc>
        <w:tc>
          <w:tcPr>
            <w:tcW w:w="6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(304,892)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have historically financed our operations primarily with the proceeds from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 sufficient to meet our future cash needs.</w:t>
      </w: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of September 30, 2023, our cash balance was $174.0 million, of which $62.5 million was held outside the U.S., and net working capital was $462.6 million. We had outstanding borrowings of $239.3 million under our $575 million Term Loan Facility and $175.1 million available to us under our $200 million Revolving Credit Facility.</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nine months ended September 30, 2023, cash provided by operating activities was $138.0 million, of which $184.8 million was generated from net income as adjusted for the impact of non-cash expenses, consisting primarily of depreciation and amortization, equity-based compensation, amortization of developed technology, and amortization of debt discount and issuance costs. Increases in accrued expenses and other of $18.5 million, accounts payable of $14.4 million, and inventory of $12.6 million, were partially offset by decreases in deferred revenue of $78.2 million and accounts receivable of $6.4 million.</w:t>
      </w:r>
    </w:p>
    <w:p>
      <w:pPr>
        <w:spacing w:after="0" w:line="230" w:lineRule="exact"/>
        <w:rPr>
          <w:sz w:val="20"/>
          <w:szCs w:val="20"/>
          <w:color w:val="auto"/>
        </w:rPr>
      </w:pPr>
    </w:p>
    <w:p>
      <w:pPr>
        <w:ind w:right="1960"/>
        <w:spacing w:after="0" w:line="279" w:lineRule="auto"/>
        <w:rPr>
          <w:sz w:val="20"/>
          <w:szCs w:val="20"/>
          <w:color w:val="auto"/>
        </w:rPr>
      </w:pPr>
      <w:r>
        <w:rPr>
          <w:rFonts w:ascii="Arial" w:cs="Arial" w:eastAsia="Arial" w:hAnsi="Arial"/>
          <w:sz w:val="19"/>
          <w:szCs w:val="19"/>
          <w:color w:val="auto"/>
        </w:rPr>
        <w:t>For the nine months ended September 30, 2022, cash provided by operating activities was $44.0 million, primarily due to an increase in net income and the Company being awarded and paid a settlement from Nextracker LLC, for $42.8 million for the Nextracker Litigation. In addition, accounts payable and accruals increased cash by $42.2 million and $41.3 million, respectively, driven by higher expenses associated with higher sales, offset by a use from accounts receivable of $139.0 million driven primarily by higher sales.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45" w:lineRule="exact"/>
        <w:rPr>
          <w:sz w:val="20"/>
          <w:szCs w:val="20"/>
          <w:color w:val="auto"/>
        </w:rPr>
      </w:pPr>
    </w:p>
    <w:p>
      <w:pPr>
        <w:ind w:right="20"/>
        <w:spacing w:after="0" w:line="275" w:lineRule="auto"/>
        <w:rPr>
          <w:sz w:val="20"/>
          <w:szCs w:val="20"/>
          <w:color w:val="auto"/>
        </w:rPr>
      </w:pPr>
      <w:r>
        <w:rPr>
          <w:rFonts w:ascii="Arial" w:cs="Arial" w:eastAsia="Arial" w:hAnsi="Arial"/>
          <w:sz w:val="20"/>
          <w:szCs w:val="20"/>
          <w:color w:val="auto"/>
        </w:rPr>
        <w:t>For the nine months ended September 30, 2023, net cash used in investing activities was $11.6 million, all of which was related to the purchase of property, plant and equipment.</w:t>
      </w:r>
    </w:p>
    <w:p>
      <w:pPr>
        <w:spacing w:after="0" w:line="202" w:lineRule="exact"/>
        <w:rPr>
          <w:sz w:val="20"/>
          <w:szCs w:val="20"/>
          <w:color w:val="auto"/>
        </w:rPr>
      </w:pPr>
    </w:p>
    <w:p>
      <w:pPr>
        <w:ind w:right="20"/>
        <w:spacing w:after="0" w:line="289" w:lineRule="auto"/>
        <w:rPr>
          <w:sz w:val="20"/>
          <w:szCs w:val="20"/>
          <w:color w:val="auto"/>
        </w:rPr>
      </w:pPr>
      <w:r>
        <w:rPr>
          <w:rFonts w:ascii="Arial" w:cs="Arial" w:eastAsia="Arial" w:hAnsi="Arial"/>
          <w:sz w:val="20"/>
          <w:szCs w:val="20"/>
          <w:color w:val="auto"/>
        </w:rPr>
        <w:t>For the nine months ended September 30, 2022, net cash used in investing activities was $380.5 million, primarily due to cash used in the STI Acquisition.</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For the nine months ended September 30, 2023, net cash provided by financing activities was $84.4 million, driven primarily by $73.2 million in payments on our Term Loan and a $8.5 million net reduction of other debt.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nine months ended September 30, 2022, net cash provided by financing activities was $33.1 million, of which $48.4 million related to proceeds from the Additional Closing in January 2022 offset by a dividend payment of $18.4 million on the Series A preferred stock.</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10, 2021, we entered into a Securities Purchase Agreement (the “Securities Purchase Agreement”) with certain investors (the “Purchasers”).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as amended, we have issued and sold to the Purchasers 776,235 shares of common stock for an aggregate purchase price of $776.</w:t>
      </w:r>
    </w:p>
    <w:p>
      <w:pPr>
        <w:spacing w:after="0" w:line="219"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In January 2022, we issued 50,000 of Series A Shares, and 1,125,000 shares of our common stock in the Additional Closing for an aggregate purchase price of $49.4 million.</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September 30, 2023, we posted surety bonds in the total amount of approximately $217.6 million. These off-balance sheet arrangements do not adversely impact our liquidity or capital resources.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condensed consolidated financial statements are prepared in accordance with accounting principles generally accepted in the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9" w:name="page50"/>
    <w:bookmarkEnd w:id="49"/>
    <w:p>
      <w:pPr>
        <w:jc w:val="both"/>
        <w:spacing w:after="0" w:line="275" w:lineRule="auto"/>
        <w:rPr>
          <w:sz w:val="20"/>
          <w:szCs w:val="20"/>
          <w:color w:val="auto"/>
        </w:rPr>
      </w:pPr>
      <w:r>
        <w:rPr>
          <w:rFonts w:ascii="Arial" w:cs="Arial" w:eastAsia="Arial" w:hAnsi="Arial"/>
          <w:sz w:val="20"/>
          <w:szCs w:val="20"/>
          <w:color w:val="auto"/>
        </w:rPr>
        <w:t>these estimates and actual results, our future financial statement presentation, financial condition, results of operations and cash flows will be affected.</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Fair Value of Financial Instruments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The capped call option agreements associated with conversion of the Convertible Notes (the “Capped Calls”) are accounted for as an asset that is recorded at fair value within Derivative assets in the consolidated balance sheets. The changes in fair value to Derivative assets are recorded within change in fair value of derivative assets in the Condensed Consolidated Statements of Operations. See </w:t>
      </w:r>
      <w:r>
        <w:rPr>
          <w:rFonts w:ascii="Arial" w:cs="Arial" w:eastAsia="Arial" w:hAnsi="Arial"/>
          <w:sz w:val="20"/>
          <w:szCs w:val="20"/>
          <w:u w:val="single" w:color="auto"/>
          <w:color w:val="0000FF"/>
        </w:rPr>
        <w:t>Note 1 – Organization, Business and Out of Period Adjustments</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2 – Summary of Significant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Accounting Policies</w:t>
      </w:r>
      <w:r>
        <w:rPr>
          <w:rFonts w:ascii="Arial" w:cs="Arial" w:eastAsia="Arial" w:hAnsi="Arial"/>
          <w:sz w:val="20"/>
          <w:szCs w:val="20"/>
          <w:color w:val="000000"/>
        </w:rPr>
        <w:t>, of the condensed consolidated financial statements for further information regarding the accounting of</w:t>
      </w:r>
      <w:r>
        <w:rPr>
          <w:rFonts w:ascii="Arial" w:cs="Arial" w:eastAsia="Arial" w:hAnsi="Arial"/>
          <w:sz w:val="20"/>
          <w:szCs w:val="20"/>
          <w:color w:val="0000FF"/>
        </w:rPr>
        <w:t xml:space="preserve"> </w:t>
      </w:r>
      <w:r>
        <w:rPr>
          <w:rFonts w:ascii="Arial" w:cs="Arial" w:eastAsia="Arial" w:hAnsi="Arial"/>
          <w:sz w:val="20"/>
          <w:szCs w:val="20"/>
          <w:color w:val="000000"/>
        </w:rPr>
        <w:t>these instruments.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Capped Calls are valued using a Black-Scholes model, with the most judgmental non-observable input being the volatility measure. Changes in the assumptions around the volatility can cause significant changes in the estimated fair value of the Capped Call.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253" w:lineRule="exact"/>
        <w:rPr>
          <w:sz w:val="20"/>
          <w:szCs w:val="20"/>
          <w:color w:val="auto"/>
        </w:rPr>
      </w:pPr>
    </w:p>
    <w:p>
      <w:pPr>
        <w:jc w:val="both"/>
        <w:ind w:right="20"/>
        <w:spacing w:after="0" w:line="275"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Financing Exposure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also indirectly exposed to interest rate risk because many of our customers depend on debt financings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and Component Risk</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We are exposed to price risks for the raw materials, components, logistics services, and energy costs used in the manufacturing and transportation of our product. Additionally, some of our raw materials and components are sourced from a limited number of suppliers or a single supplier. We evaluate our suppliers using a robust qualification process. In some cases, we also enter into long-term supply contracts for raw materials and components. Accordingly, we are exposed to price changes in the raw materials and components used in our product. In addition, the failure of a key supplier could disrupt our supply chain, which could result in higher prices and/or a disruption in our manufacturing process. We may be unable to pass along changes in the costs of the raw materials and components for our product, or the costs associated with logistics services for the distribution of our product, to our customers and may be in default of our delivery obligations if we experience a manufacturing disruption.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September 30, 2023. Based upon the evaluation, our Chief Executive Officer and Chief Financial Officer concluded that, as of such date, our disclosure controls and procedures were not effective at a reasonable assurance level, due to the material weaknesses previously identified and disclosed in our 2022 Annual Report and listed below. A material weakness is a deficiency, or combination of deficiencies, in internal control over financial reporting (“ICFR”) such that there is a reasonable possibility that a material misstatement of our annual or interim financial statements will not be prevented or detected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Management determined that the previously disclosed material weaknesses in its ICFR continue to exist at September 30, 2023.</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Specifically:</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Control Environment, Risk Assessment and Monitoring Activities </w:t>
      </w:r>
      <w:r>
        <w:rPr>
          <w:rFonts w:ascii="Arial" w:cs="Arial" w:eastAsia="Arial" w:hAnsi="Arial"/>
          <w:sz w:val="20"/>
          <w:szCs w:val="20"/>
          <w:color w:val="auto"/>
        </w:rPr>
        <w:t>– We did not maintain appropriately designed entity-level</w:t>
      </w:r>
      <w:r>
        <w:rPr>
          <w:rFonts w:ascii="Arial" w:cs="Arial" w:eastAsia="Arial" w:hAnsi="Arial"/>
          <w:sz w:val="20"/>
          <w:szCs w:val="20"/>
          <w:i w:val="1"/>
          <w:iCs w:val="1"/>
          <w:color w:val="auto"/>
        </w:rPr>
        <w:t xml:space="preserve"> </w:t>
      </w:r>
      <w:r>
        <w:rPr>
          <w:rFonts w:ascii="Arial" w:cs="Arial" w:eastAsia="Arial" w:hAnsi="Arial"/>
          <w:sz w:val="20"/>
          <w:szCs w:val="20"/>
          <w:color w:val="auto"/>
        </w:rPr>
        <w:t>controls impacting the control environment and effective monitoring controls to prevent or detect material misstatements to the consolidated financial statements. These deficiencies were attributed to (i) a lack 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177" w:lineRule="exact"/>
        <w:rPr>
          <w:sz w:val="20"/>
          <w:szCs w:val="20"/>
          <w:color w:val="auto"/>
        </w:rPr>
      </w:pPr>
    </w:p>
    <w:p>
      <w:pPr>
        <w:ind w:left="660" w:hanging="328"/>
        <w:spacing w:after="0" w:line="281"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implement, and execute controls over the existence, accuracy, and cutoff of</w:t>
      </w:r>
      <w:r>
        <w:rPr>
          <w:rFonts w:ascii="Arial" w:cs="Arial" w:eastAsia="Arial" w:hAnsi="Arial"/>
          <w:sz w:val="20"/>
          <w:szCs w:val="20"/>
          <w:i w:val="1"/>
          <w:iCs w:val="1"/>
          <w:color w:val="auto"/>
        </w:rPr>
        <w:t xml:space="preserve"> </w:t>
      </w:r>
      <w:r>
        <w:rPr>
          <w:rFonts w:ascii="Arial" w:cs="Arial" w:eastAsia="Arial" w:hAnsi="Arial"/>
          <w:sz w:val="20"/>
          <w:szCs w:val="20"/>
          <w:color w:val="auto"/>
        </w:rPr>
        <w:t>inventory.</w:t>
      </w:r>
    </w:p>
    <w:p>
      <w:pPr>
        <w:spacing w:after="0" w:line="68"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We did not appropriately design, implement and maintain effective controls over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recognition, relating to the proper application of Accounting Standards Codification Topic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w:t>
      </w:r>
    </w:p>
    <w:p>
      <w:pPr>
        <w:spacing w:after="0" w:line="82"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appropriately design, implement and maintain effective controls over the existence of</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Specifically, we did not design certain controls at an appropriate precision level to ensure the identification of material misstatements.</w:t>
      </w:r>
    </w:p>
    <w:p>
      <w:pPr>
        <w:spacing w:after="0" w:line="69" w:lineRule="exact"/>
        <w:rPr>
          <w:rFonts w:ascii="Arial" w:cs="Arial" w:eastAsia="Arial" w:hAnsi="Arial"/>
          <w:sz w:val="20"/>
          <w:szCs w:val="20"/>
          <w:color w:val="auto"/>
        </w:rPr>
      </w:pPr>
    </w:p>
    <w:p>
      <w:pPr>
        <w:jc w:val="both"/>
        <w:ind w:left="660" w:hanging="328"/>
        <w:spacing w:after="0" w:line="267"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Financial Reporting, Consolidation and Business Combination – </w:t>
      </w:r>
      <w:r>
        <w:rPr>
          <w:rFonts w:ascii="Arial" w:cs="Arial" w:eastAsia="Arial" w:hAnsi="Arial"/>
          <w:sz w:val="20"/>
          <w:szCs w:val="20"/>
          <w:color w:val="auto"/>
        </w:rPr>
        <w:t>We did not appropriately design, implement and</w:t>
      </w:r>
      <w:r>
        <w:rPr>
          <w:rFonts w:ascii="Arial" w:cs="Arial" w:eastAsia="Arial" w:hAnsi="Arial"/>
          <w:sz w:val="20"/>
          <w:szCs w:val="20"/>
          <w:i w:val="1"/>
          <w:iCs w:val="1"/>
          <w:color w:val="auto"/>
        </w:rPr>
        <w:t xml:space="preserve"> </w:t>
      </w:r>
      <w:r>
        <w:rPr>
          <w:rFonts w:ascii="Arial" w:cs="Arial" w:eastAsia="Arial" w:hAnsi="Arial"/>
          <w:sz w:val="20"/>
          <w:szCs w:val="20"/>
          <w:color w:val="auto"/>
        </w:rPr>
        <w:t>maintain effective controls over the financial reporting process. Specifically, we did not maintain effective controls related to (i) preparation of consolidated financial statements, (ii) the accounting for the business combination, including management review controls over the valuation and</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51" w:name="page52"/>
    <w:bookmarkEnd w:id="51"/>
    <w:p>
      <w:pPr>
        <w:jc w:val="both"/>
        <w:ind w:left="660"/>
        <w:spacing w:after="0" w:line="271" w:lineRule="auto"/>
        <w:rPr>
          <w:sz w:val="20"/>
          <w:szCs w:val="20"/>
          <w:color w:val="auto"/>
        </w:rPr>
      </w:pPr>
      <w:r>
        <w:rPr>
          <w:rFonts w:ascii="Arial" w:cs="Arial" w:eastAsia="Arial" w:hAnsi="Arial"/>
          <w:sz w:val="20"/>
          <w:szCs w:val="20"/>
          <w:color w:val="auto"/>
        </w:rPr>
        <w:t>purchase price allocation, at an appropriate level of precision to detect a material misstatement, and (iii) consolidation of our subsidiaries. In addition, we did not maintain sufficient appropriate audit evidence to demonstrate execution of the related controls.</w:t>
      </w:r>
    </w:p>
    <w:p>
      <w:pPr>
        <w:spacing w:after="0" w:line="65" w:lineRule="exact"/>
        <w:rPr>
          <w:sz w:val="20"/>
          <w:szCs w:val="20"/>
          <w:color w:val="auto"/>
        </w:rPr>
      </w:pPr>
    </w:p>
    <w:p>
      <w:pPr>
        <w:jc w:val="both"/>
        <w:ind w:left="660" w:hanging="328"/>
        <w:spacing w:after="0" w:line="267"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auto"/>
        </w:rPr>
        <w:t xml:space="preserve">Foreign Currency </w:t>
      </w:r>
      <w:r>
        <w:rPr>
          <w:rFonts w:ascii="Arial" w:cs="Arial" w:eastAsia="Arial" w:hAnsi="Arial"/>
          <w:sz w:val="20"/>
          <w:szCs w:val="20"/>
          <w:color w:val="auto"/>
        </w:rPr>
        <w:t>– We did not appropriately design, implement, and execute controls over foreign currency, including (i)</w:t>
      </w:r>
      <w:r>
        <w:rPr>
          <w:rFonts w:ascii="Arial" w:cs="Arial" w:eastAsia="Arial" w:hAnsi="Arial"/>
          <w:sz w:val="20"/>
          <w:szCs w:val="20"/>
          <w:i w:val="1"/>
          <w:iCs w:val="1"/>
          <w:color w:val="auto"/>
        </w:rPr>
        <w:t xml:space="preserve"> </w:t>
      </w:r>
      <w:r>
        <w:rPr>
          <w:rFonts w:ascii="Arial" w:cs="Arial" w:eastAsia="Arial" w:hAnsi="Arial"/>
          <w:sz w:val="20"/>
          <w:szCs w:val="20"/>
          <w:color w:val="auto"/>
        </w:rPr>
        <w:t>lack of identifying and recording our foreign subsidiaries’ goodwill and intangibles balances in the proper functional currency in our consolidated financial statements, and (ii) performing proper foreign currency translations. This resulted in the restatement of the Company’s interim unaudited condensed consolidated financial statements.</w:t>
      </w:r>
    </w:p>
    <w:p>
      <w:pPr>
        <w:spacing w:after="0" w:line="70" w:lineRule="exact"/>
        <w:rPr>
          <w:rFonts w:ascii="Arial" w:cs="Arial" w:eastAsia="Arial" w:hAnsi="Arial"/>
          <w:sz w:val="20"/>
          <w:szCs w:val="20"/>
          <w:color w:val="auto"/>
        </w:rPr>
      </w:pPr>
    </w:p>
    <w:p>
      <w:pPr>
        <w:ind w:left="660" w:hanging="328"/>
        <w:spacing w:after="0" w:line="324" w:lineRule="auto"/>
        <w:tabs>
          <w:tab w:leader="none" w:pos="648"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STI - </w:t>
      </w:r>
      <w:r>
        <w:rPr>
          <w:rFonts w:ascii="Arial" w:cs="Arial" w:eastAsia="Arial" w:hAnsi="Arial"/>
          <w:sz w:val="19"/>
          <w:szCs w:val="19"/>
          <w:color w:val="auto"/>
        </w:rPr>
        <w:t>As 2023 is the first year STI is required to be Sarbanes-Oxley Act of 2002 compliant, management is in the process</w:t>
      </w:r>
      <w:r>
        <w:rPr>
          <w:rFonts w:ascii="Arial" w:cs="Arial" w:eastAsia="Arial" w:hAnsi="Arial"/>
          <w:sz w:val="19"/>
          <w:szCs w:val="19"/>
          <w:i w:val="1"/>
          <w:iCs w:val="1"/>
          <w:color w:val="auto"/>
        </w:rPr>
        <w:t xml:space="preserve"> </w:t>
      </w:r>
      <w:r>
        <w:rPr>
          <w:rFonts w:ascii="Arial" w:cs="Arial" w:eastAsia="Arial" w:hAnsi="Arial"/>
          <w:sz w:val="19"/>
          <w:szCs w:val="19"/>
          <w:color w:val="auto"/>
        </w:rPr>
        <w:t>of conducting a formal ICFR assessment of STI and has identified material weaknesses in STI’s ICFR as follows:</w:t>
      </w:r>
    </w:p>
    <w:p>
      <w:pPr>
        <w:spacing w:after="0" w:line="23" w:lineRule="exact"/>
        <w:rPr>
          <w:rFonts w:ascii="Arial" w:cs="Arial" w:eastAsia="Arial" w:hAnsi="Arial"/>
          <w:sz w:val="19"/>
          <w:szCs w:val="19"/>
          <w:color w:val="auto"/>
        </w:rPr>
      </w:pPr>
    </w:p>
    <w:p>
      <w:pPr>
        <w:jc w:val="both"/>
        <w:ind w:left="1300" w:hanging="320"/>
        <w:spacing w:after="0" w:line="271" w:lineRule="auto"/>
        <w:tabs>
          <w:tab w:leader="none" w:pos="1316" w:val="left"/>
        </w:tabs>
        <w:numPr>
          <w:ilvl w:val="1"/>
          <w:numId w:val="23"/>
        </w:numPr>
        <w:rPr>
          <w:rFonts w:ascii="Arial" w:cs="Arial" w:eastAsia="Arial" w:hAnsi="Arial"/>
          <w:sz w:val="20"/>
          <w:szCs w:val="20"/>
          <w:color w:val="auto"/>
        </w:rPr>
      </w:pPr>
      <w:r>
        <w:rPr>
          <w:rFonts w:ascii="Arial" w:cs="Arial" w:eastAsia="Arial" w:hAnsi="Arial"/>
          <w:sz w:val="20"/>
          <w:szCs w:val="20"/>
          <w:color w:val="auto"/>
        </w:rPr>
        <w:t>We did not design, implement and monitor general information technology controls in the areas of program change management, user access, and segregation of duties for systems supporting substantially all of STI’s internal control processes.</w:t>
      </w:r>
    </w:p>
    <w:p>
      <w:pPr>
        <w:spacing w:after="0" w:line="71" w:lineRule="exact"/>
        <w:rPr>
          <w:rFonts w:ascii="Arial" w:cs="Arial" w:eastAsia="Arial" w:hAnsi="Arial"/>
          <w:sz w:val="20"/>
          <w:szCs w:val="20"/>
          <w:color w:val="auto"/>
        </w:rPr>
      </w:pPr>
    </w:p>
    <w:p>
      <w:pPr>
        <w:jc w:val="both"/>
        <w:ind w:left="1300" w:hanging="320"/>
        <w:spacing w:after="0" w:line="271" w:lineRule="auto"/>
        <w:tabs>
          <w:tab w:leader="none" w:pos="1289" w:val="left"/>
        </w:tabs>
        <w:numPr>
          <w:ilvl w:val="1"/>
          <w:numId w:val="23"/>
        </w:numPr>
        <w:rPr>
          <w:rFonts w:ascii="Arial" w:cs="Arial" w:eastAsia="Arial" w:hAnsi="Arial"/>
          <w:sz w:val="20"/>
          <w:szCs w:val="20"/>
          <w:color w:val="auto"/>
        </w:rPr>
      </w:pPr>
      <w:r>
        <w:rPr>
          <w:rFonts w:ascii="Arial" w:cs="Arial" w:eastAsia="Arial" w:hAnsi="Arial"/>
          <w:sz w:val="20"/>
          <w:szCs w:val="20"/>
          <w:color w:val="auto"/>
        </w:rPr>
        <w:t>We did not design and implement formal accounting policies, procedures and controls across substantially all of STI’s business processes to achieve timely, complete and accurate financial accounting, reporting, and disclosures.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are in the process of, and continue to focus on, designing and implementing effective measures to strengthen our ICFR and remediate the material weaknesses. Our planned remediation efforts include the following:</w:t>
      </w: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i w:val="1"/>
          <w:iCs w:val="1"/>
          <w:color w:val="auto"/>
        </w:rPr>
        <w:t xml:space="preserve">Control Environment, Risk Assessment and Monitoring – </w:t>
      </w:r>
      <w:r>
        <w:rPr>
          <w:rFonts w:ascii="Arial" w:cs="Arial" w:eastAsia="Arial" w:hAnsi="Arial"/>
          <w:sz w:val="19"/>
          <w:szCs w:val="19"/>
          <w:color w:val="auto"/>
        </w:rPr>
        <w:t>We have hired and will continue to hire additional resources</w:t>
      </w:r>
      <w:r>
        <w:rPr>
          <w:rFonts w:ascii="Arial" w:cs="Arial" w:eastAsia="Arial" w:hAnsi="Arial"/>
          <w:sz w:val="19"/>
          <w:szCs w:val="19"/>
          <w:i w:val="1"/>
          <w:iCs w:val="1"/>
          <w:color w:val="auto"/>
        </w:rPr>
        <w:t xml:space="preserve"> </w:t>
      </w:r>
      <w:r>
        <w:rPr>
          <w:rFonts w:ascii="Arial" w:cs="Arial" w:eastAsia="Arial" w:hAnsi="Arial"/>
          <w:sz w:val="19"/>
          <w:szCs w:val="19"/>
          <w:color w:val="auto"/>
        </w:rPr>
        <w:t>throughout 2023 in accounting and IT to supplement our existing capabilities and capacity; and we will concentrate on retaining key accounting, IT, and operational personnel. In 2023, we have engaged an outside global consulting firm to support our continued enhancement of the design and operation of monitoring controls and other activities that will allow us to timely assess the design and the operating effectiveness of our ICFR. In addition to enhancing our ICFR overall, the consulting firm has been specifically focused on the identification of new controls and the improvement of existing controls related to STI, inventory management, revenue recognition and accounts receivable as well as business combination controls for future acquisitions.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21" w:lineRule="exact"/>
        <w:rPr>
          <w:sz w:val="20"/>
          <w:szCs w:val="20"/>
          <w:color w:val="auto"/>
        </w:rPr>
      </w:pPr>
    </w:p>
    <w:p>
      <w:pPr>
        <w:jc w:val="both"/>
        <w:ind w:left="660" w:hanging="328"/>
        <w:spacing w:after="0" w:line="264"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continue to implement planned information system enhancements and the expansion of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system capabilities, which will result in improved reliance on automated controls and less reliance on manual controls. Additionally, we are enhancing existing controls and are implementing new controls over the accounting, processing and recording of inventory. Specifically, we have strengthened the operation of control activities over inventory-in-transit, deploying multiple levels of review and validation of information and supporting documentation. We expect to deploy final phases of information system enhancements by the end of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2" w:name="page53"/>
    <w:bookmarkEnd w:id="52"/>
    <w:p>
      <w:pPr>
        <w:jc w:val="both"/>
        <w:ind w:left="660" w:hanging="328"/>
        <w:spacing w:after="0" w:line="263"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and Accounts Receivable </w:t>
      </w:r>
      <w:r>
        <w:rPr>
          <w:rFonts w:ascii="Arial" w:cs="Arial" w:eastAsia="Arial" w:hAnsi="Arial"/>
          <w:sz w:val="20"/>
          <w:szCs w:val="20"/>
          <w:color w:val="auto"/>
        </w:rPr>
        <w:t>– We continue to evaluate our information system capabilities in order to</w:t>
      </w:r>
      <w:r>
        <w:rPr>
          <w:rFonts w:ascii="Arial" w:cs="Arial" w:eastAsia="Arial" w:hAnsi="Arial"/>
          <w:sz w:val="20"/>
          <w:szCs w:val="20"/>
          <w:i w:val="1"/>
          <w:iCs w:val="1"/>
          <w:color w:val="auto"/>
        </w:rPr>
        <w:t xml:space="preserve"> </w:t>
      </w:r>
      <w:r>
        <w:rPr>
          <w:rFonts w:ascii="Arial" w:cs="Arial" w:eastAsia="Arial" w:hAnsi="Arial"/>
          <w:sz w:val="20"/>
          <w:szCs w:val="20"/>
          <w:color w:val="auto"/>
        </w:rPr>
        <w:t>reduce the manual calculations within the revenue recognition business processes. We have begun to deploy information systems enhancements targeted at eliminating manual processes. Additionally, we are enhancing the design of existing controls to ensure completeness and accuracy of underlying source data for revenue recognition and customer billing, as well as designing monitoring controls to increase oversight and timely detection of potential errors. Lastly, we will continue to supplement our accounting staff with more experienced personnel which will enable us to incorporate an additional level of review.</w:t>
      </w:r>
    </w:p>
    <w:p>
      <w:pPr>
        <w:spacing w:after="0" w:line="220" w:lineRule="exact"/>
        <w:rPr>
          <w:rFonts w:ascii="Arial" w:cs="Arial" w:eastAsia="Arial" w:hAnsi="Arial"/>
          <w:sz w:val="20"/>
          <w:szCs w:val="20"/>
          <w:color w:val="auto"/>
        </w:rPr>
      </w:pPr>
    </w:p>
    <w:p>
      <w:pPr>
        <w:jc w:val="both"/>
        <w:ind w:left="660" w:hanging="328"/>
        <w:spacing w:after="0" w:line="261"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20"/>
          <w:szCs w:val="20"/>
          <w:i w:val="1"/>
          <w:iCs w:val="1"/>
          <w:color w:val="auto"/>
        </w:rPr>
        <w:t xml:space="preserve">Foreign Currency – </w:t>
      </w:r>
      <w:r>
        <w:rPr>
          <w:rFonts w:ascii="Arial" w:cs="Arial" w:eastAsia="Arial" w:hAnsi="Arial"/>
          <w:sz w:val="20"/>
          <w:szCs w:val="20"/>
          <w:color w:val="auto"/>
        </w:rPr>
        <w:t>We have implemented information system enhancements which will automate this previously manual</w:t>
      </w:r>
      <w:r>
        <w:rPr>
          <w:rFonts w:ascii="Arial" w:cs="Arial" w:eastAsia="Arial" w:hAnsi="Arial"/>
          <w:sz w:val="20"/>
          <w:szCs w:val="20"/>
          <w:i w:val="1"/>
          <w:iCs w:val="1"/>
          <w:color w:val="auto"/>
        </w:rPr>
        <w:t xml:space="preserve"> </w:t>
      </w:r>
      <w:r>
        <w:rPr>
          <w:rFonts w:ascii="Arial" w:cs="Arial" w:eastAsia="Arial" w:hAnsi="Arial"/>
          <w:sz w:val="20"/>
          <w:szCs w:val="20"/>
          <w:color w:val="auto"/>
        </w:rPr>
        <w:t>process. We will we utilize the enhancements in parallel with our manual process for the near term until the enhancements are fully deployed and the process is completely automated. We have continued to enhance the design of existing controls and processes related to the foreign currency translation process and over the consolidation of foreign entities into our condensed consolidated financial statements.</w:t>
      </w:r>
    </w:p>
    <w:p>
      <w:pPr>
        <w:spacing w:after="0" w:line="222" w:lineRule="exact"/>
        <w:rPr>
          <w:rFonts w:ascii="Arial" w:cs="Arial" w:eastAsia="Arial" w:hAnsi="Arial"/>
          <w:sz w:val="22"/>
          <w:szCs w:val="22"/>
          <w:color w:val="auto"/>
        </w:rPr>
      </w:pPr>
    </w:p>
    <w:p>
      <w:pPr>
        <w:jc w:val="both"/>
        <w:ind w:left="660" w:hanging="328"/>
        <w:spacing w:after="0" w:line="274" w:lineRule="auto"/>
        <w:tabs>
          <w:tab w:leader="none" w:pos="648"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Other Areas </w:t>
      </w:r>
      <w:r>
        <w:rPr>
          <w:rFonts w:ascii="Arial" w:cs="Arial" w:eastAsia="Arial" w:hAnsi="Arial"/>
          <w:sz w:val="19"/>
          <w:szCs w:val="19"/>
          <w:color w:val="auto"/>
        </w:rPr>
        <w:t>– We are in the process of remediation activities, including enhancing the design and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effectiveness of controls around our ICFR. We are actively working with an outside global consulting firm to assist us with</w:t>
      </w:r>
    </w:p>
    <w:p>
      <w:pPr>
        <w:spacing w:after="0" w:line="1" w:lineRule="exact"/>
        <w:rPr>
          <w:rFonts w:ascii="Arial" w:cs="Arial" w:eastAsia="Arial" w:hAnsi="Arial"/>
          <w:sz w:val="19"/>
          <w:szCs w:val="19"/>
          <w:color w:val="auto"/>
        </w:rPr>
      </w:pPr>
    </w:p>
    <w:p>
      <w:pPr>
        <w:jc w:val="both"/>
        <w:ind w:left="660" w:hanging="4"/>
        <w:spacing w:after="0" w:line="262" w:lineRule="auto"/>
        <w:tabs>
          <w:tab w:leader="none" w:pos="892"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reviewing our current processes, procedures, and systems to assess our ICFR to identify opportunities to enhance the design of controls to address relevant risks identified by management, and (ii) enhancing and implementing protocols to retain sufficient documentary evidence of operating effectiveness of such controls. Additional activities in process include the following:</w:t>
      </w:r>
    </w:p>
    <w:p>
      <w:pPr>
        <w:spacing w:after="0" w:line="94" w:lineRule="exact"/>
        <w:rPr>
          <w:rFonts w:ascii="Arial" w:cs="Arial" w:eastAsia="Arial" w:hAnsi="Arial"/>
          <w:sz w:val="20"/>
          <w:szCs w:val="20"/>
          <w:color w:val="auto"/>
        </w:rPr>
      </w:pPr>
    </w:p>
    <w:p>
      <w:pPr>
        <w:ind w:left="1300" w:hanging="320"/>
        <w:spacing w:after="0" w:line="275" w:lineRule="auto"/>
        <w:tabs>
          <w:tab w:leader="none" w:pos="1289" w:val="left"/>
        </w:tabs>
        <w:numPr>
          <w:ilvl w:val="2"/>
          <w:numId w:val="25"/>
        </w:numPr>
        <w:rPr>
          <w:rFonts w:ascii="Arial" w:cs="Arial" w:eastAsia="Arial" w:hAnsi="Arial"/>
          <w:sz w:val="20"/>
          <w:szCs w:val="20"/>
          <w:color w:val="auto"/>
        </w:rPr>
      </w:pPr>
      <w:r>
        <w:rPr>
          <w:rFonts w:ascii="Arial" w:cs="Arial" w:eastAsia="Arial" w:hAnsi="Arial"/>
          <w:sz w:val="20"/>
          <w:szCs w:val="20"/>
          <w:color w:val="auto"/>
        </w:rPr>
        <w:t>Continuing to enhance and formalize our accounting and business operations policies, procedures, and controls to achieve complete, accurate, and timely financial accounting, reporting and necessary disclosures;</w:t>
      </w:r>
    </w:p>
    <w:p>
      <w:pPr>
        <w:spacing w:after="0" w:line="66" w:lineRule="exact"/>
        <w:rPr>
          <w:rFonts w:ascii="Arial" w:cs="Arial" w:eastAsia="Arial" w:hAnsi="Arial"/>
          <w:sz w:val="20"/>
          <w:szCs w:val="20"/>
          <w:color w:val="auto"/>
        </w:rPr>
      </w:pPr>
    </w:p>
    <w:p>
      <w:pPr>
        <w:jc w:val="both"/>
        <w:ind w:left="1300" w:hanging="320"/>
        <w:spacing w:after="0" w:line="271" w:lineRule="auto"/>
        <w:tabs>
          <w:tab w:leader="none" w:pos="1303" w:val="left"/>
        </w:tabs>
        <w:numPr>
          <w:ilvl w:val="2"/>
          <w:numId w:val="25"/>
        </w:numPr>
        <w:rPr>
          <w:rFonts w:ascii="Arial" w:cs="Arial" w:eastAsia="Arial" w:hAnsi="Arial"/>
          <w:sz w:val="20"/>
          <w:szCs w:val="20"/>
          <w:color w:val="auto"/>
        </w:rPr>
      </w:pPr>
      <w:r>
        <w:rPr>
          <w:rFonts w:ascii="Arial" w:cs="Arial" w:eastAsia="Arial" w:hAnsi="Arial"/>
          <w:sz w:val="20"/>
          <w:szCs w:val="20"/>
          <w:color w:val="auto"/>
        </w:rPr>
        <w:t>Enhancing policies and procedures to retain adequate documentary evidence for relevant management review controls over certain business processes including precision of review and evidence of review procedures performed to demonstrate effective operation of such controls; and</w:t>
      </w:r>
    </w:p>
    <w:p>
      <w:pPr>
        <w:spacing w:after="0" w:line="71" w:lineRule="exact"/>
        <w:rPr>
          <w:rFonts w:ascii="Arial" w:cs="Arial" w:eastAsia="Arial" w:hAnsi="Arial"/>
          <w:sz w:val="20"/>
          <w:szCs w:val="20"/>
          <w:color w:val="auto"/>
        </w:rPr>
      </w:pPr>
    </w:p>
    <w:p>
      <w:pPr>
        <w:ind w:left="1300" w:hanging="320"/>
        <w:spacing w:after="0" w:line="289" w:lineRule="auto"/>
        <w:tabs>
          <w:tab w:leader="none" w:pos="1316" w:val="left"/>
        </w:tabs>
        <w:numPr>
          <w:ilvl w:val="2"/>
          <w:numId w:val="25"/>
        </w:numPr>
        <w:rPr>
          <w:rFonts w:ascii="Arial" w:cs="Arial" w:eastAsia="Arial" w:hAnsi="Arial"/>
          <w:sz w:val="20"/>
          <w:szCs w:val="20"/>
          <w:color w:val="auto"/>
        </w:rPr>
      </w:pPr>
      <w:r>
        <w:rPr>
          <w:rFonts w:ascii="Arial" w:cs="Arial" w:eastAsia="Arial" w:hAnsi="Arial"/>
          <w:sz w:val="20"/>
          <w:szCs w:val="20"/>
          <w:color w:val="auto"/>
        </w:rPr>
        <w:t>Developing monitoring controls and protocols that will allow us to timely assess the design and the operating effectiveness of controls over financial reporting and make necessary changes to the design of controls, if any.</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While these actions currently in process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Other than as discussed above, there were no other changes to our internal control over financial reporting during the three months ended September 30, 2023, that have materially affected, or that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Item 1. Legal Proceedings</w:t>
      </w:r>
    </w:p>
    <w:p>
      <w:pPr>
        <w:spacing w:after="0" w:line="26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See </w:t>
      </w:r>
      <w:r>
        <w:rPr>
          <w:rFonts w:ascii="Arial" w:cs="Arial" w:eastAsia="Arial" w:hAnsi="Arial"/>
          <w:sz w:val="19"/>
          <w:szCs w:val="19"/>
          <w:u w:val="single" w:color="auto"/>
          <w:color w:val="0000FF"/>
        </w:rPr>
        <w:t>Note 11 – Commitments and Contingencies</w:t>
      </w:r>
      <w:r>
        <w:rPr>
          <w:rFonts w:ascii="Arial" w:cs="Arial" w:eastAsia="Arial" w:hAnsi="Arial"/>
          <w:sz w:val="19"/>
          <w:szCs w:val="19"/>
          <w:color w:val="auto"/>
        </w:rPr>
        <w:t xml:space="preserve"> 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80" w:lineRule="exact"/>
        <w:rPr>
          <w:sz w:val="20"/>
          <w:szCs w:val="20"/>
          <w:color w:val="auto"/>
        </w:rPr>
      </w:pPr>
    </w:p>
    <w:p>
      <w:pPr>
        <w:jc w:val="both"/>
        <w:spacing w:after="0" w:line="265" w:lineRule="auto"/>
        <w:rPr>
          <w:rFonts w:ascii="Arial" w:cs="Arial" w:eastAsia="Arial" w:hAnsi="Arial"/>
          <w:sz w:val="20"/>
          <w:szCs w:val="20"/>
          <w:color w:val="0000FF"/>
        </w:rPr>
      </w:pPr>
      <w:r>
        <w:rPr>
          <w:rFonts w:ascii="Arial" w:cs="Arial" w:eastAsia="Arial" w:hAnsi="Arial"/>
          <w:sz w:val="20"/>
          <w:szCs w:val="20"/>
          <w:color w:val="auto"/>
        </w:rPr>
        <w:t xml:space="preserve">Except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 Financial</w:t>
      </w:r>
      <w:r>
        <w:rPr>
          <w:rFonts w:ascii="Arial" w:cs="Arial" w:eastAsia="Arial" w:hAnsi="Arial"/>
          <w:sz w:val="20"/>
          <w:szCs w:val="20"/>
          <w:color w:val="auto"/>
        </w:rPr>
        <w:t xml:space="preserve"> </w:t>
      </w:r>
      <w:hyperlink r:id="rId85">
        <w:r>
          <w:rPr>
            <w:rFonts w:ascii="Arial" w:cs="Arial" w:eastAsia="Arial" w:hAnsi="Arial"/>
            <w:sz w:val="20"/>
            <w:szCs w:val="20"/>
            <w:u w:val="single" w:color="auto"/>
            <w:color w:val="0000FF"/>
          </w:rPr>
          <w:t>Condition and Results of Operations”</w:t>
        </w:r>
        <w:r>
          <w:rPr>
            <w:rFonts w:ascii="Arial" w:cs="Arial" w:eastAsia="Arial" w:hAnsi="Arial"/>
            <w:sz w:val="20"/>
            <w:szCs w:val="20"/>
            <w:color w:val="000000"/>
            <w:highlight w:val="white"/>
          </w:rPr>
          <w:t>) there were no material changes to the risk factors disclosed in Part I, Item 1A, in our</w:t>
        </w:r>
        <w:r>
          <w:rPr>
            <w:rFonts w:ascii="Arial" w:cs="Arial" w:eastAsia="Arial" w:hAnsi="Arial"/>
            <w:sz w:val="20"/>
            <w:szCs w:val="20"/>
            <w:color w:val="0000FF"/>
          </w:rPr>
          <w:t xml:space="preserve"> </w:t>
        </w:r>
        <w:r>
          <w:rPr>
            <w:rFonts w:ascii="Arial" w:cs="Arial" w:eastAsia="Arial" w:hAnsi="Arial"/>
            <w:sz w:val="20"/>
            <w:szCs w:val="20"/>
            <w:u w:val="single" w:color="auto"/>
            <w:color w:val="0000FF"/>
            <w:highlight w:val="white"/>
          </w:rPr>
          <w:t>2022</w:t>
        </w:r>
      </w:hyperlink>
      <w:r>
        <w:rPr>
          <w:rFonts w:ascii="Arial" w:cs="Arial" w:eastAsia="Arial" w:hAnsi="Arial"/>
          <w:sz w:val="20"/>
          <w:szCs w:val="20"/>
          <w:color w:val="0000FF"/>
        </w:rPr>
        <w:t xml:space="preserve"> </w:t>
      </w:r>
      <w:hyperlink r:id="rId85">
        <w:r>
          <w:rPr>
            <w:rFonts w:ascii="Arial" w:cs="Arial" w:eastAsia="Arial" w:hAnsi="Arial"/>
            <w:sz w:val="20"/>
            <w:szCs w:val="20"/>
            <w:u w:val="single" w:color="auto"/>
            <w:color w:val="0000FF"/>
          </w:rPr>
          <w:t>Annual Report</w:t>
        </w:r>
        <w:r>
          <w:rPr>
            <w:rFonts w:ascii="Arial" w:cs="Arial" w:eastAsia="Arial" w:hAnsi="Arial"/>
            <w:sz w:val="20"/>
            <w:szCs w:val="20"/>
            <w:color w:val="000000"/>
          </w:rPr>
          <w:t>.</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During the third quarter of 2023, certain of our directors and officers (as defined in Rule 16a-1(f) under the Securities Exchange Act of 1934, as amended (the “Exchange Act”))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“Trading Plans” and each one as a “Trading Plan.”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material terms of these Trading Plans: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1460" w:type="dxa"/>
            <w:vAlign w:val="bottom"/>
            <w:vMerge w:val="restart"/>
          </w:tcPr>
          <w:p>
            <w:pPr>
              <w:jc w:val="center"/>
              <w:ind w:left="90"/>
              <w:spacing w:after="0"/>
              <w:rPr>
                <w:sz w:val="20"/>
                <w:szCs w:val="20"/>
                <w:color w:val="auto"/>
              </w:rPr>
            </w:pPr>
            <w:r>
              <w:rPr>
                <w:rFonts w:ascii="Arial" w:cs="Arial" w:eastAsia="Arial" w:hAnsi="Arial"/>
                <w:sz w:val="20"/>
                <w:szCs w:val="20"/>
                <w:b w:val="1"/>
                <w:bCs w:val="1"/>
                <w:color w:val="auto"/>
                <w:w w:val="97"/>
              </w:rPr>
              <w:t>Action &amp;</w:t>
            </w:r>
          </w:p>
        </w:tc>
        <w:tc>
          <w:tcPr>
            <w:tcW w:w="19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8"/>
              </w:rPr>
              <w:t>Scheduled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60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7"/>
              </w:rPr>
              <w:t>Termination of</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vMerge w:val="restart"/>
          </w:tcPr>
          <w:p>
            <w:pPr>
              <w:spacing w:after="0"/>
              <w:rPr>
                <w:sz w:val="20"/>
                <w:szCs w:val="20"/>
                <w:color w:val="auto"/>
              </w:rPr>
            </w:pPr>
            <w:r>
              <w:rPr>
                <w:rFonts w:ascii="Arial" w:cs="Arial" w:eastAsia="Arial" w:hAnsi="Arial"/>
                <w:sz w:val="20"/>
                <w:szCs w:val="20"/>
                <w:b w:val="1"/>
                <w:bCs w:val="1"/>
                <w:color w:val="auto"/>
              </w:rPr>
              <w:t>Director/Officer</w:t>
            </w:r>
          </w:p>
        </w:tc>
        <w:tc>
          <w:tcPr>
            <w:tcW w:w="1460" w:type="dxa"/>
            <w:vAlign w:val="bottom"/>
          </w:tcPr>
          <w:p>
            <w:pPr>
              <w:jc w:val="center"/>
              <w:ind w:left="90"/>
              <w:spacing w:after="0"/>
              <w:rPr>
                <w:sz w:val="20"/>
                <w:szCs w:val="20"/>
                <w:color w:val="auto"/>
              </w:rPr>
            </w:pPr>
            <w:r>
              <w:rPr>
                <w:rFonts w:ascii="Arial" w:cs="Arial" w:eastAsia="Arial" w:hAnsi="Arial"/>
                <w:sz w:val="20"/>
                <w:szCs w:val="20"/>
                <w:b w:val="1"/>
                <w:bCs w:val="1"/>
                <w:color w:val="auto"/>
              </w:rPr>
              <w:t>Date of</w:t>
            </w:r>
          </w:p>
        </w:tc>
        <w:tc>
          <w:tcPr>
            <w:tcW w:w="1900" w:type="dxa"/>
            <w:vAlign w:val="bottom"/>
          </w:tcPr>
          <w:p>
            <w:pPr>
              <w:jc w:val="center"/>
              <w:spacing w:after="0"/>
              <w:rPr>
                <w:sz w:val="20"/>
                <w:szCs w:val="20"/>
                <w:color w:val="auto"/>
              </w:rPr>
            </w:pPr>
            <w:r>
              <w:rPr>
                <w:rFonts w:ascii="Arial" w:cs="Arial" w:eastAsia="Arial" w:hAnsi="Arial"/>
                <w:sz w:val="20"/>
                <w:szCs w:val="20"/>
                <w:b w:val="1"/>
                <w:bCs w:val="1"/>
                <w:color w:val="auto"/>
                <w:w w:val="98"/>
              </w:rPr>
              <w:t>Commencement of</w:t>
            </w:r>
          </w:p>
        </w:tc>
        <w:tc>
          <w:tcPr>
            <w:tcW w:w="1600" w:type="dxa"/>
            <w:vAlign w:val="bottom"/>
          </w:tcPr>
          <w:p>
            <w:pPr>
              <w:jc w:val="center"/>
              <w:spacing w:after="0"/>
              <w:rPr>
                <w:sz w:val="20"/>
                <w:szCs w:val="20"/>
                <w:color w:val="auto"/>
              </w:rPr>
            </w:pPr>
            <w:r>
              <w:rPr>
                <w:rFonts w:ascii="Arial" w:cs="Arial" w:eastAsia="Arial" w:hAnsi="Arial"/>
                <w:sz w:val="20"/>
                <w:szCs w:val="20"/>
                <w:b w:val="1"/>
                <w:bCs w:val="1"/>
                <w:color w:val="auto"/>
                <w:w w:val="97"/>
              </w:rPr>
              <w:t>Trading Period</w:t>
            </w:r>
          </w:p>
        </w:tc>
        <w:tc>
          <w:tcPr>
            <w:tcW w:w="940" w:type="dxa"/>
            <w:vAlign w:val="bottom"/>
          </w:tcPr>
          <w:p>
            <w:pPr>
              <w:jc w:val="center"/>
              <w:ind w:left="35"/>
              <w:spacing w:after="0"/>
              <w:rPr>
                <w:sz w:val="20"/>
                <w:szCs w:val="20"/>
                <w:color w:val="auto"/>
              </w:rPr>
            </w:pPr>
            <w:r>
              <w:rPr>
                <w:rFonts w:ascii="Arial" w:cs="Arial" w:eastAsia="Arial" w:hAnsi="Arial"/>
                <w:sz w:val="20"/>
                <w:szCs w:val="20"/>
                <w:b w:val="1"/>
                <w:bCs w:val="1"/>
                <w:color w:val="auto"/>
                <w:w w:val="98"/>
              </w:rPr>
              <w:t>Security</w:t>
            </w: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1460" w:type="dxa"/>
            <w:vAlign w:val="bottom"/>
          </w:tcPr>
          <w:p>
            <w:pPr>
              <w:jc w:val="center"/>
              <w:ind w:left="90"/>
              <w:spacing w:after="0" w:line="81" w:lineRule="exact"/>
              <w:rPr>
                <w:sz w:val="20"/>
                <w:szCs w:val="20"/>
                <w:color w:val="auto"/>
              </w:rPr>
            </w:pPr>
            <w:r>
              <w:rPr>
                <w:rFonts w:ascii="Arial" w:cs="Arial" w:eastAsia="Arial" w:hAnsi="Arial"/>
                <w:sz w:val="9"/>
                <w:szCs w:val="9"/>
                <w:b w:val="1"/>
                <w:bCs w:val="1"/>
                <w:color w:val="auto"/>
              </w:rPr>
              <w:t>Action</w:t>
            </w:r>
          </w:p>
        </w:tc>
        <w:tc>
          <w:tcPr>
            <w:tcW w:w="19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Trading Period</w:t>
            </w: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(1)</w:t>
            </w:r>
          </w:p>
        </w:tc>
        <w:tc>
          <w:tcPr>
            <w:tcW w:w="940" w:type="dxa"/>
            <w:vAlign w:val="bottom"/>
          </w:tcPr>
          <w:p>
            <w:pPr>
              <w:jc w:val="center"/>
              <w:ind w:left="35"/>
              <w:spacing w:after="0" w:line="81" w:lineRule="exact"/>
              <w:rPr>
                <w:sz w:val="20"/>
                <w:szCs w:val="20"/>
                <w:color w:val="auto"/>
              </w:rPr>
            </w:pPr>
            <w:r>
              <w:rPr>
                <w:rFonts w:ascii="Arial" w:cs="Arial" w:eastAsia="Arial" w:hAnsi="Arial"/>
                <w:sz w:val="9"/>
                <w:szCs w:val="9"/>
                <w:b w:val="1"/>
                <w:bCs w:val="1"/>
                <w:color w:val="auto"/>
              </w:rPr>
              <w:t>Covered</w:t>
            </w: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680" w:type="dxa"/>
            <w:vAlign w:val="bottom"/>
          </w:tcPr>
          <w:p>
            <w:pPr>
              <w:spacing w:after="0"/>
              <w:rPr>
                <w:sz w:val="20"/>
                <w:szCs w:val="20"/>
                <w:color w:val="auto"/>
              </w:rPr>
            </w:pPr>
            <w:r>
              <w:rPr>
                <w:rFonts w:ascii="Arial" w:cs="Arial" w:eastAsia="Arial" w:hAnsi="Arial"/>
                <w:sz w:val="20"/>
                <w:szCs w:val="20"/>
                <w:color w:val="auto"/>
              </w:rPr>
              <w:t>Kevin Hosteller,</w:t>
            </w:r>
          </w:p>
        </w:tc>
        <w:tc>
          <w:tcPr>
            <w:tcW w:w="1460" w:type="dxa"/>
            <w:vAlign w:val="bottom"/>
          </w:tcPr>
          <w:p>
            <w:pPr>
              <w:jc w:val="center"/>
              <w:ind w:left="70"/>
              <w:spacing w:after="0"/>
              <w:rPr>
                <w:sz w:val="20"/>
                <w:szCs w:val="20"/>
                <w:color w:val="auto"/>
              </w:rPr>
            </w:pPr>
            <w:r>
              <w:rPr>
                <w:rFonts w:ascii="Arial" w:cs="Arial" w:eastAsia="Arial" w:hAnsi="Arial"/>
                <w:sz w:val="20"/>
                <w:szCs w:val="20"/>
                <w:color w:val="auto"/>
                <w:w w:val="98"/>
              </w:rPr>
              <w:t>Adoption</w:t>
            </w:r>
          </w:p>
        </w:tc>
        <w:tc>
          <w:tcPr>
            <w:tcW w:w="19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line="216" w:lineRule="exact"/>
              <w:rPr>
                <w:sz w:val="20"/>
                <w:szCs w:val="20"/>
                <w:color w:val="auto"/>
              </w:rPr>
            </w:pPr>
            <w:r>
              <w:rPr>
                <w:rFonts w:ascii="Arial" w:cs="Arial" w:eastAsia="Arial" w:hAnsi="Arial"/>
                <w:sz w:val="20"/>
                <w:szCs w:val="20"/>
                <w:color w:val="auto"/>
              </w:rPr>
              <w:t>Chief Executive</w:t>
            </w:r>
          </w:p>
        </w:tc>
        <w:tc>
          <w:tcPr>
            <w:tcW w:w="1460" w:type="dxa"/>
            <w:vAlign w:val="bottom"/>
          </w:tcPr>
          <w:p>
            <w:pPr>
              <w:jc w:val="center"/>
              <w:ind w:left="90"/>
              <w:spacing w:after="0" w:line="216" w:lineRule="exact"/>
              <w:rPr>
                <w:sz w:val="20"/>
                <w:szCs w:val="20"/>
                <w:color w:val="auto"/>
              </w:rPr>
            </w:pPr>
            <w:r>
              <w:rPr>
                <w:rFonts w:ascii="Arial" w:cs="Arial" w:eastAsia="Arial" w:hAnsi="Arial"/>
                <w:sz w:val="20"/>
                <w:szCs w:val="20"/>
                <w:color w:val="auto"/>
                <w:w w:val="99"/>
              </w:rPr>
              <w:t>September 5,</w:t>
            </w:r>
          </w:p>
        </w:tc>
        <w:tc>
          <w:tcPr>
            <w:tcW w:w="19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40" w:type="dxa"/>
            <w:vAlign w:val="bottom"/>
          </w:tcPr>
          <w:p>
            <w:pPr>
              <w:jc w:val="center"/>
              <w:ind w:left="35"/>
              <w:spacing w:after="0" w:line="216" w:lineRule="exact"/>
              <w:rPr>
                <w:sz w:val="20"/>
                <w:szCs w:val="20"/>
                <w:color w:val="auto"/>
              </w:rPr>
            </w:pPr>
            <w:r>
              <w:rPr>
                <w:rFonts w:ascii="Arial" w:cs="Arial" w:eastAsia="Arial" w:hAnsi="Arial"/>
                <w:sz w:val="20"/>
                <w:szCs w:val="20"/>
                <w:color w:val="auto"/>
              </w:rPr>
              <w:t>Common</w:t>
            </w:r>
          </w:p>
        </w:tc>
        <w:tc>
          <w:tcPr>
            <w:tcW w:w="0" w:type="dxa"/>
            <w:vAlign w:val="bottom"/>
          </w:tcPr>
          <w:p>
            <w:pPr>
              <w:spacing w:after="0"/>
              <w:rPr>
                <w:sz w:val="1"/>
                <w:szCs w:val="1"/>
                <w:color w:val="auto"/>
              </w:rPr>
            </w:pPr>
          </w:p>
        </w:tc>
      </w:tr>
      <w:tr>
        <w:trPr>
          <w:trHeight w:val="265"/>
        </w:trPr>
        <w:tc>
          <w:tcPr>
            <w:tcW w:w="1680" w:type="dxa"/>
            <w:vAlign w:val="bottom"/>
          </w:tcPr>
          <w:p>
            <w:pPr>
              <w:spacing w:after="0"/>
              <w:rPr>
                <w:sz w:val="20"/>
                <w:szCs w:val="20"/>
                <w:color w:val="auto"/>
              </w:rPr>
            </w:pPr>
            <w:r>
              <w:rPr>
                <w:rFonts w:ascii="Arial" w:cs="Arial" w:eastAsia="Arial" w:hAnsi="Arial"/>
                <w:sz w:val="20"/>
                <w:szCs w:val="20"/>
                <w:color w:val="auto"/>
              </w:rPr>
              <w:t>Officer</w:t>
            </w:r>
          </w:p>
        </w:tc>
        <w:tc>
          <w:tcPr>
            <w:tcW w:w="1460" w:type="dxa"/>
            <w:vAlign w:val="bottom"/>
          </w:tcPr>
          <w:p>
            <w:pPr>
              <w:jc w:val="center"/>
              <w:ind w:left="90"/>
              <w:spacing w:after="0"/>
              <w:rPr>
                <w:sz w:val="20"/>
                <w:szCs w:val="20"/>
                <w:color w:val="auto"/>
              </w:rPr>
            </w:pPr>
            <w:r>
              <w:rPr>
                <w:rFonts w:ascii="Arial" w:cs="Arial" w:eastAsia="Arial" w:hAnsi="Arial"/>
                <w:sz w:val="20"/>
                <w:szCs w:val="20"/>
                <w:color w:val="auto"/>
                <w:w w:val="98"/>
              </w:rPr>
              <w:t>2023</w:t>
            </w:r>
          </w:p>
        </w:tc>
        <w:tc>
          <w:tcPr>
            <w:tcW w:w="1900" w:type="dxa"/>
            <w:vAlign w:val="bottom"/>
          </w:tcPr>
          <w:p>
            <w:pPr>
              <w:jc w:val="center"/>
              <w:spacing w:after="0"/>
              <w:rPr>
                <w:sz w:val="20"/>
                <w:szCs w:val="20"/>
                <w:color w:val="auto"/>
              </w:rPr>
            </w:pPr>
            <w:r>
              <w:rPr>
                <w:rFonts w:ascii="Arial" w:cs="Arial" w:eastAsia="Arial" w:hAnsi="Arial"/>
                <w:sz w:val="20"/>
                <w:szCs w:val="20"/>
                <w:color w:val="auto"/>
                <w:w w:val="99"/>
              </w:rPr>
              <w:t>January 12, 2024</w:t>
            </w:r>
          </w:p>
        </w:tc>
        <w:tc>
          <w:tcPr>
            <w:tcW w:w="1600" w:type="dxa"/>
            <w:vAlign w:val="bottom"/>
          </w:tcPr>
          <w:p>
            <w:pPr>
              <w:jc w:val="center"/>
              <w:spacing w:after="0"/>
              <w:rPr>
                <w:sz w:val="20"/>
                <w:szCs w:val="20"/>
                <w:color w:val="auto"/>
              </w:rPr>
            </w:pPr>
            <w:r>
              <w:rPr>
                <w:rFonts w:ascii="Arial" w:cs="Arial" w:eastAsia="Arial" w:hAnsi="Arial"/>
                <w:sz w:val="20"/>
                <w:szCs w:val="20"/>
                <w:color w:val="auto"/>
                <w:w w:val="98"/>
              </w:rPr>
              <w:t>August 30, 2024</w:t>
            </w:r>
          </w:p>
        </w:tc>
        <w:tc>
          <w:tcPr>
            <w:tcW w:w="940" w:type="dxa"/>
            <w:vAlign w:val="bottom"/>
          </w:tcPr>
          <w:p>
            <w:pPr>
              <w:jc w:val="center"/>
              <w:ind w:left="35"/>
              <w:spacing w:after="0"/>
              <w:rPr>
                <w:sz w:val="20"/>
                <w:szCs w:val="20"/>
                <w:color w:val="auto"/>
              </w:rPr>
            </w:pPr>
            <w:r>
              <w:rPr>
                <w:rFonts w:ascii="Arial" w:cs="Arial" w:eastAsia="Arial" w:hAnsi="Arial"/>
                <w:sz w:val="20"/>
                <w:szCs w:val="20"/>
                <w:color w:val="auto"/>
                <w:w w:val="99"/>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9"/>
              </w:rPr>
              <w:t>Maximum Number of</w:t>
            </w:r>
          </w:p>
        </w:tc>
        <w:tc>
          <w:tcPr>
            <w:tcW w:w="1200" w:type="dxa"/>
            <w:vAlign w:val="bottom"/>
          </w:tcPr>
          <w:p>
            <w:pPr>
              <w:spacing w:after="0"/>
              <w:rPr>
                <w:sz w:val="19"/>
                <w:szCs w:val="19"/>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9"/>
              </w:rPr>
              <w:t>Securities to be</w:t>
            </w:r>
          </w:p>
        </w:tc>
        <w:tc>
          <w:tcPr>
            <w:tcW w:w="1200" w:type="dxa"/>
            <w:vAlign w:val="bottom"/>
          </w:tcPr>
          <w:p>
            <w:pPr>
              <w:spacing w:after="0"/>
              <w:rPr>
                <w:sz w:val="19"/>
                <w:szCs w:val="19"/>
                <w:color w:val="auto"/>
              </w:rPr>
            </w:pPr>
          </w:p>
        </w:tc>
      </w:tr>
      <w:tr>
        <w:trPr>
          <w:trHeight w:val="216"/>
        </w:trPr>
        <w:tc>
          <w:tcPr>
            <w:tcW w:w="21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Purchased or Sold</w:t>
            </w:r>
          </w:p>
        </w:tc>
        <w:tc>
          <w:tcPr>
            <w:tcW w:w="12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rPr>
              <w:t>Covers</w:t>
            </w:r>
          </w:p>
        </w:tc>
      </w:tr>
      <w:tr>
        <w:trPr>
          <w:trHeight w:val="229"/>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9"/>
              </w:rPr>
              <w:t>Pursuant to the Rule</w:t>
            </w:r>
          </w:p>
        </w:tc>
        <w:tc>
          <w:tcPr>
            <w:tcW w:w="1200" w:type="dxa"/>
            <w:vAlign w:val="bottom"/>
          </w:tcPr>
          <w:p>
            <w:pPr>
              <w:jc w:val="center"/>
              <w:spacing w:after="0"/>
              <w:rPr>
                <w:sz w:val="20"/>
                <w:szCs w:val="20"/>
                <w:color w:val="auto"/>
              </w:rPr>
            </w:pPr>
            <w:r>
              <w:rPr>
                <w:rFonts w:ascii="Arial" w:cs="Arial" w:eastAsia="Arial" w:hAnsi="Arial"/>
                <w:sz w:val="20"/>
                <w:szCs w:val="20"/>
                <w:b w:val="1"/>
                <w:bCs w:val="1"/>
                <w:color w:val="auto"/>
              </w:rPr>
              <w:t>Purchase or</w:t>
            </w:r>
          </w:p>
        </w:tc>
      </w:tr>
      <w:tr>
        <w:trPr>
          <w:trHeight w:val="358"/>
        </w:trPr>
        <w:tc>
          <w:tcPr>
            <w:tcW w:w="2140" w:type="dxa"/>
            <w:vAlign w:val="bottom"/>
          </w:tcPr>
          <w:p>
            <w:pPr>
              <w:jc w:val="center"/>
              <w:spacing w:after="0"/>
              <w:rPr>
                <w:sz w:val="20"/>
                <w:szCs w:val="20"/>
                <w:color w:val="auto"/>
              </w:rPr>
            </w:pPr>
            <w:r>
              <w:rPr>
                <w:rFonts w:ascii="Arial" w:cs="Arial" w:eastAsia="Arial" w:hAnsi="Arial"/>
                <w:sz w:val="20"/>
                <w:szCs w:val="20"/>
                <w:b w:val="1"/>
                <w:bCs w:val="1"/>
                <w:color w:val="auto"/>
                <w:w w:val="96"/>
              </w:rPr>
              <w:t xml:space="preserve">10b5-1 Trading Plan </w:t>
            </w:r>
            <w:r>
              <w:rPr>
                <w:rFonts w:ascii="Arial" w:cs="Arial" w:eastAsia="Arial" w:hAnsi="Arial"/>
                <w:sz w:val="25"/>
                <w:szCs w:val="25"/>
                <w:b w:val="1"/>
                <w:bCs w:val="1"/>
                <w:color w:val="auto"/>
                <w:w w:val="96"/>
                <w:vertAlign w:val="superscript"/>
              </w:rPr>
              <w:t>(2)</w:t>
            </w:r>
          </w:p>
        </w:tc>
        <w:tc>
          <w:tcPr>
            <w:tcW w:w="1200" w:type="dxa"/>
            <w:vAlign w:val="bottom"/>
          </w:tcPr>
          <w:p>
            <w:pPr>
              <w:jc w:val="center"/>
              <w:spacing w:after="0"/>
              <w:rPr>
                <w:sz w:val="20"/>
                <w:szCs w:val="20"/>
                <w:color w:val="auto"/>
              </w:rPr>
            </w:pPr>
            <w:r>
              <w:rPr>
                <w:rFonts w:ascii="Arial" w:cs="Arial" w:eastAsia="Arial" w:hAnsi="Arial"/>
                <w:sz w:val="20"/>
                <w:szCs w:val="20"/>
                <w:b w:val="1"/>
                <w:bCs w:val="1"/>
                <w:color w:val="auto"/>
                <w:w w:val="97"/>
              </w:rPr>
              <w:t>Sale?</w:t>
            </w:r>
          </w:p>
        </w:tc>
      </w:tr>
      <w:tr>
        <w:trPr>
          <w:trHeight w:val="618"/>
        </w:trPr>
        <w:tc>
          <w:tcPr>
            <w:tcW w:w="2140" w:type="dxa"/>
            <w:vAlign w:val="bottom"/>
          </w:tcPr>
          <w:p>
            <w:pPr>
              <w:jc w:val="center"/>
              <w:spacing w:after="0"/>
              <w:rPr>
                <w:sz w:val="20"/>
                <w:szCs w:val="20"/>
                <w:color w:val="auto"/>
              </w:rPr>
            </w:pPr>
            <w:r>
              <w:rPr>
                <w:rFonts w:ascii="Arial" w:cs="Arial" w:eastAsia="Arial" w:hAnsi="Arial"/>
                <w:sz w:val="20"/>
                <w:szCs w:val="20"/>
                <w:color w:val="auto"/>
                <w:w w:val="98"/>
              </w:rPr>
              <w:t>50,511</w:t>
            </w:r>
          </w:p>
        </w:tc>
        <w:tc>
          <w:tcPr>
            <w:tcW w:w="1200" w:type="dxa"/>
            <w:vAlign w:val="bottom"/>
          </w:tcPr>
          <w:p>
            <w:pPr>
              <w:jc w:val="center"/>
              <w:spacing w:after="0"/>
              <w:rPr>
                <w:sz w:val="20"/>
                <w:szCs w:val="20"/>
                <w:color w:val="auto"/>
              </w:rPr>
            </w:pPr>
            <w:r>
              <w:rPr>
                <w:rFonts w:ascii="Arial" w:cs="Arial" w:eastAsia="Arial" w:hAnsi="Arial"/>
                <w:sz w:val="20"/>
                <w:szCs w:val="20"/>
                <w:color w:val="auto"/>
                <w:w w:val="99"/>
              </w:rPr>
              <w:t>Sale</w:t>
            </w:r>
          </w:p>
        </w:tc>
      </w:tr>
    </w:tbl>
    <w:p>
      <w:pPr>
        <w:spacing w:after="0" w:line="200" w:lineRule="exact"/>
        <w:rPr>
          <w:sz w:val="20"/>
          <w:szCs w:val="20"/>
          <w:color w:val="auto"/>
        </w:rPr>
      </w:pPr>
    </w:p>
    <w:p>
      <w:pPr>
        <w:sectPr>
          <w:pgSz w:w="11900" w:h="16838" w:orient="portrait"/>
          <w:cols w:equalWidth="0" w:num="2">
            <w:col w:w="7600" w:space="260"/>
            <w:col w:w="3380"/>
          </w:cols>
          <w:pgMar w:left="320" w:top="1440" w:right="339" w:bottom="1440" w:gutter="0" w:footer="0" w:header="0"/>
        </w:sectPr>
      </w:pPr>
    </w:p>
    <w:p>
      <w:pPr>
        <w:spacing w:after="0" w:line="134" w:lineRule="exact"/>
        <w:rPr>
          <w:sz w:val="20"/>
          <w:szCs w:val="20"/>
          <w:color w:val="auto"/>
        </w:rPr>
      </w:pPr>
    </w:p>
    <w:p>
      <w:pPr>
        <w:jc w:val="both"/>
        <w:ind w:left="660" w:hanging="328"/>
        <w:spacing w:after="0" w:line="260" w:lineRule="auto"/>
        <w:tabs>
          <w:tab w:leader="none" w:pos="8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plans are subject to earlier termination under certain circumstances specified in the plans, including upon the sale or purchase (as applicable) of all shares subject to the plan and upon either party to a plan giving notice of termination within the time prescribed under the plan.</w:t>
      </w:r>
    </w:p>
    <w:p>
      <w:pPr>
        <w:spacing w:after="0" w:line="2" w:lineRule="exact"/>
        <w:rPr>
          <w:rFonts w:ascii="Arial" w:cs="Arial" w:eastAsia="Arial" w:hAnsi="Arial"/>
          <w:sz w:val="18"/>
          <w:szCs w:val="18"/>
          <w:color w:val="auto"/>
        </w:rPr>
      </w:pPr>
    </w:p>
    <w:p>
      <w:pPr>
        <w:ind w:left="600" w:hanging="268"/>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adjustments for stock splits, stock combinations, stock dividends and other similar changes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Item 6. Exhibits</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20"/>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20" w:type="dxa"/>
            <w:vAlign w:val="bottom"/>
          </w:tcPr>
          <w:p>
            <w:pPr>
              <w:spacing w:after="0"/>
              <w:rPr>
                <w:sz w:val="24"/>
                <w:szCs w:val="24"/>
                <w:color w:val="auto"/>
              </w:rPr>
            </w:pPr>
          </w:p>
        </w:tc>
        <w:tc>
          <w:tcPr>
            <w:tcW w:w="5840" w:type="dxa"/>
            <w:vAlign w:val="bottom"/>
            <w:gridSpan w:val="10"/>
          </w:tcPr>
          <w:p>
            <w:pPr>
              <w:ind w:left="1960"/>
              <w:spacing w:after="0"/>
              <w:rPr>
                <w:sz w:val="20"/>
                <w:szCs w:val="20"/>
                <w:color w:val="auto"/>
              </w:rPr>
            </w:pPr>
            <w:r>
              <w:rPr>
                <w:rFonts w:ascii="Arial" w:cs="Arial" w:eastAsia="Arial" w:hAnsi="Arial"/>
                <w:sz w:val="20"/>
                <w:szCs w:val="20"/>
                <w:b w:val="1"/>
                <w:bCs w:val="1"/>
                <w:color w:val="auto"/>
              </w:rPr>
              <w:t>Exhibit Description</w:t>
            </w:r>
          </w:p>
        </w:tc>
        <w:tc>
          <w:tcPr>
            <w:tcW w:w="10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9"/>
              </w:rPr>
              <w:t>Form</w:t>
            </w:r>
          </w:p>
        </w:tc>
        <w:tc>
          <w:tcPr>
            <w:tcW w:w="164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196"/>
        </w:trPr>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760" w:type="dxa"/>
            <w:vAlign w:val="bottom"/>
            <w:tcBorders>
              <w:top w:val="single" w:sz="8" w:color="auto"/>
            </w:tcBorders>
            <w:gridSpan w:val="9"/>
            <w:shd w:val="clear" w:color="auto" w:fill="CCEEFF"/>
          </w:tcPr>
          <w:p>
            <w:pPr>
              <w:spacing w:after="0" w:line="196" w:lineRule="exact"/>
              <w:rPr>
                <w:rFonts w:ascii="Arial" w:cs="Arial" w:eastAsia="Arial" w:hAnsi="Arial"/>
                <w:sz w:val="20"/>
                <w:szCs w:val="20"/>
                <w:color w:val="0000FF"/>
              </w:rPr>
            </w:pPr>
            <w:hyperlink r:id="rId87">
              <w:r>
                <w:rPr>
                  <w:rFonts w:ascii="Arial" w:cs="Arial" w:eastAsia="Arial" w:hAnsi="Arial"/>
                  <w:sz w:val="20"/>
                  <w:szCs w:val="20"/>
                  <w:color w:val="0000FF"/>
                </w:rPr>
                <w:t>Amended and Restated Certificate of Incorporation of Array</w:t>
              </w:r>
            </w:hyperlink>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20"/>
                <w:szCs w:val="20"/>
                <w:color w:val="auto"/>
                <w:w w:val="99"/>
              </w:rPr>
              <w:t>10/19/2020</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20"/>
                <w:szCs w:val="20"/>
                <w:color w:val="auto"/>
              </w:rPr>
              <w:t>3.1</w:t>
            </w: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5"/>
            <w:shd w:val="clear" w:color="auto" w:fill="CCEEFF"/>
          </w:tcPr>
          <w:p>
            <w:pPr>
              <w:spacing w:after="0" w:line="169" w:lineRule="exact"/>
              <w:rPr>
                <w:rFonts w:ascii="Arial" w:cs="Arial" w:eastAsia="Arial" w:hAnsi="Arial"/>
                <w:sz w:val="19"/>
                <w:szCs w:val="19"/>
                <w:color w:val="0000FF"/>
              </w:rPr>
            </w:pPr>
            <w:hyperlink r:id="rId87">
              <w:r>
                <w:rPr>
                  <w:rFonts w:ascii="Arial" w:cs="Arial" w:eastAsia="Arial" w:hAnsi="Arial"/>
                  <w:sz w:val="19"/>
                  <w:szCs w:val="19"/>
                  <w:color w:val="0000FF"/>
                </w:rPr>
                <w:t>Technologies, Inc., dated October 19, 2020</w:t>
              </w:r>
            </w:hyperlink>
          </w:p>
        </w:tc>
        <w:tc>
          <w:tcPr>
            <w:tcW w:w="4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rFonts w:ascii="Arial" w:cs="Arial" w:eastAsia="Arial" w:hAnsi="Arial"/>
                <w:sz w:val="20"/>
                <w:szCs w:val="20"/>
                <w:color w:val="0000FF"/>
              </w:rPr>
            </w:pPr>
            <w:hyperlink r:id="rId88">
              <w:r>
                <w:rPr>
                  <w:rFonts w:ascii="Arial" w:cs="Arial" w:eastAsia="Arial" w:hAnsi="Arial"/>
                  <w:sz w:val="20"/>
                  <w:szCs w:val="20"/>
                  <w:color w:val="0000FF"/>
                </w:rPr>
                <w:t>Amended and Restated Bylaws of Array Technologies, Inc.,</w:t>
              </w:r>
            </w:hyperlink>
          </w:p>
        </w:tc>
        <w:tc>
          <w:tcPr>
            <w:tcW w:w="1020" w:type="dxa"/>
            <w:vAlign w:val="bottom"/>
            <w:gridSpan w:val="2"/>
          </w:tcPr>
          <w:p>
            <w:pPr>
              <w:jc w:val="center"/>
              <w:ind w:right="80"/>
              <w:spacing w:after="0" w:line="203" w:lineRule="exact"/>
              <w:rPr>
                <w:sz w:val="20"/>
                <w:szCs w:val="20"/>
                <w:color w:val="auto"/>
              </w:rPr>
            </w:pPr>
            <w:r>
              <w:rPr>
                <w:rFonts w:ascii="Arial" w:cs="Arial" w:eastAsia="Arial" w:hAnsi="Arial"/>
                <w:sz w:val="20"/>
                <w:szCs w:val="20"/>
                <w:color w:val="auto"/>
                <w:w w:val="96"/>
              </w:rPr>
              <w:t>8-K</w:t>
            </w:r>
          </w:p>
        </w:tc>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9"/>
              </w:rPr>
              <w:t>10/19/2020</w:t>
            </w:r>
          </w:p>
        </w:tc>
        <w:tc>
          <w:tcPr>
            <w:tcW w:w="80" w:type="dxa"/>
            <w:vAlign w:val="bottom"/>
          </w:tcPr>
          <w:p>
            <w:pPr>
              <w:spacing w:after="0"/>
              <w:rPr>
                <w:sz w:val="17"/>
                <w:szCs w:val="17"/>
                <w:color w:val="auto"/>
              </w:rPr>
            </w:pPr>
          </w:p>
        </w:tc>
        <w:tc>
          <w:tcPr>
            <w:tcW w:w="1060" w:type="dxa"/>
            <w:vAlign w:val="bottom"/>
          </w:tcPr>
          <w:p>
            <w:pPr>
              <w:ind w:left="400"/>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5"/>
          </w:tcPr>
          <w:p>
            <w:pPr>
              <w:spacing w:after="0" w:line="169" w:lineRule="exact"/>
              <w:rPr>
                <w:rFonts w:ascii="Arial" w:cs="Arial" w:eastAsia="Arial" w:hAnsi="Arial"/>
                <w:sz w:val="19"/>
                <w:szCs w:val="19"/>
                <w:color w:val="0000FF"/>
              </w:rPr>
            </w:pPr>
            <w:hyperlink r:id="rId88">
              <w:r>
                <w:rPr>
                  <w:rFonts w:ascii="Arial" w:cs="Arial" w:eastAsia="Arial" w:hAnsi="Arial"/>
                  <w:sz w:val="19"/>
                  <w:szCs w:val="19"/>
                  <w:color w:val="0000FF"/>
                </w:rPr>
                <w:t>dated October 19, 2020</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15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0000FF"/>
            </w:tcBorders>
            <w:gridSpan w:val="7"/>
            <w:shd w:val="clear" w:color="auto" w:fill="CCEEFF"/>
          </w:tcPr>
          <w:p>
            <w:pPr>
              <w:spacing w:after="0" w:line="216" w:lineRule="exact"/>
              <w:rPr>
                <w:rFonts w:ascii="Arial" w:cs="Arial" w:eastAsia="Arial" w:hAnsi="Arial"/>
                <w:sz w:val="20"/>
                <w:szCs w:val="20"/>
                <w:color w:val="0000FF"/>
                <w:w w:val="98"/>
              </w:rPr>
            </w:pPr>
            <w:hyperlink r:id="rId89">
              <w:r>
                <w:rPr>
                  <w:rFonts w:ascii="Arial" w:cs="Arial" w:eastAsia="Arial" w:hAnsi="Arial"/>
                  <w:sz w:val="20"/>
                  <w:szCs w:val="20"/>
                  <w:color w:val="0000FF"/>
                  <w:w w:val="98"/>
                </w:rPr>
                <w:t>Certificate of Designations of Series A Perpetual Preferred Stock</w:t>
              </w:r>
            </w:hyperlink>
          </w:p>
        </w:tc>
        <w:tc>
          <w:tcPr>
            <w:tcW w:w="160" w:type="dxa"/>
            <w:vAlign w:val="bottom"/>
            <w:tcBorders>
              <w:bottom w:val="single" w:sz="8" w:color="CCEEFF"/>
            </w:tcBorders>
            <w:gridSpan w:val="3"/>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center"/>
              <w:ind w:right="80"/>
              <w:spacing w:after="0" w:line="216" w:lineRule="exact"/>
              <w:rPr>
                <w:sz w:val="20"/>
                <w:szCs w:val="20"/>
                <w:color w:val="auto"/>
              </w:rPr>
            </w:pPr>
            <w:r>
              <w:rPr>
                <w:rFonts w:ascii="Arial" w:cs="Arial" w:eastAsia="Arial" w:hAnsi="Arial"/>
                <w:sz w:val="20"/>
                <w:szCs w:val="20"/>
                <w:color w:val="auto"/>
                <w:w w:val="96"/>
              </w:rPr>
              <w:t>8-K</w:t>
            </w:r>
          </w:p>
        </w:tc>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8/11/2021</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400"/>
              <w:spacing w:after="0" w:line="216" w:lineRule="exact"/>
              <w:rPr>
                <w:sz w:val="20"/>
                <w:szCs w:val="20"/>
                <w:color w:val="auto"/>
              </w:rPr>
            </w:pPr>
            <w:r>
              <w:rPr>
                <w:rFonts w:ascii="Arial" w:cs="Arial" w:eastAsia="Arial" w:hAnsi="Arial"/>
                <w:sz w:val="20"/>
                <w:szCs w:val="20"/>
                <w:color w:val="auto"/>
              </w:rPr>
              <w:t>3.1</w:t>
            </w: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9"/>
                <w:szCs w:val="19"/>
                <w:color w:val="0000FF"/>
              </w:rPr>
              <w:t>302 of the Sarbanes- Oxley Act of 2002 (18 U.S.C. 1350)</w:t>
            </w:r>
          </w:p>
        </w:tc>
        <w:tc>
          <w:tcPr>
            <w:tcW w:w="12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000" w:type="dxa"/>
            <w:vAlign w:val="bottom"/>
            <w:tcBorders>
              <w:top w:val="single" w:sz="8" w:color="0000FF"/>
              <w:bottom w:val="single" w:sz="8" w:color="0000FF"/>
            </w:tcBorders>
            <w:gridSpan w:val="4"/>
            <w:shd w:val="clear" w:color="auto" w:fill="CCEEFF"/>
          </w:tcPr>
          <w:p>
            <w:pPr>
              <w:spacing w:after="0" w:line="169" w:lineRule="exact"/>
              <w:rPr>
                <w:sz w:val="20"/>
                <w:szCs w:val="20"/>
                <w:color w:val="auto"/>
              </w:rPr>
            </w:pPr>
            <w:r>
              <w:rPr>
                <w:rFonts w:ascii="Arial" w:cs="Arial" w:eastAsia="Arial" w:hAnsi="Arial"/>
                <w:sz w:val="19"/>
                <w:szCs w:val="19"/>
                <w:color w:val="0000FF"/>
              </w:rPr>
              <w:t>302 of the Sarbanes- Oxley Act of 2002 (18 U.S.C. 1350)</w:t>
            </w:r>
          </w:p>
        </w:tc>
        <w:tc>
          <w:tcPr>
            <w:tcW w:w="66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1540" w:type="dxa"/>
            <w:vAlign w:val="bottom"/>
          </w:tcPr>
          <w:p>
            <w:pPr>
              <w:jc w:val="center"/>
              <w:spacing w:after="0" w:line="203" w:lineRule="exact"/>
              <w:rPr>
                <w:sz w:val="20"/>
                <w:szCs w:val="20"/>
                <w:color w:val="auto"/>
              </w:rPr>
            </w:pPr>
            <w:r>
              <w:rPr>
                <w:rFonts w:ascii="Arial" w:cs="Arial" w:eastAsia="Arial" w:hAnsi="Arial"/>
                <w:sz w:val="20"/>
                <w:szCs w:val="20"/>
                <w:color w:val="auto"/>
                <w:w w:val="99"/>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 Section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69"/>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9"/>
                <w:szCs w:val="19"/>
                <w:color w:val="0000FF"/>
              </w:rPr>
              <w:t>906 of the Sarbanes-Oxley Act of 2002 (18 U.S.C. 1350)</w:t>
            </w:r>
          </w:p>
        </w:tc>
        <w:tc>
          <w:tcPr>
            <w:tcW w:w="12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4"/>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3"/>
        </w:trPr>
        <w:tc>
          <w:tcPr>
            <w:tcW w:w="154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4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rPr>
              <w:t>Certification of the Chief Financial Officer, as required by Section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69"/>
        </w:trPr>
        <w:tc>
          <w:tcPr>
            <w:tcW w:w="15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660" w:type="dxa"/>
            <w:vAlign w:val="bottom"/>
            <w:tcBorders>
              <w:top w:val="single" w:sz="8" w:color="0000FF"/>
            </w:tcBorders>
            <w:gridSpan w:val="6"/>
            <w:shd w:val="clear" w:color="auto" w:fill="CCEEFF"/>
          </w:tcPr>
          <w:p>
            <w:pPr>
              <w:spacing w:after="0" w:line="169" w:lineRule="exact"/>
              <w:rPr>
                <w:sz w:val="20"/>
                <w:szCs w:val="20"/>
                <w:color w:val="auto"/>
              </w:rPr>
            </w:pPr>
            <w:r>
              <w:rPr>
                <w:rFonts w:ascii="Arial" w:cs="Arial" w:eastAsia="Arial" w:hAnsi="Arial"/>
                <w:sz w:val="19"/>
                <w:szCs w:val="19"/>
                <w:color w:val="0000FF"/>
              </w:rPr>
              <w:t>906 of the Sarbanes-Oxley Act of 2002 (18 U.S.C. 1350)</w:t>
            </w:r>
          </w:p>
        </w:tc>
        <w:tc>
          <w:tcPr>
            <w:tcW w:w="180" w:type="dxa"/>
            <w:vAlign w:val="bottom"/>
            <w:tcBorders>
              <w:top w:val="single" w:sz="8" w:color="CCEEFF"/>
            </w:tcBorders>
            <w:gridSpan w:val="4"/>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r>
      <w:tr>
        <w:trPr>
          <w:trHeight w:val="189"/>
        </w:trPr>
        <w:tc>
          <w:tcPr>
            <w:tcW w:w="1660" w:type="dxa"/>
            <w:vAlign w:val="bottom"/>
            <w:gridSpan w:val="2"/>
          </w:tcPr>
          <w:p>
            <w:pPr>
              <w:ind w:left="420"/>
              <w:spacing w:after="0" w:line="189" w:lineRule="exact"/>
              <w:rPr>
                <w:sz w:val="20"/>
                <w:szCs w:val="20"/>
                <w:color w:val="auto"/>
              </w:rPr>
            </w:pPr>
            <w:r>
              <w:rPr>
                <w:rFonts w:ascii="Arial" w:cs="Arial" w:eastAsia="Arial" w:hAnsi="Arial"/>
                <w:sz w:val="20"/>
                <w:szCs w:val="20"/>
                <w:color w:val="auto"/>
              </w:rPr>
              <w:t>101.INS</w:t>
            </w:r>
          </w:p>
        </w:tc>
        <w:tc>
          <w:tcPr>
            <w:tcW w:w="20" w:type="dxa"/>
            <w:vAlign w:val="bottom"/>
          </w:tcPr>
          <w:p>
            <w:pPr>
              <w:spacing w:after="0"/>
              <w:rPr>
                <w:sz w:val="16"/>
                <w:szCs w:val="16"/>
                <w:color w:val="auto"/>
              </w:rPr>
            </w:pPr>
          </w:p>
        </w:tc>
        <w:tc>
          <w:tcPr>
            <w:tcW w:w="5840" w:type="dxa"/>
            <w:vAlign w:val="bottom"/>
            <w:gridSpan w:val="10"/>
          </w:tcPr>
          <w:p>
            <w:pPr>
              <w:spacing w:after="0" w:line="189" w:lineRule="exact"/>
              <w:rPr>
                <w:sz w:val="20"/>
                <w:szCs w:val="20"/>
                <w:color w:val="auto"/>
              </w:rPr>
            </w:pPr>
            <w:r>
              <w:rPr>
                <w:rFonts w:ascii="Arial" w:cs="Arial" w:eastAsia="Arial" w:hAnsi="Arial"/>
                <w:sz w:val="20"/>
                <w:szCs w:val="20"/>
                <w:color w:val="auto"/>
              </w:rPr>
              <w:t>XBRL Instance Document – the instance document does not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gridSpan w:val="10"/>
          </w:tcPr>
          <w:p>
            <w:pPr>
              <w:spacing w:after="0" w:line="199" w:lineRule="exact"/>
              <w:rPr>
                <w:sz w:val="20"/>
                <w:szCs w:val="20"/>
                <w:color w:val="auto"/>
              </w:rPr>
            </w:pPr>
            <w:r>
              <w:rPr>
                <w:rFonts w:ascii="Arial" w:cs="Arial" w:eastAsia="Arial" w:hAnsi="Arial"/>
                <w:sz w:val="20"/>
                <w:szCs w:val="20"/>
                <w:color w:val="auto"/>
              </w:rPr>
              <w:t>appear in the Interactive Data file because its XBRL tags are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40" w:type="dxa"/>
            <w:vAlign w:val="bottom"/>
            <w:gridSpan w:val="10"/>
          </w:tcPr>
          <w:p>
            <w:pPr>
              <w:spacing w:after="0"/>
              <w:rPr>
                <w:sz w:val="20"/>
                <w:szCs w:val="20"/>
                <w:color w:val="auto"/>
              </w:rPr>
            </w:pPr>
            <w:r>
              <w:rPr>
                <w:rFonts w:ascii="Arial" w:cs="Arial" w:eastAsia="Arial" w:hAnsi="Arial"/>
                <w:sz w:val="20"/>
                <w:szCs w:val="20"/>
                <w:color w:val="auto"/>
              </w:rPr>
              <w:t>embedded within the Inline XBRL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1"/>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101.SCH</w:t>
            </w:r>
          </w:p>
        </w:tc>
        <w:tc>
          <w:tcPr>
            <w:tcW w:w="20" w:type="dxa"/>
            <w:vAlign w:val="bottom"/>
            <w:shd w:val="clear" w:color="auto" w:fill="CCEEFF"/>
          </w:tcPr>
          <w:p>
            <w:pPr>
              <w:spacing w:after="0"/>
              <w:rPr>
                <w:sz w:val="22"/>
                <w:szCs w:val="22"/>
                <w:color w:val="auto"/>
              </w:rPr>
            </w:pPr>
          </w:p>
        </w:tc>
        <w:tc>
          <w:tcPr>
            <w:tcW w:w="5840" w:type="dxa"/>
            <w:vAlign w:val="bottom"/>
            <w:gridSpan w:val="10"/>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4"/>
        </w:trPr>
        <w:tc>
          <w:tcPr>
            <w:tcW w:w="1660" w:type="dxa"/>
            <w:vAlign w:val="bottom"/>
            <w:gridSpan w:val="2"/>
          </w:tcPr>
          <w:p>
            <w:pPr>
              <w:ind w:left="40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2"/>
                <w:szCs w:val="22"/>
                <w:color w:val="auto"/>
              </w:rPr>
            </w:pPr>
          </w:p>
        </w:tc>
        <w:tc>
          <w:tcPr>
            <w:tcW w:w="5840" w:type="dxa"/>
            <w:vAlign w:val="bottom"/>
            <w:gridSpan w:val="10"/>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9"/>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101.DEF</w:t>
            </w:r>
          </w:p>
        </w:tc>
        <w:tc>
          <w:tcPr>
            <w:tcW w:w="20" w:type="dxa"/>
            <w:vAlign w:val="bottom"/>
            <w:shd w:val="clear" w:color="auto" w:fill="CCEEFF"/>
          </w:tcPr>
          <w:p>
            <w:pPr>
              <w:spacing w:after="0"/>
              <w:rPr>
                <w:sz w:val="22"/>
                <w:szCs w:val="22"/>
                <w:color w:val="auto"/>
              </w:rPr>
            </w:pPr>
          </w:p>
        </w:tc>
        <w:tc>
          <w:tcPr>
            <w:tcW w:w="5840" w:type="dxa"/>
            <w:vAlign w:val="bottom"/>
            <w:gridSpan w:val="10"/>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71"/>
        </w:trPr>
        <w:tc>
          <w:tcPr>
            <w:tcW w:w="1660" w:type="dxa"/>
            <w:vAlign w:val="bottom"/>
            <w:gridSpan w:val="2"/>
          </w:tcPr>
          <w:p>
            <w:pPr>
              <w:ind w:left="400"/>
              <w:spacing w:after="0"/>
              <w:rPr>
                <w:sz w:val="20"/>
                <w:szCs w:val="20"/>
                <w:color w:val="auto"/>
              </w:rPr>
            </w:pPr>
            <w:r>
              <w:rPr>
                <w:rFonts w:ascii="Arial" w:cs="Arial" w:eastAsia="Arial" w:hAnsi="Arial"/>
                <w:sz w:val="20"/>
                <w:szCs w:val="20"/>
                <w:b w:val="1"/>
                <w:bCs w:val="1"/>
                <w:color w:val="auto"/>
              </w:rPr>
              <w:t>Number</w:t>
            </w:r>
          </w:p>
        </w:tc>
        <w:tc>
          <w:tcPr>
            <w:tcW w:w="5860" w:type="dxa"/>
            <w:vAlign w:val="bottom"/>
            <w:gridSpan w:val="2"/>
          </w:tcPr>
          <w:p>
            <w:pPr>
              <w:ind w:left="1980"/>
              <w:spacing w:after="0"/>
              <w:rPr>
                <w:sz w:val="20"/>
                <w:szCs w:val="20"/>
                <w:color w:val="auto"/>
              </w:rPr>
            </w:pPr>
            <w:r>
              <w:rPr>
                <w:rFonts w:ascii="Arial" w:cs="Arial" w:eastAsia="Arial" w:hAnsi="Arial"/>
                <w:sz w:val="20"/>
                <w:szCs w:val="20"/>
                <w:b w:val="1"/>
                <w:bCs w:val="1"/>
                <w:color w:val="auto"/>
              </w:rPr>
              <w:t>Exhibit Description</w:t>
            </w:r>
          </w:p>
        </w:tc>
        <w:tc>
          <w:tcPr>
            <w:tcW w:w="1040" w:type="dxa"/>
            <w:vAlign w:val="bottom"/>
            <w:gridSpan w:val="2"/>
          </w:tcPr>
          <w:p>
            <w:pPr>
              <w:ind w:left="240"/>
              <w:spacing w:after="0"/>
              <w:rPr>
                <w:sz w:val="20"/>
                <w:szCs w:val="20"/>
                <w:color w:val="auto"/>
              </w:rPr>
            </w:pPr>
            <w:r>
              <w:rPr>
                <w:rFonts w:ascii="Arial" w:cs="Arial" w:eastAsia="Arial" w:hAnsi="Arial"/>
                <w:sz w:val="20"/>
                <w:szCs w:val="20"/>
                <w:b w:val="1"/>
                <w:bCs w:val="1"/>
                <w:color w:val="auto"/>
              </w:rPr>
              <w:t>Form</w:t>
            </w:r>
          </w:p>
        </w:tc>
        <w:tc>
          <w:tcPr>
            <w:tcW w:w="1620" w:type="dxa"/>
            <w:vAlign w:val="bottom"/>
            <w:gridSpan w:val="2"/>
          </w:tcPr>
          <w:p>
            <w:pPr>
              <w:ind w:left="560"/>
              <w:spacing w:after="0"/>
              <w:rPr>
                <w:sz w:val="20"/>
                <w:szCs w:val="20"/>
                <w:color w:val="auto"/>
              </w:rPr>
            </w:pPr>
            <w:r>
              <w:rPr>
                <w:rFonts w:ascii="Arial" w:cs="Arial" w:eastAsia="Arial" w:hAnsi="Arial"/>
                <w:sz w:val="20"/>
                <w:szCs w:val="20"/>
                <w:b w:val="1"/>
                <w:bCs w:val="1"/>
                <w:color w:val="auto"/>
              </w:rPr>
              <w:t>Date</w:t>
            </w:r>
          </w:p>
        </w:tc>
        <w:tc>
          <w:tcPr>
            <w:tcW w:w="1060" w:type="dxa"/>
            <w:vAlign w:val="bottom"/>
          </w:tcPr>
          <w:p>
            <w:pPr>
              <w:ind w:left="380"/>
              <w:spacing w:after="0"/>
              <w:rPr>
                <w:sz w:val="20"/>
                <w:szCs w:val="20"/>
                <w:color w:val="auto"/>
              </w:rPr>
            </w:pPr>
            <w:r>
              <w:rPr>
                <w:rFonts w:ascii="Arial" w:cs="Arial" w:eastAsia="Arial" w:hAnsi="Arial"/>
                <w:sz w:val="20"/>
                <w:szCs w:val="20"/>
                <w:b w:val="1"/>
                <w:bCs w:val="1"/>
                <w:color w:val="auto"/>
              </w:rPr>
              <w:t>No.</w:t>
            </w:r>
          </w:p>
        </w:tc>
      </w:tr>
      <w:tr>
        <w:trPr>
          <w:trHeight w:val="247"/>
        </w:trPr>
        <w:tc>
          <w:tcPr>
            <w:tcW w:w="1540" w:type="dxa"/>
            <w:vAlign w:val="bottom"/>
            <w:tcBorders>
              <w:top w:val="single" w:sz="8" w:color="auto"/>
            </w:tcBorders>
          </w:tcPr>
          <w:p>
            <w:pPr>
              <w:ind w:left="400"/>
              <w:spacing w:after="0"/>
              <w:rPr>
                <w:sz w:val="20"/>
                <w:szCs w:val="20"/>
                <w:color w:val="auto"/>
              </w:rPr>
            </w:pPr>
            <w:r>
              <w:rPr>
                <w:rFonts w:ascii="Arial" w:cs="Arial" w:eastAsia="Arial" w:hAnsi="Arial"/>
                <w:sz w:val="20"/>
                <w:szCs w:val="20"/>
                <w:color w:val="auto"/>
              </w:rPr>
              <w:t>101.LAB</w:t>
            </w:r>
          </w:p>
        </w:tc>
        <w:tc>
          <w:tcPr>
            <w:tcW w:w="120" w:type="dxa"/>
            <w:vAlign w:val="bottom"/>
          </w:tcPr>
          <w:p>
            <w:pPr>
              <w:spacing w:after="0"/>
              <w:rPr>
                <w:sz w:val="21"/>
                <w:szCs w:val="21"/>
                <w:color w:val="auto"/>
              </w:rPr>
            </w:pPr>
          </w:p>
        </w:tc>
        <w:tc>
          <w:tcPr>
            <w:tcW w:w="57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8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r>
      <w:tr>
        <w:trPr>
          <w:trHeight w:val="259"/>
        </w:trPr>
        <w:tc>
          <w:tcPr>
            <w:tcW w:w="166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101.PRE</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XBRL Taxonomy Extension Presentation Linkbase Document</w:t>
            </w: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bl>
    <w:p>
      <w:pPr>
        <w:ind w:left="1680" w:hanging="1068"/>
        <w:spacing w:after="0"/>
        <w:tabs>
          <w:tab w:leader="none" w:pos="1680"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5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13" w:lineRule="exact"/>
        <w:rPr>
          <w:rFonts w:ascii="Arial" w:cs="Arial" w:eastAsia="Arial" w:hAnsi="Arial"/>
          <w:sz w:val="20"/>
          <w:szCs w:val="20"/>
          <w:color w:val="auto"/>
        </w:rPr>
      </w:pPr>
    </w:p>
    <w:p>
      <w:pPr>
        <w:ind w:left="220" w:hanging="212"/>
        <w:spacing w:after="0"/>
        <w:tabs>
          <w:tab w:leader="none" w:pos="2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6" w:name="page57"/>
    <w:bookmarkEnd w:id="56"/>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7, 2023</w:t>
            </w:r>
          </w:p>
        </w:tc>
      </w:tr>
      <w:tr>
        <w:trPr>
          <w:trHeight w:val="249"/>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2"/>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53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Nipul Patel</w:t>
            </w:r>
          </w:p>
        </w:tc>
        <w:tc>
          <w:tcPr>
            <w:tcW w:w="2060" w:type="dxa"/>
            <w:vAlign w:val="bottom"/>
          </w:tcPr>
          <w:p>
            <w:pPr>
              <w:ind w:left="1580"/>
              <w:spacing w:after="0"/>
              <w:rPr>
                <w:sz w:val="20"/>
                <w:szCs w:val="20"/>
                <w:color w:val="auto"/>
              </w:rPr>
            </w:pPr>
            <w:r>
              <w:rPr>
                <w:rFonts w:ascii="Arial" w:cs="Arial" w:eastAsia="Arial" w:hAnsi="Arial"/>
                <w:sz w:val="20"/>
                <w:szCs w:val="20"/>
                <w:color w:val="auto"/>
                <w:w w:val="96"/>
              </w:rPr>
              <w:t>Date:</w:t>
            </w:r>
          </w:p>
        </w:tc>
        <w:tc>
          <w:tcPr>
            <w:tcW w:w="2700" w:type="dxa"/>
            <w:vAlign w:val="bottom"/>
            <w:tcBorders>
              <w:bottom w:val="single" w:sz="8" w:color="auto"/>
            </w:tcBorders>
          </w:tcPr>
          <w:p>
            <w:pPr>
              <w:ind w:left="540"/>
              <w:spacing w:after="0"/>
              <w:rPr>
                <w:sz w:val="20"/>
                <w:szCs w:val="20"/>
                <w:color w:val="auto"/>
              </w:rPr>
            </w:pPr>
            <w:r>
              <w:rPr>
                <w:rFonts w:ascii="Arial" w:cs="Arial" w:eastAsia="Arial" w:hAnsi="Arial"/>
                <w:sz w:val="20"/>
                <w:szCs w:val="20"/>
                <w:color w:val="auto"/>
              </w:rPr>
              <w:t>November 7, 2023</w:t>
            </w:r>
          </w:p>
        </w:tc>
      </w:tr>
      <w:tr>
        <w:trPr>
          <w:trHeight w:val="249"/>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Nipul Patel</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2"/>
        </w:trPr>
        <w:tc>
          <w:tcPr>
            <w:tcW w:w="86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120"/>
          </w:cols>
          <w:pgMar w:left="320" w:top="1313"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52"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hanging="320"/>
        <w:spacing w:after="0" w:line="275"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ectPr>
          <w:pgSz w:w="11900" w:h="16838" w:orient="portrait"/>
          <w:cols w:equalWidth="0" w:num="1">
            <w:col w:w="11240"/>
          </w:cols>
          <w:pgMar w:left="320" w:top="7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64"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3" w:lineRule="exact"/>
        <w:rPr>
          <w:rFonts w:ascii="Arial" w:cs="Arial" w:eastAsia="Arial" w:hAnsi="Arial"/>
          <w:sz w:val="20"/>
          <w:szCs w:val="20"/>
          <w:color w:val="auto"/>
        </w:rPr>
      </w:pPr>
    </w:p>
    <w:p>
      <w:pPr>
        <w:jc w:val="both"/>
        <w:ind w:left="660" w:hanging="328"/>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hanging="320"/>
        <w:spacing w:after="0" w:line="275"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ectPr>
          <w:pgSz w:w="11900" w:h="16838" w:orient="portrait"/>
          <w:cols w:equalWidth="0" w:num="1">
            <w:col w:w="11240"/>
          </w:cols>
          <w:pgMar w:left="320" w:top="76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2023,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1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5"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G. Hostetler</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ectPr>
          <w:pgSz w:w="11900" w:h="16838" w:orient="portrait"/>
          <w:cols w:equalWidth="0" w:num="1">
            <w:col w:w="11240"/>
          </w:cols>
          <w:pgMar w:left="320" w:top="7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September 30, 2023,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17"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5" w:lineRule="auto"/>
        <w:tabs>
          <w:tab w:leader="none" w:pos="65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5"/>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lowerRoman"/>
      <w:start w:val="10"/>
    </w:lvl>
  </w:abstractNum>
  <w:abstractNum w:abstractNumId="12">
    <w:nsid w:val="2443A858"/>
    <w:multiLevelType w:val="hybridMultilevel"/>
    <w:lvl w:ilvl="0">
      <w:lvlJc w:val="left"/>
      <w:lvlText w:val="%1."/>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2"/>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lvl w:ilvl="1">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lvl w:ilvl="1">
      <w:lvlJc w:val="left"/>
      <w:lvlText w:val="%2"/>
      <w:numFmt w:val="decimal"/>
      <w:start w:val="104"/>
    </w:lvl>
  </w:abstractNum>
  <w:abstractNum w:abstractNumId="27">
    <w:nsid w:val="8138641"/>
    <w:multiLevelType w:val="hybridMultilevel"/>
    <w:lvl w:ilvl="0">
      <w:lvlJc w:val="left"/>
      <w:lvlText w:val="**"/>
      <w:numFmt w:val="bullet"/>
      <w:start w:val="1"/>
    </w:lvl>
    <w:lvl w:ilvl="1">
      <w:lvlJc w:val="left"/>
      <w:lvlText w:val="%2"/>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85" Type="http://schemas.openxmlformats.org/officeDocument/2006/relationships/hyperlink" Target="https://www.sec.gov/ix?doc=/Archives/edgar/data/1820721/000182072122000033/arry-20211231.htm#icfe32c6b4ab54bfe857c57aaba5fa86c_22" TargetMode="External"/><Relationship Id="rId87" Type="http://schemas.openxmlformats.org/officeDocument/2006/relationships/hyperlink" Target="http://www.sec.gov/Archives/edgar/data/1820721/000119312520272092/d50569dex31.htm" TargetMode="External"/><Relationship Id="rId88" Type="http://schemas.openxmlformats.org/officeDocument/2006/relationships/hyperlink" Target="http://www.sec.gov/Archives/edgar/data/1820721/000119312520272092/d50569dex32.htm" TargetMode="External"/><Relationship Id="rId89" Type="http://schemas.openxmlformats.org/officeDocument/2006/relationships/hyperlink" Target="https://www.sec.gov/Archives/edgar/data/0001820721/000182072121000057/helios-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2023-11-07T16:38:39Z</dcterms:created>
  <dcterms:modified xsi:type="dcterms:W3CDTF">2023-11-07T16:38:39Z</dcterms:modified>
</cp:coreProperties>
</file>