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07830.xml.htm"/>
      <w:bookmarkStart w:id="1" w:name="kswkform4_17906078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Manning Neil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3901 MIDWAY PLACE 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ALBUQUERQUE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Array Technologies, Inc.</w:t>
              </w:r>
            </w:hyperlink>
            <w:r>
              <w:rPr/>
              <w:t xml:space="preserve"> [ </w:t>
            </w:r>
            <w:r>
              <w:rPr>
                <w:rFonts w:ascii="Times;serif" w:hAnsi="Times;serif"/>
                <w:color w:val="0000FF"/>
                <w:sz w:val="24"/>
                <w:shd w:fill="FFFFFF" w:val="clear"/>
              </w:rPr>
              <w:t>ARRY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38,976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92,901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10,466</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82,435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38,976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20,079</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upon vesting, one share of the Issuer's common stock in accordance with the Issuer's Amended and Restated 2020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tax withholding obligations in connection with the vesting and settlement of restricted stock units. The number of shares withheld is based on the closing price of the Issuer's common stock on September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24, 2024, the reporting person was granted 59,055 restricted stock units, vesting 66% on the second anniversary of the grant date and 34% on the third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Does not include 90,299 unvested restricted stock units held by the reporting person in connection with grants made on separate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Gina Gunning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5080" TargetMode="External"/><Relationship Id="rId5" Type="http://schemas.openxmlformats.org/officeDocument/2006/relationships/hyperlink" Target="http://www.sec.gov/cgi-bin/browse-edgar?action=getcompany&amp;CIK=0001820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3933</Characters>
  <CharactersWithSpaces>4575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