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2" w:lineRule="exact"/>
        <w:rPr>
          <w:sz w:val="24"/>
          <w:szCs w:val="24"/>
          <w:color w:val="auto"/>
        </w:rPr>
      </w:pPr>
    </w:p>
    <w:p>
      <w:pPr>
        <w:jc w:val="center"/>
        <w:ind w:left="3580" w:right="920" w:hanging="2645"/>
        <w:spacing w:after="0" w:line="261" w:lineRule="auto"/>
        <w:tabs>
          <w:tab w:leader="none" w:pos="11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2022</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42"/>
        <w:spacing w:after="0" w:line="260"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380" w:type="dxa"/>
        <w:tblCellMar>
          <w:top w:w="0" w:type="dxa"/>
          <w:left w:w="0" w:type="dxa"/>
          <w:bottom w:w="0" w:type="dxa"/>
          <w:right w:w="0" w:type="dxa"/>
        </w:tblCellMar>
      </w:tblPr>
      <w:tr>
        <w:trPr>
          <w:trHeight w:val="266"/>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07"/>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29"/>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1"/>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2"/>
                <w:szCs w:val="22"/>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35" w:lineRule="exact"/>
        <w:rPr>
          <w:sz w:val="24"/>
          <w:szCs w:val="24"/>
          <w:color w:val="auto"/>
        </w:rPr>
      </w:pPr>
    </w:p>
    <w:p>
      <w:pPr>
        <w:ind w:right="460"/>
        <w:spacing w:after="0" w:line="25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6" w:lineRule="exact"/>
        <w:rPr>
          <w:sz w:val="24"/>
          <w:szCs w:val="24"/>
          <w:color w:val="auto"/>
        </w:rPr>
      </w:pPr>
    </w:p>
    <w:p>
      <w:pPr>
        <w:ind w:right="220"/>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 w:lineRule="exact"/>
        <w:rPr>
          <w:sz w:val="24"/>
          <w:szCs w:val="24"/>
          <w:color w:val="auto"/>
        </w:rPr>
      </w:pPr>
    </w:p>
    <w:p>
      <w:pPr>
        <w:ind w:right="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7"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2022, there were 150,490,517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CCEEFF"/>
            </w:tcBorders>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0000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 (Deficit)</w:t>
            </w:r>
          </w:p>
        </w:tc>
        <w:tc>
          <w:tcPr>
            <w:tcW w:w="5360" w:type="dxa"/>
            <w:vAlign w:val="bottom"/>
            <w:tcBorders>
              <w:top w:val="single" w:sz="8" w:color="0000FF"/>
            </w:tcBorders>
            <w:gridSpan w:val="10"/>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60" w:type="dxa"/>
            <w:vAlign w:val="bottom"/>
            <w:tcBorders>
              <w:top w:val="single" w:sz="8" w:color="CCEEFF"/>
            </w:tcBorders>
            <w:gridSpan w:val="2"/>
            <w:vMerge w:val="continue"/>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3"/>
          </w:tcPr>
          <w:p>
            <w:pPr>
              <w:jc w:val="center"/>
              <w:ind w:right="20"/>
              <w:spacing w:after="0" w:line="183" w:lineRule="exact"/>
              <w:rPr>
                <w:sz w:val="20"/>
                <w:szCs w:val="20"/>
                <w:color w:val="auto"/>
              </w:rPr>
            </w:pPr>
            <w:r>
              <w:rPr>
                <w:rFonts w:ascii="Arial" w:cs="Arial" w:eastAsia="Arial" w:hAnsi="Arial"/>
                <w:sz w:val="18"/>
                <w:szCs w:val="18"/>
                <w:color w:val="0000FF"/>
                <w:w w:val="99"/>
              </w:rPr>
              <w:t>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11</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4"/>
          </w:tcPr>
          <w:p>
            <w:pPr>
              <w:jc w:val="center"/>
              <w:ind w:right="520"/>
              <w:spacing w:after="0" w:line="189" w:lineRule="exact"/>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51</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52</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54</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56</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57</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57</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57</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57</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57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7" w:right="459" w:bottom="1440" w:gutter="0" w:footer="0" w:header="0"/>
        </w:sectPr>
      </w:pPr>
    </w:p>
    <w:bookmarkStart w:id="3" w:name="page4"/>
    <w:bookmarkEnd w:id="3"/>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2022</w:t>
            </w:r>
          </w:p>
        </w:tc>
        <w:tc>
          <w:tcPr>
            <w:tcW w:w="180" w:type="dxa"/>
            <w:vAlign w:val="bottom"/>
          </w:tcPr>
          <w:p>
            <w:pPr>
              <w:spacing w:after="0"/>
              <w:rPr>
                <w:sz w:val="22"/>
                <w:szCs w:val="22"/>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3"/>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4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62,778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367,670</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Accounts receivable, net</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485,174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236,009</w:t>
            </w:r>
          </w:p>
        </w:tc>
        <w:tc>
          <w:tcPr>
            <w:tcW w:w="0" w:type="dxa"/>
            <w:vAlign w:val="bottom"/>
          </w:tcPr>
          <w:p>
            <w:pPr>
              <w:spacing w:after="0"/>
              <w:rPr>
                <w:sz w:val="1"/>
                <w:szCs w:val="1"/>
                <w:color w:val="auto"/>
              </w:rPr>
            </w:pPr>
          </w:p>
        </w:tc>
      </w:tr>
      <w:tr>
        <w:trPr>
          <w:trHeight w:val="252"/>
        </w:trPr>
        <w:tc>
          <w:tcPr>
            <w:tcW w:w="6540" w:type="dxa"/>
            <w:vAlign w:val="bottom"/>
          </w:tcPr>
          <w:p>
            <w:pPr>
              <w:ind w:left="140"/>
              <w:spacing w:after="0"/>
              <w:rPr>
                <w:sz w:val="20"/>
                <w:szCs w:val="20"/>
                <w:color w:val="auto"/>
              </w:rPr>
            </w:pPr>
            <w:r>
              <w:rPr>
                <w:rFonts w:ascii="Arial" w:cs="Arial" w:eastAsia="Arial" w:hAnsi="Arial"/>
                <w:sz w:val="20"/>
                <w:szCs w:val="20"/>
                <w:color w:val="auto"/>
              </w:rPr>
              <w:t>Inventories, net</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269,775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205,653</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Income tax receivables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12,765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9,052</w:t>
            </w:r>
          </w:p>
        </w:tc>
        <w:tc>
          <w:tcPr>
            <w:tcW w:w="0" w:type="dxa"/>
            <w:vAlign w:val="bottom"/>
          </w:tcPr>
          <w:p>
            <w:pPr>
              <w:spacing w:after="0"/>
              <w:rPr>
                <w:sz w:val="1"/>
                <w:szCs w:val="1"/>
                <w:color w:val="auto"/>
              </w:rPr>
            </w:pPr>
          </w:p>
        </w:tc>
      </w:tr>
      <w:tr>
        <w:trPr>
          <w:trHeight w:val="252"/>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41,309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33,649</w:t>
            </w:r>
          </w:p>
        </w:tc>
        <w:tc>
          <w:tcPr>
            <w:tcW w:w="0" w:type="dxa"/>
            <w:vAlign w:val="bottom"/>
          </w:tcPr>
          <w:p>
            <w:pPr>
              <w:spacing w:after="0"/>
              <w:rPr>
                <w:sz w:val="1"/>
                <w:szCs w:val="1"/>
                <w:color w:val="auto"/>
              </w:rPr>
            </w:pPr>
          </w:p>
        </w:tc>
      </w:tr>
      <w:tr>
        <w:trPr>
          <w:trHeight w:val="255"/>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871,801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852,033</w:t>
            </w:r>
          </w:p>
        </w:tc>
        <w:tc>
          <w:tcPr>
            <w:tcW w:w="0" w:type="dxa"/>
            <w:vAlign w:val="bottom"/>
          </w:tcPr>
          <w:p>
            <w:pPr>
              <w:spacing w:after="0"/>
              <w:rPr>
                <w:sz w:val="1"/>
                <w:szCs w:val="1"/>
                <w:color w:val="auto"/>
              </w:rPr>
            </w:pPr>
          </w:p>
        </w:tc>
      </w:tr>
      <w:tr>
        <w:trPr>
          <w:trHeight w:val="252"/>
        </w:trPr>
        <w:tc>
          <w:tcPr>
            <w:tcW w:w="65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20,024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359,629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52"/>
        </w:trPr>
        <w:tc>
          <w:tcPr>
            <w:tcW w:w="654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384,084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174,753</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18,785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9,345</w:t>
            </w:r>
          </w:p>
        </w:tc>
        <w:tc>
          <w:tcPr>
            <w:tcW w:w="0" w:type="dxa"/>
            <w:vAlign w:val="bottom"/>
          </w:tcPr>
          <w:p>
            <w:pPr>
              <w:spacing w:after="0"/>
              <w:rPr>
                <w:sz w:val="1"/>
                <w:szCs w:val="1"/>
                <w:color w:val="auto"/>
              </w:rPr>
            </w:pPr>
          </w:p>
        </w:tc>
      </w:tr>
      <w:tr>
        <w:trPr>
          <w:trHeight w:val="25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27,502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26,429</w:t>
            </w:r>
          </w:p>
        </w:tc>
        <w:tc>
          <w:tcPr>
            <w:tcW w:w="0" w:type="dxa"/>
            <w:vAlign w:val="bottom"/>
          </w:tcPr>
          <w:p>
            <w:pPr>
              <w:spacing w:after="0"/>
              <w:rPr>
                <w:sz w:val="1"/>
                <w:szCs w:val="1"/>
                <w:color w:val="auto"/>
              </w:rPr>
            </w:pPr>
          </w:p>
        </w:tc>
      </w:tr>
      <w:tr>
        <w:trPr>
          <w:trHeight w:val="280"/>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1,681,825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EQUITY (DEFICIT)</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4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199,358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91,392</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610</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91,102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38,494</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4,237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3,192</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10,587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154,692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99,575</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8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47,686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4,981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5,909</w:t>
            </w:r>
          </w:p>
        </w:tc>
        <w:tc>
          <w:tcPr>
            <w:tcW w:w="0" w:type="dxa"/>
            <w:vAlign w:val="bottom"/>
          </w:tcPr>
          <w:p>
            <w:pPr>
              <w:spacing w:after="0"/>
              <w:rPr>
                <w:sz w:val="1"/>
                <w:szCs w:val="1"/>
                <w:color w:val="auto"/>
              </w:rPr>
            </w:pPr>
          </w:p>
        </w:tc>
      </w:tr>
      <w:tr>
        <w:trPr>
          <w:trHeight w:val="245"/>
        </w:trPr>
        <w:tc>
          <w:tcPr>
            <w:tcW w:w="6540" w:type="dxa"/>
            <w:vAlign w:val="bottom"/>
          </w:tcPr>
          <w:p>
            <w:pPr>
              <w:ind w:left="460"/>
              <w:spacing w:after="0"/>
              <w:rPr>
                <w:sz w:val="20"/>
                <w:szCs w:val="20"/>
                <w:color w:val="auto"/>
              </w:rPr>
            </w:pPr>
            <w:r>
              <w:rPr>
                <w:rFonts w:ascii="Arial" w:cs="Arial" w:eastAsia="Arial" w:hAnsi="Arial"/>
                <w:sz w:val="20"/>
                <w:szCs w:val="20"/>
                <w:color w:val="auto"/>
              </w:rPr>
              <w:t>Total current liabilities</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513,121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245,305</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liabilities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74,139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7,113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12,804</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180" w:type="dxa"/>
            <w:vAlign w:val="bottom"/>
          </w:tcPr>
          <w:p>
            <w:pPr>
              <w:spacing w:after="0"/>
              <w:rPr>
                <w:sz w:val="21"/>
                <w:szCs w:val="21"/>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9,113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5,557</w:t>
            </w:r>
          </w:p>
        </w:tc>
        <w:tc>
          <w:tcPr>
            <w:tcW w:w="0" w:type="dxa"/>
            <w:vAlign w:val="bottom"/>
          </w:tcPr>
          <w:p>
            <w:pPr>
              <w:spacing w:after="0"/>
              <w:rPr>
                <w:sz w:val="1"/>
                <w:szCs w:val="1"/>
                <w:color w:val="auto"/>
              </w:rPr>
            </w:pPr>
          </w:p>
        </w:tc>
      </w:tr>
      <w:tr>
        <w:trPr>
          <w:trHeight w:val="261"/>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warranty</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3,852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Long-term debt, net of current portion</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725,109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711,056</w:t>
            </w:r>
          </w:p>
        </w:tc>
        <w:tc>
          <w:tcPr>
            <w:tcW w:w="0" w:type="dxa"/>
            <w:vAlign w:val="bottom"/>
          </w:tcPr>
          <w:p>
            <w:pPr>
              <w:spacing w:after="0"/>
              <w:rPr>
                <w:sz w:val="1"/>
                <w:szCs w:val="1"/>
                <w:color w:val="auto"/>
              </w:rPr>
            </w:pPr>
          </w:p>
        </w:tc>
      </w:tr>
      <w:tr>
        <w:trPr>
          <w:trHeight w:val="255"/>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819,326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729,417</w:t>
            </w:r>
          </w:p>
        </w:tc>
        <w:tc>
          <w:tcPr>
            <w:tcW w:w="0" w:type="dxa"/>
            <w:vAlign w:val="bottom"/>
          </w:tcPr>
          <w:p>
            <w:pPr>
              <w:spacing w:after="0"/>
              <w:rPr>
                <w:sz w:val="1"/>
                <w:szCs w:val="1"/>
                <w:color w:val="auto"/>
              </w:rPr>
            </w:pPr>
          </w:p>
        </w:tc>
      </w:tr>
      <w:tr>
        <w:trPr>
          <w:trHeight w:val="245"/>
        </w:trPr>
        <w:tc>
          <w:tcPr>
            <w:tcW w:w="6540" w:type="dxa"/>
            <w:vAlign w:val="bottom"/>
          </w:tcPr>
          <w:p>
            <w:pPr>
              <w:ind w:left="460"/>
              <w:spacing w:after="0"/>
              <w:rPr>
                <w:sz w:val="20"/>
                <w:szCs w:val="20"/>
                <w:color w:val="auto"/>
              </w:rPr>
            </w:pPr>
            <w:r>
              <w:rPr>
                <w:rFonts w:ascii="Arial" w:cs="Arial" w:eastAsia="Arial" w:hAnsi="Arial"/>
                <w:sz w:val="20"/>
                <w:szCs w:val="20"/>
                <w:color w:val="auto"/>
              </w:rPr>
              <w:t>Total liabilities</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1,332,447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2022</w:t>
            </w:r>
          </w:p>
        </w:tc>
        <w:tc>
          <w:tcPr>
            <w:tcW w:w="200" w:type="dxa"/>
            <w:vAlign w:val="bottom"/>
          </w:tcPr>
          <w:p>
            <w:pPr>
              <w:spacing w:after="0"/>
              <w:rPr>
                <w:sz w:val="22"/>
                <w:szCs w:val="22"/>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20"/>
              <w:spacing w:after="0" w:line="227" w:lineRule="exact"/>
              <w:rPr>
                <w:sz w:val="20"/>
                <w:szCs w:val="20"/>
                <w:color w:val="auto"/>
              </w:rPr>
            </w:pPr>
            <w:r>
              <w:rPr>
                <w:rFonts w:ascii="Arial" w:cs="Arial" w:eastAsia="Arial" w:hAnsi="Arial"/>
                <w:sz w:val="20"/>
                <w:szCs w:val="20"/>
                <w:color w:val="auto"/>
              </w:rPr>
              <w:t>Commitments and contingencies (Note 16)</w:t>
            </w: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520" w:type="dxa"/>
            <w:vAlign w:val="bottom"/>
          </w:tcPr>
          <w:p>
            <w:pPr>
              <w:ind w:left="240"/>
              <w:spacing w:after="0" w:line="212" w:lineRule="exact"/>
              <w:rPr>
                <w:sz w:val="20"/>
                <w:szCs w:val="20"/>
                <w:color w:val="auto"/>
              </w:rPr>
            </w:pPr>
            <w:r>
              <w:rPr>
                <w:rFonts w:ascii="Arial" w:cs="Arial" w:eastAsia="Arial" w:hAnsi="Arial"/>
                <w:sz w:val="20"/>
                <w:szCs w:val="20"/>
                <w:color w:val="auto"/>
              </w:rPr>
              <w:t>Series A Redeemable Perpetual Preferred Stock of $0.001 par value -</w:t>
            </w: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40"/>
              <w:spacing w:after="0" w:line="189" w:lineRule="exact"/>
              <w:rPr>
                <w:sz w:val="20"/>
                <w:szCs w:val="20"/>
                <w:color w:val="auto"/>
              </w:rPr>
            </w:pPr>
            <w:r>
              <w:rPr>
                <w:rFonts w:ascii="Arial" w:cs="Arial" w:eastAsia="Arial" w:hAnsi="Arial"/>
                <w:sz w:val="20"/>
                <w:szCs w:val="20"/>
                <w:color w:val="auto"/>
              </w:rPr>
              <w:t>500,000 authorized; 400,000 and 350,000 shares issued as of</w:t>
            </w: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line="203" w:lineRule="exact"/>
              <w:rPr>
                <w:sz w:val="20"/>
                <w:szCs w:val="20"/>
                <w:color w:val="auto"/>
              </w:rPr>
            </w:pPr>
            <w:r>
              <w:rPr>
                <w:rFonts w:ascii="Arial" w:cs="Arial" w:eastAsia="Arial" w:hAnsi="Arial"/>
                <w:sz w:val="20"/>
                <w:szCs w:val="20"/>
                <w:color w:val="auto"/>
              </w:rPr>
              <w:t>September 30, 2022 and December 31, 2021, respectively; liquidation</w:t>
            </w: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line="203" w:lineRule="exact"/>
              <w:rPr>
                <w:sz w:val="20"/>
                <w:szCs w:val="20"/>
                <w:color w:val="auto"/>
              </w:rPr>
            </w:pPr>
            <w:r>
              <w:rPr>
                <w:rFonts w:ascii="Arial" w:cs="Arial" w:eastAsia="Arial" w:hAnsi="Arial"/>
                <w:sz w:val="20"/>
                <w:szCs w:val="20"/>
                <w:color w:val="auto"/>
              </w:rPr>
              <w:t>preference of $400.0 million and $350.0 million as of September 30,</w:t>
            </w:r>
          </w:p>
        </w:tc>
        <w:tc>
          <w:tcPr>
            <w:tcW w:w="180" w:type="dxa"/>
            <w:vAlign w:val="bottom"/>
          </w:tcPr>
          <w:p>
            <w:pPr>
              <w:spacing w:after="0"/>
              <w:rPr>
                <w:sz w:val="17"/>
                <w:szCs w:val="17"/>
                <w:color w:val="auto"/>
              </w:rPr>
            </w:pP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287,561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237,462</w:t>
            </w:r>
          </w:p>
        </w:tc>
        <w:tc>
          <w:tcPr>
            <w:tcW w:w="0" w:type="dxa"/>
            <w:vAlign w:val="bottom"/>
          </w:tcPr>
          <w:p>
            <w:pPr>
              <w:spacing w:after="0"/>
              <w:rPr>
                <w:sz w:val="1"/>
                <w:szCs w:val="1"/>
                <w:color w:val="auto"/>
              </w:rPr>
            </w:pPr>
          </w:p>
        </w:tc>
      </w:tr>
      <w:tr>
        <w:trPr>
          <w:trHeight w:val="233"/>
        </w:trPr>
        <w:tc>
          <w:tcPr>
            <w:tcW w:w="6520" w:type="dxa"/>
            <w:vAlign w:val="bottom"/>
          </w:tcPr>
          <w:p>
            <w:pPr>
              <w:ind w:left="240"/>
              <w:spacing w:after="0"/>
              <w:rPr>
                <w:sz w:val="20"/>
                <w:szCs w:val="20"/>
                <w:color w:val="auto"/>
              </w:rPr>
            </w:pPr>
            <w:r>
              <w:rPr>
                <w:rFonts w:ascii="Arial" w:cs="Arial" w:eastAsia="Arial" w:hAnsi="Arial"/>
                <w:sz w:val="20"/>
                <w:szCs w:val="20"/>
                <w:color w:val="auto"/>
              </w:rPr>
              <w:t>2022 and December 31, 2021, respectively</w:t>
            </w:r>
          </w:p>
        </w:tc>
        <w:tc>
          <w:tcPr>
            <w:tcW w:w="18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 (deficit)</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6520" w:type="dxa"/>
            <w:vAlign w:val="bottom"/>
          </w:tcPr>
          <w:p>
            <w:pPr>
              <w:ind w:left="240"/>
              <w:spacing w:after="0" w:line="212" w:lineRule="exact"/>
              <w:rPr>
                <w:sz w:val="20"/>
                <w:szCs w:val="20"/>
                <w:color w:val="auto"/>
              </w:rPr>
            </w:pPr>
            <w:r>
              <w:rPr>
                <w:rFonts w:ascii="Arial" w:cs="Arial" w:eastAsia="Arial" w:hAnsi="Arial"/>
                <w:sz w:val="20"/>
                <w:szCs w:val="20"/>
                <w:color w:val="auto"/>
              </w:rPr>
              <w:t>Preferred stock of $0.001 par value - 4,500,000 shares authorized;</w:t>
            </w:r>
          </w:p>
        </w:tc>
        <w:tc>
          <w:tcPr>
            <w:tcW w:w="180" w:type="dxa"/>
            <w:vAlign w:val="bottom"/>
          </w:tcPr>
          <w:p>
            <w:pPr>
              <w:spacing w:after="0"/>
              <w:rPr>
                <w:sz w:val="18"/>
                <w:szCs w:val="18"/>
                <w:color w:val="auto"/>
              </w:rPr>
            </w:pPr>
          </w:p>
        </w:tc>
        <w:tc>
          <w:tcPr>
            <w:tcW w:w="22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8"/>
                <w:szCs w:val="18"/>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520" w:type="dxa"/>
            <w:vAlign w:val="bottom"/>
          </w:tcPr>
          <w:p>
            <w:pPr>
              <w:ind w:left="240"/>
              <w:spacing w:after="0"/>
              <w:rPr>
                <w:sz w:val="20"/>
                <w:szCs w:val="20"/>
                <w:color w:val="auto"/>
              </w:rPr>
            </w:pPr>
            <w:r>
              <w:rPr>
                <w:rFonts w:ascii="Arial" w:cs="Arial" w:eastAsia="Arial" w:hAnsi="Arial"/>
                <w:sz w:val="20"/>
                <w:szCs w:val="20"/>
                <w:color w:val="auto"/>
              </w:rPr>
              <w:t>none issued as of September 30, 2022 and December 31, 2021</w:t>
            </w:r>
          </w:p>
        </w:tc>
        <w:tc>
          <w:tcPr>
            <w:tcW w:w="180" w:type="dxa"/>
            <w:vAlign w:val="bottom"/>
          </w:tcPr>
          <w:p>
            <w:pPr>
              <w:spacing w:after="0"/>
              <w:rPr>
                <w:sz w:val="20"/>
                <w:szCs w:val="20"/>
                <w:color w:val="auto"/>
              </w:rPr>
            </w:pPr>
          </w:p>
        </w:tc>
        <w:tc>
          <w:tcPr>
            <w:tcW w:w="22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240"/>
              <w:spacing w:after="0" w:line="212" w:lineRule="exact"/>
              <w:rPr>
                <w:sz w:val="20"/>
                <w:szCs w:val="20"/>
                <w:color w:val="auto"/>
              </w:rPr>
            </w:pPr>
            <w:r>
              <w:rPr>
                <w:rFonts w:ascii="Arial" w:cs="Arial" w:eastAsia="Arial" w:hAnsi="Arial"/>
                <w:sz w:val="20"/>
                <w:szCs w:val="20"/>
                <w:color w:val="auto"/>
              </w:rPr>
              <w:t>Common stock of $0.001 par value - 1,000,000,000 shares authorized;</w:t>
            </w:r>
          </w:p>
        </w:tc>
        <w:tc>
          <w:tcPr>
            <w:tcW w:w="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w w:val="99"/>
              </w:rPr>
              <w:t>150,334,261 and 135,026,940 shares issued as of September 30, 2022</w:t>
            </w:r>
          </w:p>
        </w:tc>
        <w:tc>
          <w:tcPr>
            <w:tcW w:w="180" w:type="dxa"/>
            <w:vAlign w:val="bottom"/>
            <w:shd w:val="clear" w:color="auto" w:fill="CCEEFF"/>
          </w:tcPr>
          <w:p>
            <w:pPr>
              <w:spacing w:after="0"/>
              <w:rPr>
                <w:sz w:val="16"/>
                <w:szCs w:val="16"/>
                <w:color w:val="auto"/>
              </w:rPr>
            </w:pP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and December 31, 2021, respectively</w:t>
            </w:r>
          </w:p>
        </w:tc>
        <w:tc>
          <w:tcPr>
            <w:tcW w:w="18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5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392,862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202,562</w:t>
            </w:r>
          </w:p>
        </w:tc>
        <w:tc>
          <w:tcPr>
            <w:tcW w:w="0" w:type="dxa"/>
            <w:vAlign w:val="bottom"/>
          </w:tcPr>
          <w:p>
            <w:pPr>
              <w:spacing w:after="0"/>
              <w:rPr>
                <w:sz w:val="1"/>
                <w:szCs w:val="1"/>
                <w:color w:val="auto"/>
              </w:rPr>
            </w:pPr>
          </w:p>
        </w:tc>
      </w:tr>
      <w:tr>
        <w:trPr>
          <w:trHeight w:val="26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(258,360)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(271,902)</w:t>
            </w:r>
          </w:p>
        </w:tc>
        <w:tc>
          <w:tcPr>
            <w:tcW w:w="0" w:type="dxa"/>
            <w:vAlign w:val="bottom"/>
          </w:tcPr>
          <w:p>
            <w:pPr>
              <w:spacing w:after="0"/>
              <w:rPr>
                <w:sz w:val="1"/>
                <w:szCs w:val="1"/>
                <w:color w:val="auto"/>
              </w:rPr>
            </w:pPr>
          </w:p>
        </w:tc>
      </w:tr>
      <w:tr>
        <w:trPr>
          <w:trHeight w:val="252"/>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(72,835)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 (deficit)</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61,817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(69,205)</w:t>
            </w:r>
          </w:p>
        </w:tc>
        <w:tc>
          <w:tcPr>
            <w:tcW w:w="0" w:type="dxa"/>
            <w:vAlign w:val="bottom"/>
          </w:tcPr>
          <w:p>
            <w:pPr>
              <w:spacing w:after="0"/>
              <w:rPr>
                <w:sz w:val="1"/>
                <w:szCs w:val="1"/>
                <w:color w:val="auto"/>
              </w:rPr>
            </w:pPr>
          </w:p>
        </w:tc>
      </w:tr>
      <w:tr>
        <w:trPr>
          <w:trHeight w:val="192"/>
        </w:trPr>
        <w:tc>
          <w:tcPr>
            <w:tcW w:w="6520" w:type="dxa"/>
            <w:vAlign w:val="bottom"/>
          </w:tcPr>
          <w:p>
            <w:pPr>
              <w:ind w:left="20"/>
              <w:spacing w:after="0" w:line="192" w:lineRule="exact"/>
              <w:rPr>
                <w:sz w:val="20"/>
                <w:szCs w:val="20"/>
                <w:color w:val="auto"/>
              </w:rPr>
            </w:pPr>
            <w:r>
              <w:rPr>
                <w:rFonts w:ascii="Arial" w:cs="Arial" w:eastAsia="Arial" w:hAnsi="Arial"/>
                <w:sz w:val="20"/>
                <w:szCs w:val="20"/>
                <w:color w:val="auto"/>
              </w:rPr>
              <w:t>Total liabilities, redeemable perpetual preferred stock and stockholders’</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1,681,825</w:t>
            </w:r>
          </w:p>
        </w:tc>
        <w:tc>
          <w:tcPr>
            <w:tcW w:w="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line="207" w:lineRule="exact"/>
              <w:rPr>
                <w:sz w:val="20"/>
                <w:szCs w:val="20"/>
                <w:color w:val="auto"/>
              </w:rPr>
            </w:pPr>
            <w:r>
              <w:rPr>
                <w:rFonts w:ascii="Arial" w:cs="Arial" w:eastAsia="Arial" w:hAnsi="Arial"/>
                <w:sz w:val="20"/>
                <w:szCs w:val="20"/>
                <w:color w:val="auto"/>
              </w:rPr>
              <w:t>equity</w:t>
            </w:r>
          </w:p>
        </w:tc>
        <w:tc>
          <w:tcPr>
            <w:tcW w:w="18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jc w:val="center"/>
              <w:ind w:right="460"/>
              <w:spacing w:after="0"/>
              <w:rPr>
                <w:sz w:val="20"/>
                <w:szCs w:val="20"/>
                <w:color w:val="auto"/>
              </w:rPr>
            </w:pPr>
            <w:r>
              <w:rPr>
                <w:rFonts w:ascii="Arial" w:cs="Arial" w:eastAsia="Arial" w:hAnsi="Arial"/>
                <w:sz w:val="20"/>
                <w:szCs w:val="20"/>
                <w:b w:val="1"/>
                <w:bCs w:val="1"/>
                <w:color w:val="auto"/>
                <w:w w:val="99"/>
              </w:rPr>
              <w:t>Three Months Ended</w:t>
            </w:r>
          </w:p>
        </w:tc>
        <w:tc>
          <w:tcPr>
            <w:tcW w:w="380" w:type="dxa"/>
            <w:vAlign w:val="bottom"/>
          </w:tcPr>
          <w:p>
            <w:pPr>
              <w:spacing w:after="0"/>
              <w:rPr>
                <w:sz w:val="19"/>
                <w:szCs w:val="19"/>
                <w:color w:val="auto"/>
              </w:rPr>
            </w:pPr>
          </w:p>
        </w:tc>
        <w:tc>
          <w:tcPr>
            <w:tcW w:w="3080" w:type="dxa"/>
            <w:vAlign w:val="bottom"/>
            <w:gridSpan w:val="4"/>
          </w:tcPr>
          <w:p>
            <w:pPr>
              <w:jc w:val="right"/>
              <w:ind w:right="70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40" w:type="dxa"/>
            <w:vAlign w:val="bottom"/>
            <w:gridSpan w:val="5"/>
          </w:tcPr>
          <w:p>
            <w:pPr>
              <w:jc w:val="center"/>
              <w:ind w:right="460"/>
              <w:spacing w:after="0"/>
              <w:rPr>
                <w:sz w:val="20"/>
                <w:szCs w:val="20"/>
                <w:color w:val="auto"/>
              </w:rPr>
            </w:pPr>
            <w:r>
              <w:rPr>
                <w:rFonts w:ascii="Arial" w:cs="Arial" w:eastAsia="Arial" w:hAnsi="Arial"/>
                <w:sz w:val="20"/>
                <w:szCs w:val="20"/>
                <w:b w:val="1"/>
                <w:bCs w:val="1"/>
                <w:color w:val="auto"/>
                <w:w w:val="99"/>
              </w:rPr>
              <w:t>September 30,</w:t>
            </w:r>
          </w:p>
        </w:tc>
        <w:tc>
          <w:tcPr>
            <w:tcW w:w="380" w:type="dxa"/>
            <w:vAlign w:val="bottom"/>
          </w:tcPr>
          <w:p>
            <w:pPr>
              <w:spacing w:after="0"/>
              <w:rPr>
                <w:sz w:val="22"/>
                <w:szCs w:val="22"/>
                <w:color w:val="auto"/>
              </w:rPr>
            </w:pPr>
          </w:p>
        </w:tc>
        <w:tc>
          <w:tcPr>
            <w:tcW w:w="3080" w:type="dxa"/>
            <w:vAlign w:val="bottom"/>
            <w:gridSpan w:val="4"/>
          </w:tcPr>
          <w:p>
            <w:pPr>
              <w:jc w:val="right"/>
              <w:ind w:right="961"/>
              <w:spacing w:after="0"/>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188,686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1,235,475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633,442</w:t>
            </w:r>
          </w:p>
        </w:tc>
        <w:tc>
          <w:tcPr>
            <w:tcW w:w="0" w:type="dxa"/>
            <w:vAlign w:val="bottom"/>
          </w:tcPr>
          <w:p>
            <w:pPr>
              <w:spacing w:after="0"/>
              <w:rPr>
                <w:sz w:val="1"/>
                <w:szCs w:val="1"/>
                <w:color w:val="auto"/>
              </w:rPr>
            </w:pPr>
          </w:p>
        </w:tc>
      </w:tr>
      <w:tr>
        <w:trPr>
          <w:trHeight w:val="252"/>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434,801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182,789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1,088,719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560,872</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80,223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5,897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146,756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72,570</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38,911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18,493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107,881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58,279</w:t>
            </w:r>
          </w:p>
        </w:tc>
        <w:tc>
          <w:tcPr>
            <w:tcW w:w="0" w:type="dxa"/>
            <w:vAlign w:val="bottom"/>
          </w:tcPr>
          <w:p>
            <w:pPr>
              <w:spacing w:after="0"/>
              <w:rPr>
                <w:sz w:val="1"/>
                <w:szCs w:val="1"/>
                <w:color w:val="auto"/>
              </w:rPr>
            </w:pPr>
          </w:p>
        </w:tc>
      </w:tr>
      <w:tr>
        <w:trPr>
          <w:trHeight w:val="261"/>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0" w:type="dxa"/>
            <w:vAlign w:val="bottom"/>
          </w:tcPr>
          <w:p>
            <w:pPr>
              <w:spacing w:after="0"/>
              <w:rPr>
                <w:sz w:val="1"/>
                <w:szCs w:val="1"/>
                <w:color w:val="auto"/>
              </w:rPr>
            </w:pPr>
          </w:p>
        </w:tc>
      </w:tr>
      <w:tr>
        <w:trPr>
          <w:trHeight w:val="252"/>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23,364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70,405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17,949</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61,703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25,413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172,305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77,299</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(19,516)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(25,549)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(4,729)</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6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(497)</w:t>
            </w:r>
          </w:p>
        </w:tc>
        <w:tc>
          <w:tcPr>
            <w:tcW w:w="0" w:type="dxa"/>
            <w:vAlign w:val="bottom"/>
          </w:tcPr>
          <w:p>
            <w:pPr>
              <w:spacing w:after="0"/>
              <w:rPr>
                <w:sz w:val="1"/>
                <w:szCs w:val="1"/>
                <w:color w:val="auto"/>
              </w:rPr>
            </w:pPr>
          </w:p>
        </w:tc>
      </w:tr>
      <w:tr>
        <w:trPr>
          <w:trHeight w:val="261"/>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42,750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4260" w:type="dxa"/>
            <w:vAlign w:val="bottom"/>
          </w:tcPr>
          <w:p>
            <w:pPr>
              <w:ind w:left="20"/>
              <w:spacing w:after="0"/>
              <w:rPr>
                <w:sz w:val="20"/>
                <w:szCs w:val="20"/>
                <w:color w:val="auto"/>
              </w:rPr>
            </w:pPr>
            <w:r>
              <w:rPr>
                <w:rFonts w:ascii="Arial" w:cs="Arial" w:eastAsia="Arial" w:hAnsi="Arial"/>
                <w:sz w:val="20"/>
                <w:szCs w:val="20"/>
                <w:color w:val="auto"/>
              </w:rPr>
              <w:t>Foreign currency gain (loss)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1,968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(8,746)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(13,109)</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(23,709)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(28,769)</w:t>
            </w:r>
          </w:p>
        </w:tc>
        <w:tc>
          <w:tcPr>
            <w:tcW w:w="0" w:type="dxa"/>
            <w:vAlign w:val="bottom"/>
          </w:tcPr>
          <w:p>
            <w:pPr>
              <w:spacing w:after="0"/>
              <w:rPr>
                <w:sz w:val="1"/>
                <w:szCs w:val="1"/>
                <w:color w:val="auto"/>
              </w:rPr>
            </w:pPr>
          </w:p>
        </w:tc>
      </w:tr>
      <w:tr>
        <w:trPr>
          <w:trHeight w:val="245"/>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income (expense)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33,446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(13,406)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20,982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(29,266)</w:t>
            </w:r>
          </w:p>
        </w:tc>
        <w:tc>
          <w:tcPr>
            <w:tcW w:w="0" w:type="dxa"/>
            <w:vAlign w:val="bottom"/>
          </w:tcPr>
          <w:p>
            <w:pPr>
              <w:spacing w:after="0"/>
              <w:rPr>
                <w:sz w:val="1"/>
                <w:szCs w:val="1"/>
                <w:color w:val="auto"/>
              </w:rPr>
            </w:pPr>
          </w:p>
        </w:tc>
      </w:tr>
      <w:tr>
        <w:trPr>
          <w:trHeight w:val="197"/>
        </w:trPr>
        <w:tc>
          <w:tcPr>
            <w:tcW w:w="426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Income (loss) before income tax (benefit)</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51,966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(32,922)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(4,567)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(33,995)</w:t>
            </w:r>
          </w:p>
        </w:tc>
        <w:tc>
          <w:tcPr>
            <w:tcW w:w="0" w:type="dxa"/>
            <w:vAlign w:val="bottom"/>
          </w:tcPr>
          <w:p>
            <w:pPr>
              <w:spacing w:after="0"/>
              <w:rPr>
                <w:sz w:val="1"/>
                <w:szCs w:val="1"/>
                <w:color w:val="auto"/>
              </w:rPr>
            </w:pPr>
          </w:p>
        </w:tc>
      </w:tr>
      <w:tr>
        <w:trPr>
          <w:trHeight w:val="233"/>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3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 expense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(18,109)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(5,493)</w:t>
            </w:r>
          </w:p>
        </w:tc>
        <w:tc>
          <w:tcPr>
            <w:tcW w:w="0" w:type="dxa"/>
            <w:vAlign w:val="bottom"/>
          </w:tcPr>
          <w:p>
            <w:pPr>
              <w:spacing w:after="0"/>
              <w:rPr>
                <w:sz w:val="1"/>
                <w:szCs w:val="1"/>
                <w:color w:val="auto"/>
              </w:rPr>
            </w:pPr>
          </w:p>
        </w:tc>
      </w:tr>
      <w:tr>
        <w:trPr>
          <w:trHeight w:val="255"/>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(27,561)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13,542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52"/>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Preferred dividends and accretion</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36,045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8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28,565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(33,040)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(22,503)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(33,981)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per common share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60" w:type="dxa"/>
            <w:vAlign w:val="bottom"/>
          </w:tcPr>
          <w:p>
            <w:pPr>
              <w:ind w:left="1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common shares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149,604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60" w:type="dxa"/>
            <w:vAlign w:val="bottom"/>
          </w:tcPr>
          <w:p>
            <w:pPr>
              <w:ind w:left="14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151,382</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149,604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 w:name="page7"/>
    <w:bookmarkEnd w:id="6"/>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5"/>
          </w:tcPr>
          <w:p>
            <w:pPr>
              <w:jc w:val="center"/>
              <w:ind w:right="440"/>
              <w:spacing w:after="0"/>
              <w:rPr>
                <w:sz w:val="20"/>
                <w:szCs w:val="20"/>
                <w:color w:val="auto"/>
              </w:rPr>
            </w:pPr>
            <w:r>
              <w:rPr>
                <w:rFonts w:ascii="Arial" w:cs="Arial" w:eastAsia="Arial" w:hAnsi="Arial"/>
                <w:sz w:val="20"/>
                <w:szCs w:val="20"/>
                <w:b w:val="1"/>
                <w:bCs w:val="1"/>
                <w:color w:val="auto"/>
                <w:w w:val="98"/>
              </w:rPr>
              <w:t>Three Months Ended</w:t>
            </w:r>
          </w:p>
        </w:tc>
        <w:tc>
          <w:tcPr>
            <w:tcW w:w="380" w:type="dxa"/>
            <w:vAlign w:val="bottom"/>
          </w:tcPr>
          <w:p>
            <w:pPr>
              <w:spacing w:after="0"/>
              <w:rPr>
                <w:sz w:val="19"/>
                <w:szCs w:val="19"/>
                <w:color w:val="auto"/>
              </w:rPr>
            </w:pPr>
          </w:p>
        </w:tc>
        <w:tc>
          <w:tcPr>
            <w:tcW w:w="3080" w:type="dxa"/>
            <w:vAlign w:val="bottom"/>
            <w:gridSpan w:val="4"/>
          </w:tcPr>
          <w:p>
            <w:pPr>
              <w:jc w:val="right"/>
              <w:ind w:right="70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40" w:type="dxa"/>
            <w:vAlign w:val="bottom"/>
            <w:gridSpan w:val="5"/>
          </w:tcPr>
          <w:p>
            <w:pPr>
              <w:jc w:val="center"/>
              <w:ind w:right="440"/>
              <w:spacing w:after="0"/>
              <w:rPr>
                <w:sz w:val="20"/>
                <w:szCs w:val="20"/>
                <w:color w:val="auto"/>
              </w:rPr>
            </w:pPr>
            <w:r>
              <w:rPr>
                <w:rFonts w:ascii="Arial" w:cs="Arial" w:eastAsia="Arial" w:hAnsi="Arial"/>
                <w:sz w:val="20"/>
                <w:szCs w:val="20"/>
                <w:b w:val="1"/>
                <w:bCs w:val="1"/>
                <w:color w:val="auto"/>
                <w:w w:val="97"/>
              </w:rPr>
              <w:t>September 30,</w:t>
            </w:r>
          </w:p>
        </w:tc>
        <w:tc>
          <w:tcPr>
            <w:tcW w:w="380" w:type="dxa"/>
            <w:vAlign w:val="bottom"/>
          </w:tcPr>
          <w:p>
            <w:pPr>
              <w:spacing w:after="0"/>
              <w:rPr>
                <w:sz w:val="22"/>
                <w:szCs w:val="22"/>
                <w:color w:val="auto"/>
              </w:rPr>
            </w:pPr>
          </w:p>
        </w:tc>
        <w:tc>
          <w:tcPr>
            <w:tcW w:w="3080" w:type="dxa"/>
            <w:vAlign w:val="bottom"/>
            <w:gridSpan w:val="4"/>
          </w:tcPr>
          <w:p>
            <w:pPr>
              <w:jc w:val="right"/>
              <w:ind w:right="961"/>
              <w:spacing w:after="0"/>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(27,561)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center"/>
              <w:ind w:left="421"/>
              <w:spacing w:after="0"/>
              <w:rPr>
                <w:sz w:val="20"/>
                <w:szCs w:val="20"/>
                <w:color w:val="auto"/>
              </w:rPr>
            </w:pPr>
            <w:r>
              <w:rPr>
                <w:rFonts w:ascii="Arial" w:cs="Arial" w:eastAsia="Arial" w:hAnsi="Arial"/>
                <w:sz w:val="20"/>
                <w:szCs w:val="20"/>
                <w:color w:val="auto"/>
                <w:w w:val="98"/>
              </w:rPr>
              <w:t>13,542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12"/>
        </w:trPr>
        <w:tc>
          <w:tcPr>
            <w:tcW w:w="4280" w:type="dxa"/>
            <w:vAlign w:val="bottom"/>
          </w:tcPr>
          <w:p>
            <w:pPr>
              <w:ind w:left="140"/>
              <w:spacing w:after="0" w:line="212" w:lineRule="exact"/>
              <w:rPr>
                <w:sz w:val="20"/>
                <w:szCs w:val="20"/>
                <w:color w:val="auto"/>
              </w:rPr>
            </w:pPr>
            <w:r>
              <w:rPr>
                <w:rFonts w:ascii="Arial" w:cs="Arial" w:eastAsia="Arial" w:hAnsi="Arial"/>
                <w:sz w:val="20"/>
                <w:szCs w:val="20"/>
                <w:color w:val="auto"/>
              </w:rPr>
              <w:t>Change in foreign currency translation</w:t>
            </w: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(34,106)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restart"/>
          </w:tcPr>
          <w:p>
            <w:pPr>
              <w:ind w:left="10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8"/>
                <w:szCs w:val="18"/>
                <w:color w:val="auto"/>
              </w:rPr>
            </w:pPr>
          </w:p>
        </w:tc>
        <w:tc>
          <w:tcPr>
            <w:tcW w:w="1320" w:type="dxa"/>
            <w:vAlign w:val="bottom"/>
            <w:vMerge w:val="restart"/>
          </w:tcPr>
          <w:p>
            <w:pPr>
              <w:jc w:val="center"/>
              <w:ind w:left="401"/>
              <w:spacing w:after="0"/>
              <w:rPr>
                <w:sz w:val="20"/>
                <w:szCs w:val="20"/>
                <w:color w:val="auto"/>
              </w:rPr>
            </w:pPr>
            <w:r>
              <w:rPr>
                <w:rFonts w:ascii="Arial" w:cs="Arial" w:eastAsia="Arial" w:hAnsi="Arial"/>
                <w:sz w:val="20"/>
                <w:szCs w:val="20"/>
                <w:color w:val="auto"/>
                <w:w w:val="99"/>
              </w:rPr>
              <w:t>(72,835)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4280" w:type="dxa"/>
            <w:vAlign w:val="bottom"/>
          </w:tcPr>
          <w:p>
            <w:pPr>
              <w:ind w:left="140"/>
              <w:spacing w:after="0"/>
              <w:rPr>
                <w:sz w:val="20"/>
                <w:szCs w:val="20"/>
                <w:color w:val="auto"/>
              </w:rPr>
            </w:pPr>
            <w:r>
              <w:rPr>
                <w:rFonts w:ascii="Arial" w:cs="Arial" w:eastAsia="Arial" w:hAnsi="Arial"/>
                <w:sz w:val="20"/>
                <w:szCs w:val="20"/>
                <w:color w:val="auto"/>
              </w:rPr>
              <w:t>adjustments</w:t>
            </w:r>
          </w:p>
        </w:tc>
        <w:tc>
          <w:tcPr>
            <w:tcW w:w="3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6,716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(27,561)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bottom w:val="single" w:sz="8" w:color="auto"/>
            </w:tcBorders>
            <w:shd w:val="clear" w:color="auto" w:fill="CCEEFF"/>
          </w:tcPr>
          <w:p>
            <w:pPr>
              <w:jc w:val="center"/>
              <w:ind w:left="401"/>
              <w:spacing w:after="0"/>
              <w:rPr>
                <w:sz w:val="20"/>
                <w:szCs w:val="20"/>
                <w:color w:val="auto"/>
              </w:rPr>
            </w:pPr>
            <w:r>
              <w:rPr>
                <w:rFonts w:ascii="Arial" w:cs="Arial" w:eastAsia="Arial" w:hAnsi="Arial"/>
                <w:sz w:val="20"/>
                <w:szCs w:val="20"/>
                <w:color w:val="auto"/>
                <w:w w:val="99"/>
              </w:rPr>
              <w:t>(59,293)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 w:name="page8"/>
    <w:bookmarkEnd w:id="7"/>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(Deficit)</w:t>
      </w: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left="369"/>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6"/>
          </w:tcPr>
          <w:p>
            <w:pPr>
              <w:jc w:val="center"/>
              <w:ind w:left="249"/>
              <w:spacing w:after="0"/>
              <w:rPr>
                <w:sz w:val="20"/>
                <w:szCs w:val="20"/>
                <w:color w:val="auto"/>
              </w:rPr>
            </w:pPr>
            <w:r>
              <w:rPr>
                <w:rFonts w:ascii="Arial" w:cs="Arial" w:eastAsia="Arial" w:hAnsi="Arial"/>
                <w:sz w:val="20"/>
                <w:szCs w:val="20"/>
                <w:i w:val="1"/>
                <w:iCs w:val="1"/>
                <w:color w:val="auto"/>
                <w:w w:val="99"/>
              </w:rPr>
              <w:t>(in thousands)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4060" w:type="dxa"/>
            <w:vAlign w:val="bottom"/>
            <w:gridSpan w:val="9"/>
          </w:tcPr>
          <w:p>
            <w:pPr>
              <w:spacing w:after="0"/>
              <w:rPr>
                <w:sz w:val="20"/>
                <w:szCs w:val="20"/>
                <w:color w:val="auto"/>
              </w:rPr>
            </w:pPr>
            <w:r>
              <w:rPr>
                <w:rFonts w:ascii="Arial" w:cs="Arial" w:eastAsia="Arial" w:hAnsi="Arial"/>
                <w:sz w:val="20"/>
                <w:szCs w:val="20"/>
                <w:b w:val="1"/>
                <w:bCs w:val="1"/>
                <w:i w:val="1"/>
                <w:iCs w:val="1"/>
                <w:color w:val="auto"/>
              </w:rPr>
              <w:t>Three Months Ended September 30, 2022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jc w:val="right"/>
              <w:ind w:right="12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$293,974</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12,257</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40,822</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155"/>
        </w:trPr>
        <w:tc>
          <w:tcPr>
            <w:tcW w:w="1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287,561</w:t>
            </w: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(258,360)</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p>
      <w:pPr>
        <w:jc w:val="center"/>
        <w:ind w:right="-119"/>
        <w:spacing w:after="0"/>
        <w:rPr>
          <w:sz w:val="20"/>
          <w:szCs w:val="20"/>
          <w:color w:val="auto"/>
        </w:rPr>
      </w:pPr>
      <w:r>
        <w:rPr>
          <w:rFonts w:ascii="Arial" w:cs="Arial" w:eastAsia="Arial" w:hAnsi="Arial"/>
          <w:sz w:val="20"/>
          <w:szCs w:val="20"/>
          <w:b w:val="1"/>
          <w:bCs w:val="1"/>
          <w:i w:val="1"/>
          <w:iCs w:val="1"/>
          <w:color w:val="auto"/>
        </w:rPr>
        <w:t>(unaudited)</w:t>
      </w:r>
    </w:p>
    <w:p>
      <w:pPr>
        <w:jc w:val="center"/>
        <w:ind w:right="-119"/>
        <w:spacing w:after="0"/>
        <w:rPr>
          <w:sz w:val="20"/>
          <w:szCs w:val="20"/>
          <w:color w:val="auto"/>
        </w:rPr>
      </w:pPr>
      <w:r>
        <w:rPr>
          <w:rFonts w:ascii="Arial" w:cs="Arial" w:eastAsia="Arial" w:hAnsi="Arial"/>
          <w:sz w:val="20"/>
          <w:szCs w:val="20"/>
          <w:i w:val="1"/>
          <w:iCs w:val="1"/>
          <w:color w:val="auto"/>
        </w:rPr>
        <w:t>(in thousands)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September 30, 2021</w:t>
      </w:r>
    </w:p>
    <w:p>
      <w:pPr>
        <w:sectPr>
          <w:pgSz w:w="11900" w:h="16838" w:orient="portrait"/>
          <w:cols w:equalWidth="0" w:num="1">
            <w:col w:w="11120"/>
          </w:cols>
          <w:pgMar w:left="320" w:top="59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240"/>
        <w:spacing w:after="0"/>
        <w:rPr>
          <w:sz w:val="20"/>
          <w:szCs w:val="20"/>
          <w:color w:val="auto"/>
        </w:rPr>
      </w:pPr>
      <w:r>
        <w:rPr>
          <w:rFonts w:ascii="Arial" w:cs="Arial" w:eastAsia="Arial" w:hAnsi="Arial"/>
          <w:sz w:val="18"/>
          <w:szCs w:val="18"/>
          <w:b w:val="1"/>
          <w:bCs w:val="1"/>
          <w:color w:val="auto"/>
        </w:rPr>
        <w:t>Balance at June 30, 2021</w:t>
      </w:r>
    </w:p>
    <w:p>
      <w:pPr>
        <w:spacing w:after="0" w:line="27" w:lineRule="exact"/>
        <w:rPr>
          <w:sz w:val="20"/>
          <w:szCs w:val="20"/>
          <w:color w:val="auto"/>
        </w:rPr>
      </w:pPr>
    </w:p>
    <w:p>
      <w:pPr>
        <w:ind w:left="20" w:right="800"/>
        <w:spacing w:after="0" w:line="241" w:lineRule="auto"/>
        <w:rPr>
          <w:sz w:val="20"/>
          <w:szCs w:val="20"/>
          <w:color w:val="auto"/>
        </w:rPr>
      </w:pPr>
      <w:r>
        <w:rPr>
          <w:rFonts w:ascii="Arial" w:cs="Arial" w:eastAsia="Arial" w:hAnsi="Arial"/>
          <w:sz w:val="17"/>
          <w:szCs w:val="17"/>
          <w:color w:val="auto"/>
        </w:rPr>
        <w:t>Equity-based compensation</w:t>
      </w:r>
    </w:p>
    <w:p>
      <w:pPr>
        <w:spacing w:after="0" w:line="26" w:lineRule="exact"/>
        <w:rPr>
          <w:sz w:val="20"/>
          <w:szCs w:val="20"/>
          <w:color w:val="auto"/>
        </w:rPr>
      </w:pPr>
    </w:p>
    <w:p>
      <w:pPr>
        <w:ind w:left="20" w:right="80"/>
        <w:spacing w:after="0" w:line="221" w:lineRule="auto"/>
        <w:rPr>
          <w:sz w:val="20"/>
          <w:szCs w:val="20"/>
          <w:color w:val="auto"/>
        </w:rPr>
      </w:pPr>
      <w:r>
        <w:rPr>
          <w:rFonts w:ascii="Arial" w:cs="Arial" w:eastAsia="Arial" w:hAnsi="Arial"/>
          <w:sz w:val="17"/>
          <w:szCs w:val="17"/>
          <w:color w:val="auto"/>
        </w:rPr>
        <w:t>Issuance of Series A Redeemable Perpetual Preferred Stock, net of</w:t>
      </w:r>
    </w:p>
    <w:p>
      <w:pPr>
        <w:ind w:left="20"/>
        <w:spacing w:after="0"/>
        <w:rPr>
          <w:sz w:val="20"/>
          <w:szCs w:val="20"/>
          <w:color w:val="auto"/>
        </w:rPr>
      </w:pPr>
      <w:r>
        <w:rPr>
          <w:rFonts w:ascii="Arial" w:cs="Arial" w:eastAsia="Arial" w:hAnsi="Arial"/>
          <w:sz w:val="18"/>
          <w:szCs w:val="18"/>
          <w:color w:val="auto"/>
        </w:rPr>
        <w:t>fees</w:t>
      </w:r>
    </w:p>
    <w:p>
      <w:pPr>
        <w:spacing w:after="0" w:line="23" w:lineRule="exact"/>
        <w:rPr>
          <w:sz w:val="20"/>
          <w:szCs w:val="20"/>
          <w:color w:val="auto"/>
        </w:rPr>
      </w:pPr>
    </w:p>
    <w:p>
      <w:pPr>
        <w:ind w:left="20" w:right="260"/>
        <w:spacing w:after="0" w:line="227" w:lineRule="auto"/>
        <w:rPr>
          <w:sz w:val="20"/>
          <w:szCs w:val="20"/>
          <w:color w:val="auto"/>
        </w:rPr>
      </w:pPr>
      <w:r>
        <w:rPr>
          <w:rFonts w:ascii="Arial" w:cs="Arial" w:eastAsia="Arial" w:hAnsi="Arial"/>
          <w:sz w:val="18"/>
          <w:szCs w:val="18"/>
          <w:color w:val="auto"/>
        </w:rPr>
        <w:t>Issuance of common stock, net</w:t>
      </w:r>
    </w:p>
    <w:p>
      <w:pPr>
        <w:spacing w:after="0" w:line="27" w:lineRule="exact"/>
        <w:rPr>
          <w:sz w:val="20"/>
          <w:szCs w:val="20"/>
          <w:color w:val="auto"/>
        </w:rPr>
      </w:pPr>
    </w:p>
    <w:p>
      <w:pPr>
        <w:ind w:left="20"/>
        <w:spacing w:after="0" w:line="241" w:lineRule="auto"/>
        <w:rPr>
          <w:sz w:val="20"/>
          <w:szCs w:val="20"/>
          <w:color w:val="auto"/>
        </w:rPr>
      </w:pPr>
      <w:r>
        <w:rPr>
          <w:rFonts w:ascii="Arial" w:cs="Arial" w:eastAsia="Arial" w:hAnsi="Arial"/>
          <w:sz w:val="17"/>
          <w:szCs w:val="17"/>
          <w:color w:val="auto"/>
        </w:rPr>
        <w:t>Preferred cumulative dividends plus accretion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10" w:lineRule="exact"/>
        <w:rPr>
          <w:sz w:val="20"/>
          <w:szCs w:val="20"/>
          <w:color w:val="auto"/>
        </w:rPr>
      </w:pPr>
    </w:p>
    <w:p>
      <w:pPr>
        <w:ind w:left="20" w:right="40"/>
        <w:spacing w:after="0" w:line="234" w:lineRule="auto"/>
        <w:rPr>
          <w:sz w:val="20"/>
          <w:szCs w:val="20"/>
          <w:color w:val="auto"/>
        </w:rPr>
      </w:pPr>
      <w:r>
        <w:rPr>
          <w:rFonts w:ascii="Arial" w:cs="Arial" w:eastAsia="Arial" w:hAnsi="Arial"/>
          <w:sz w:val="18"/>
          <w:szCs w:val="18"/>
          <w:b w:val="1"/>
          <w:bCs w:val="1"/>
          <w:color w:val="auto"/>
        </w:rPr>
        <w:t>Balance at September 30, 2021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5"/>
          </w:tcPr>
          <w:p>
            <w:pPr>
              <w:ind w:left="60"/>
              <w:spacing w:after="0"/>
              <w:rPr>
                <w:sz w:val="20"/>
                <w:szCs w:val="20"/>
                <w:color w:val="auto"/>
              </w:rPr>
            </w:pPr>
            <w:r>
              <w:rPr>
                <w:rFonts w:ascii="Arial" w:cs="Arial" w:eastAsia="Arial" w:hAnsi="Arial"/>
                <w:sz w:val="18"/>
                <w:szCs w:val="18"/>
                <w:b w:val="1"/>
                <w:bCs w:val="1"/>
                <w:color w:val="auto"/>
              </w:rPr>
              <w:t>Permanent Equity</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40" w:type="dxa"/>
            <w:vAlign w:val="bottom"/>
            <w:tcBorders>
              <w:top w:val="single" w:sz="8" w:color="auto"/>
            </w:tcBorders>
            <w:gridSpan w:val="4"/>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tcBorders>
              <w:right w:val="single" w:sz="8" w:color="auto"/>
            </w:tcBorders>
            <w:gridSpan w:val="5"/>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Borders>
              <w:right w:val="single" w:sz="8" w:color="auto"/>
            </w:tcBorders>
            <w:gridSpan w:val="5"/>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70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74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0"/>
                <w:szCs w:val="20"/>
                <w:color w:val="auto"/>
              </w:rPr>
            </w:pPr>
          </w:p>
        </w:tc>
        <w:tc>
          <w:tcPr>
            <w:tcW w:w="1700" w:type="dxa"/>
            <w:vAlign w:val="bottom"/>
            <w:gridSpan w:val="5"/>
            <w:vMerge w:val="continue"/>
          </w:tcPr>
          <w:p>
            <w:pPr>
              <w:spacing w:after="0"/>
              <w:rPr>
                <w:sz w:val="20"/>
                <w:szCs w:val="20"/>
                <w:color w:val="auto"/>
              </w:rPr>
            </w:pPr>
          </w:p>
        </w:tc>
        <w:tc>
          <w:tcPr>
            <w:tcW w:w="174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6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80" w:type="dxa"/>
            <w:vAlign w:val="bottom"/>
            <w:tcBorders>
              <w:bottom w:val="single" w:sz="8" w:color="auto"/>
            </w:tcBorders>
            <w:gridSpan w:val="2"/>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399"/>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126,994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149,893</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(222,440)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(72,420)</w:t>
            </w: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769"/>
        </w:trPr>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229,799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104,764</w:t>
            </w:r>
          </w:p>
        </w:tc>
        <w:tc>
          <w:tcPr>
            <w:tcW w:w="0" w:type="dxa"/>
            <w:vAlign w:val="bottom"/>
          </w:tcPr>
          <w:p>
            <w:pPr>
              <w:spacing w:after="0"/>
              <w:rPr>
                <w:sz w:val="1"/>
                <w:szCs w:val="1"/>
                <w:color w:val="auto"/>
              </w:rPr>
            </w:pPr>
          </w:p>
        </w:tc>
      </w:tr>
      <w:tr>
        <w:trPr>
          <w:trHeight w:val="419"/>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29"/>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(27,561)</w:t>
            </w:r>
          </w:p>
        </w:tc>
        <w:tc>
          <w:tcPr>
            <w:tcW w:w="0" w:type="dxa"/>
            <w:vAlign w:val="bottom"/>
          </w:tcPr>
          <w:p>
            <w:pPr>
              <w:spacing w:after="0"/>
              <w:rPr>
                <w:sz w:val="1"/>
                <w:szCs w:val="1"/>
                <w:color w:val="auto"/>
              </w:rPr>
            </w:pPr>
          </w:p>
        </w:tc>
      </w:tr>
      <w:tr>
        <w:trPr>
          <w:trHeight w:val="41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134,869</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251,330</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(250,001)</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-1979930</wp:posOffset>
            </wp:positionV>
            <wp:extent cx="6969125"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9125" cy="26606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-1447800</wp:posOffset>
            </wp:positionV>
            <wp:extent cx="696912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9125" cy="48831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-694055</wp:posOffset>
            </wp:positionV>
            <wp:extent cx="696912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9125" cy="26543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-282575</wp:posOffset>
            </wp:positionV>
            <wp:extent cx="696912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912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60"/>
            <w:col w:w="9020"/>
          </w:cols>
          <w:pgMar w:left="320" w:top="59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type w:val="continuous"/>
        </w:sectPr>
      </w:pPr>
    </w:p>
    <w:bookmarkStart w:id="9" w:name="page10"/>
    <w:bookmarkEnd w:id="9"/>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left="369"/>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60" w:type="dxa"/>
            <w:vAlign w:val="bottom"/>
            <w:gridSpan w:val="9"/>
            <w:vMerge w:val="restart"/>
          </w:tcPr>
          <w:p>
            <w:pPr>
              <w:spacing w:after="0"/>
              <w:rPr>
                <w:sz w:val="20"/>
                <w:szCs w:val="20"/>
                <w:color w:val="auto"/>
              </w:rPr>
            </w:pPr>
            <w:r>
              <w:rPr>
                <w:rFonts w:ascii="Arial" w:cs="Arial" w:eastAsia="Arial" w:hAnsi="Arial"/>
                <w:sz w:val="20"/>
                <w:szCs w:val="20"/>
                <w:b w:val="1"/>
                <w:bCs w:val="1"/>
                <w:i w:val="1"/>
                <w:iCs w:val="1"/>
                <w:color w:val="auto"/>
                <w:w w:val="98"/>
              </w:rPr>
              <w:t>Nine Months Ended September 30, 2022</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6"/>
          </w:tcPr>
          <w:p>
            <w:pPr>
              <w:jc w:val="center"/>
              <w:ind w:left="249"/>
              <w:spacing w:after="0"/>
              <w:rPr>
                <w:sz w:val="20"/>
                <w:szCs w:val="20"/>
                <w:color w:val="auto"/>
              </w:rPr>
            </w:pPr>
            <w:r>
              <w:rPr>
                <w:rFonts w:ascii="Arial" w:cs="Arial" w:eastAsia="Arial" w:hAnsi="Arial"/>
                <w:sz w:val="20"/>
                <w:szCs w:val="20"/>
                <w:i w:val="1"/>
                <w:iCs w:val="1"/>
                <w:color w:val="auto"/>
                <w:w w:val="99"/>
              </w:rPr>
              <w:t>(in thousands)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60" w:type="dxa"/>
            <w:vAlign w:val="bottom"/>
            <w:gridSpan w:val="9"/>
            <w:vMerge w:val="continue"/>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6"/>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$237,462</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216,063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216,078</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(18,670)</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ind w:left="580"/>
              <w:spacing w:after="0"/>
              <w:rPr>
                <w:sz w:val="20"/>
                <w:szCs w:val="20"/>
                <w:color w:val="auto"/>
              </w:rPr>
            </w:pPr>
            <w:r>
              <w:rPr>
                <w:rFonts w:ascii="Arial" w:cs="Arial" w:eastAsia="Arial" w:hAnsi="Arial"/>
                <w:sz w:val="18"/>
                <w:szCs w:val="18"/>
                <w:color w:val="auto"/>
              </w:rPr>
              <w:t>(72,835)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(72,835)</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September 30,</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287,561</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(72,835)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p>
      <w:pPr>
        <w:jc w:val="center"/>
        <w:ind w:right="-119"/>
        <w:spacing w:after="0"/>
        <w:rPr>
          <w:sz w:val="20"/>
          <w:szCs w:val="20"/>
          <w:color w:val="auto"/>
        </w:rPr>
      </w:pPr>
      <w:r>
        <w:rPr>
          <w:rFonts w:ascii="Arial" w:cs="Arial" w:eastAsia="Arial" w:hAnsi="Arial"/>
          <w:sz w:val="20"/>
          <w:szCs w:val="20"/>
          <w:b w:val="1"/>
          <w:bCs w:val="1"/>
          <w:i w:val="1"/>
          <w:iCs w:val="1"/>
          <w:color w:val="auto"/>
        </w:rPr>
        <w:t>(unaudited)</w:t>
      </w:r>
    </w:p>
    <w:p>
      <w:pPr>
        <w:jc w:val="center"/>
        <w:ind w:right="-119"/>
        <w:spacing w:after="0"/>
        <w:rPr>
          <w:sz w:val="20"/>
          <w:szCs w:val="20"/>
          <w:color w:val="auto"/>
        </w:rPr>
      </w:pPr>
      <w:r>
        <w:rPr>
          <w:rFonts w:ascii="Arial" w:cs="Arial" w:eastAsia="Arial" w:hAnsi="Arial"/>
          <w:sz w:val="20"/>
          <w:szCs w:val="20"/>
          <w:i w:val="1"/>
          <w:iCs w:val="1"/>
          <w:color w:val="auto"/>
        </w:rPr>
        <w:t>(in thousands)</w:t>
      </w:r>
    </w:p>
    <w:p>
      <w:pPr>
        <w:spacing w:after="0"/>
        <w:rPr>
          <w:sz w:val="20"/>
          <w:szCs w:val="20"/>
          <w:color w:val="auto"/>
        </w:rPr>
      </w:pPr>
      <w:r>
        <w:rPr>
          <w:rFonts w:ascii="Arial" w:cs="Arial" w:eastAsia="Arial" w:hAnsi="Arial"/>
          <w:sz w:val="20"/>
          <w:szCs w:val="20"/>
          <w:b w:val="1"/>
          <w:bCs w:val="1"/>
          <w:i w:val="1"/>
          <w:iCs w:val="1"/>
          <w:color w:val="auto"/>
        </w:rPr>
        <w:t>Nine Months Ended September 30, 2021</w:t>
      </w:r>
    </w:p>
    <w:p>
      <w:pPr>
        <w:sectPr>
          <w:pgSz w:w="11900" w:h="16838" w:orient="portrait"/>
          <w:cols w:equalWidth="0" w:num="1">
            <w:col w:w="11120"/>
          </w:cols>
          <w:pgMar w:left="320" w:top="59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right="100"/>
        <w:spacing w:after="0"/>
        <w:rPr>
          <w:sz w:val="20"/>
          <w:szCs w:val="20"/>
          <w:color w:val="auto"/>
        </w:rPr>
      </w:pPr>
      <w:r>
        <w:rPr>
          <w:rFonts w:ascii="Arial" w:cs="Arial" w:eastAsia="Arial" w:hAnsi="Arial"/>
          <w:sz w:val="18"/>
          <w:szCs w:val="18"/>
          <w:b w:val="1"/>
          <w:bCs w:val="1"/>
          <w:color w:val="auto"/>
        </w:rPr>
        <w:t>Balance at December 31, 2020</w:t>
      </w:r>
    </w:p>
    <w:p>
      <w:pPr>
        <w:spacing w:after="0" w:line="27" w:lineRule="exact"/>
        <w:rPr>
          <w:sz w:val="20"/>
          <w:szCs w:val="20"/>
          <w:color w:val="auto"/>
        </w:rPr>
      </w:pPr>
    </w:p>
    <w:p>
      <w:pPr>
        <w:ind w:left="20" w:right="800"/>
        <w:spacing w:after="0" w:line="241" w:lineRule="auto"/>
        <w:rPr>
          <w:sz w:val="20"/>
          <w:szCs w:val="20"/>
          <w:color w:val="auto"/>
        </w:rPr>
      </w:pPr>
      <w:r>
        <w:rPr>
          <w:rFonts w:ascii="Arial" w:cs="Arial" w:eastAsia="Arial" w:hAnsi="Arial"/>
          <w:sz w:val="17"/>
          <w:szCs w:val="17"/>
          <w:color w:val="auto"/>
        </w:rPr>
        <w:t>Equity-based compensation</w:t>
      </w:r>
    </w:p>
    <w:p>
      <w:pPr>
        <w:spacing w:after="0" w:line="26" w:lineRule="exact"/>
        <w:rPr>
          <w:sz w:val="20"/>
          <w:szCs w:val="20"/>
          <w:color w:val="auto"/>
        </w:rPr>
      </w:pPr>
    </w:p>
    <w:p>
      <w:pPr>
        <w:ind w:left="20" w:right="80"/>
        <w:spacing w:after="0" w:line="221" w:lineRule="auto"/>
        <w:rPr>
          <w:sz w:val="20"/>
          <w:szCs w:val="20"/>
          <w:color w:val="auto"/>
        </w:rPr>
      </w:pPr>
      <w:r>
        <w:rPr>
          <w:rFonts w:ascii="Arial" w:cs="Arial" w:eastAsia="Arial" w:hAnsi="Arial"/>
          <w:sz w:val="17"/>
          <w:szCs w:val="17"/>
          <w:color w:val="auto"/>
        </w:rPr>
        <w:t>Issuance of Series A Redeemable Perpetual Preferred Stock, net of</w:t>
      </w:r>
    </w:p>
    <w:p>
      <w:pPr>
        <w:ind w:left="20"/>
        <w:spacing w:after="0"/>
        <w:rPr>
          <w:sz w:val="20"/>
          <w:szCs w:val="20"/>
          <w:color w:val="auto"/>
        </w:rPr>
      </w:pPr>
      <w:r>
        <w:rPr>
          <w:rFonts w:ascii="Arial" w:cs="Arial" w:eastAsia="Arial" w:hAnsi="Arial"/>
          <w:sz w:val="18"/>
          <w:szCs w:val="18"/>
          <w:color w:val="auto"/>
        </w:rPr>
        <w:t>fees</w:t>
      </w:r>
    </w:p>
    <w:p>
      <w:pPr>
        <w:spacing w:after="0" w:line="23" w:lineRule="exact"/>
        <w:rPr>
          <w:sz w:val="20"/>
          <w:szCs w:val="20"/>
          <w:color w:val="auto"/>
        </w:rPr>
      </w:pPr>
    </w:p>
    <w:p>
      <w:pPr>
        <w:ind w:left="20" w:right="260"/>
        <w:spacing w:after="0" w:line="227" w:lineRule="auto"/>
        <w:rPr>
          <w:sz w:val="20"/>
          <w:szCs w:val="20"/>
          <w:color w:val="auto"/>
        </w:rPr>
      </w:pPr>
      <w:r>
        <w:rPr>
          <w:rFonts w:ascii="Arial" w:cs="Arial" w:eastAsia="Arial" w:hAnsi="Arial"/>
          <w:sz w:val="18"/>
          <w:szCs w:val="18"/>
          <w:color w:val="auto"/>
        </w:rPr>
        <w:t>Issuance of common stock, net</w:t>
      </w:r>
    </w:p>
    <w:p>
      <w:pPr>
        <w:spacing w:after="0" w:line="27" w:lineRule="exact"/>
        <w:rPr>
          <w:sz w:val="20"/>
          <w:szCs w:val="20"/>
          <w:color w:val="auto"/>
        </w:rPr>
      </w:pPr>
    </w:p>
    <w:p>
      <w:pPr>
        <w:ind w:left="20"/>
        <w:spacing w:after="0" w:line="241" w:lineRule="auto"/>
        <w:rPr>
          <w:sz w:val="20"/>
          <w:szCs w:val="20"/>
          <w:color w:val="auto"/>
        </w:rPr>
      </w:pPr>
      <w:r>
        <w:rPr>
          <w:rFonts w:ascii="Arial" w:cs="Arial" w:eastAsia="Arial" w:hAnsi="Arial"/>
          <w:sz w:val="17"/>
          <w:szCs w:val="17"/>
          <w:color w:val="auto"/>
        </w:rPr>
        <w:t>Preferred cumulative dividends plus accretion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7426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265430"/>
                    </a:xfrm>
                    <a:prstGeom prst="rect">
                      <a:avLst/>
                    </a:prstGeom>
                    <a:noFill/>
                  </pic:spPr>
                </pic:pic>
              </a:graphicData>
            </a:graphic>
          </wp:anchor>
        </w:drawing>
      </w:r>
    </w:p>
    <w:p>
      <w:pPr>
        <w:ind w:left="20" w:right="40"/>
        <w:spacing w:after="0" w:line="234" w:lineRule="auto"/>
        <w:rPr>
          <w:sz w:val="20"/>
          <w:szCs w:val="20"/>
          <w:color w:val="auto"/>
        </w:rPr>
      </w:pPr>
      <w:r>
        <w:rPr>
          <w:rFonts w:ascii="Arial" w:cs="Arial" w:eastAsia="Arial" w:hAnsi="Arial"/>
          <w:sz w:val="18"/>
          <w:szCs w:val="18"/>
          <w:b w:val="1"/>
          <w:bCs w:val="1"/>
          <w:color w:val="auto"/>
        </w:rPr>
        <w:t>Balance at September 30, 2021</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Permanent Equity</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40" w:type="dxa"/>
            <w:vAlign w:val="bottom"/>
            <w:gridSpan w:val="4"/>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99"/>
              </w:rPr>
              <w:t>Redeemable</w:t>
            </w:r>
          </w:p>
        </w:tc>
        <w:tc>
          <w:tcPr>
            <w:tcW w:w="10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40" w:type="dxa"/>
            <w:vAlign w:val="bottom"/>
            <w:gridSpan w:val="4"/>
          </w:tcPr>
          <w:p>
            <w:pPr>
              <w:jc w:val="center"/>
              <w:spacing w:after="0" w:line="180" w:lineRule="exact"/>
              <w:rPr>
                <w:sz w:val="20"/>
                <w:szCs w:val="20"/>
                <w:color w:val="auto"/>
              </w:rPr>
            </w:pPr>
            <w:r>
              <w:rPr>
                <w:rFonts w:ascii="Arial" w:cs="Arial" w:eastAsia="Arial" w:hAnsi="Arial"/>
                <w:sz w:val="18"/>
                <w:szCs w:val="18"/>
                <w:b w:val="1"/>
                <w:bCs w:val="1"/>
                <w:color w:val="auto"/>
                <w:w w:val="99"/>
              </w:rPr>
              <w:t>Perpetual</w:t>
            </w:r>
          </w:p>
        </w:tc>
        <w:tc>
          <w:tcPr>
            <w:tcW w:w="100" w:type="dxa"/>
            <w:vAlign w:val="bottom"/>
            <w:tcBorders>
              <w:right w:val="single" w:sz="8" w:color="auto"/>
            </w:tcBorders>
          </w:tcPr>
          <w:p>
            <w:pPr>
              <w:spacing w:after="0"/>
              <w:rPr>
                <w:sz w:val="15"/>
                <w:szCs w:val="15"/>
                <w:color w:val="auto"/>
              </w:rPr>
            </w:pPr>
          </w:p>
        </w:tc>
        <w:tc>
          <w:tcPr>
            <w:tcW w:w="176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Preferred Stock</w:t>
            </w:r>
          </w:p>
        </w:tc>
        <w:tc>
          <w:tcPr>
            <w:tcW w:w="174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100" w:type="dxa"/>
            <w:vAlign w:val="bottom"/>
            <w:tcBorders>
              <w:right w:val="single" w:sz="8" w:color="auto"/>
            </w:tcBorders>
          </w:tcPr>
          <w:p>
            <w:pPr>
              <w:spacing w:after="0"/>
              <w:rPr>
                <w:sz w:val="20"/>
                <w:szCs w:val="20"/>
                <w:color w:val="auto"/>
              </w:rPr>
            </w:pPr>
          </w:p>
        </w:tc>
        <w:tc>
          <w:tcPr>
            <w:tcW w:w="1760" w:type="dxa"/>
            <w:vAlign w:val="bottom"/>
            <w:gridSpan w:val="5"/>
            <w:vMerge w:val="continue"/>
          </w:tcPr>
          <w:p>
            <w:pPr>
              <w:spacing w:after="0"/>
              <w:rPr>
                <w:sz w:val="20"/>
                <w:szCs w:val="20"/>
                <w:color w:val="auto"/>
              </w:rPr>
            </w:pPr>
          </w:p>
        </w:tc>
        <w:tc>
          <w:tcPr>
            <w:tcW w:w="174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tcPr>
          <w:p>
            <w:pPr>
              <w:spacing w:after="0"/>
              <w:rPr>
                <w:sz w:val="15"/>
                <w:szCs w:val="15"/>
                <w:color w:val="auto"/>
              </w:rPr>
            </w:pPr>
          </w:p>
        </w:tc>
        <w:tc>
          <w:tcPr>
            <w:tcW w:w="7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6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80" w:type="dxa"/>
            <w:vAlign w:val="bottom"/>
            <w:tcBorders>
              <w:bottom w:val="single" w:sz="8" w:color="auto"/>
            </w:tcBorders>
            <w:gridSpan w:val="2"/>
            <w:vMerge w:val="continue"/>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398"/>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126,994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140,473</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(221,499)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769"/>
        </w:trPr>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229,799</w:t>
            </w:r>
          </w:p>
        </w:tc>
        <w:tc>
          <w:tcPr>
            <w:tcW w:w="100" w:type="dxa"/>
            <w:vAlign w:val="bottom"/>
            <w:tcBorders>
              <w:right w:val="single" w:sz="8" w:color="auto"/>
            </w:tcBorders>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104,764</w:t>
            </w: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Borders>
              <w:right w:val="single" w:sz="8" w:color="auto"/>
            </w:tcBorders>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29"/>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0" w:type="dxa"/>
            <w:vAlign w:val="bottom"/>
          </w:tcPr>
          <w:p>
            <w:pPr>
              <w:spacing w:after="0"/>
              <w:rPr>
                <w:sz w:val="1"/>
                <w:szCs w:val="1"/>
                <w:color w:val="auto"/>
              </w:rPr>
            </w:pPr>
          </w:p>
        </w:tc>
      </w:tr>
      <w:tr>
        <w:trPr>
          <w:trHeight w:val="391"/>
        </w:trPr>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235,278</w:t>
            </w:r>
          </w:p>
        </w:tc>
        <w:tc>
          <w:tcPr>
            <w:tcW w:w="100" w:type="dxa"/>
            <w:vAlign w:val="bottom"/>
            <w:tcBorders>
              <w:right w:val="single" w:sz="8" w:color="auto"/>
            </w:tcBorders>
          </w:tcPr>
          <w:p>
            <w:pPr>
              <w:spacing w:after="0"/>
              <w:rPr>
                <w:sz w:val="24"/>
                <w:szCs w:val="24"/>
                <w:color w:val="auto"/>
              </w:rPr>
            </w:pPr>
          </w:p>
        </w:tc>
        <w:tc>
          <w:tcPr>
            <w:tcW w:w="8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134,869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-1979295</wp:posOffset>
            </wp:positionV>
            <wp:extent cx="696912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9125" cy="26543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-1447800</wp:posOffset>
            </wp:positionV>
            <wp:extent cx="6969125"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9125" cy="48831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-694055</wp:posOffset>
            </wp:positionV>
            <wp:extent cx="6969125"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912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60"/>
            <w:col w:w="9020"/>
          </w:cols>
          <w:pgMar w:left="320" w:top="598" w:right="459" w:bottom="1440" w:gutter="0" w:footer="0" w:header="0"/>
          <w:type w:val="continuous"/>
        </w:sect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type w:val="continuous"/>
        </w:sectPr>
      </w:pPr>
    </w:p>
    <w:bookmarkStart w:id="11" w:name="page12"/>
    <w:bookmarkEnd w:id="11"/>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Nine Months Ended</w:t>
      </w:r>
    </w:p>
    <w:p>
      <w:pPr>
        <w:jc w:val="center"/>
        <w:ind w:left="7540"/>
        <w:spacing w:after="0"/>
        <w:rPr>
          <w:sz w:val="20"/>
          <w:szCs w:val="20"/>
          <w:color w:val="auto"/>
        </w:rPr>
      </w:pPr>
      <w:r>
        <w:rPr>
          <w:rFonts w:ascii="Arial" w:cs="Arial" w:eastAsia="Arial" w:hAnsi="Arial"/>
          <w:sz w:val="20"/>
          <w:szCs w:val="20"/>
          <w:b w:val="1"/>
          <w:bCs w:val="1"/>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52"/>
        </w:trPr>
        <w:tc>
          <w:tcPr>
            <w:tcW w:w="756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13,542</w:t>
            </w:r>
          </w:p>
        </w:tc>
        <w:tc>
          <w:tcPr>
            <w:tcW w:w="80" w:type="dxa"/>
            <w:vAlign w:val="bottom"/>
          </w:tcPr>
          <w:p>
            <w:pPr>
              <w:spacing w:after="0"/>
              <w:rPr>
                <w:sz w:val="21"/>
                <w:szCs w:val="21"/>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(28,502)</w:t>
            </w:r>
          </w:p>
        </w:tc>
      </w:tr>
      <w:tr>
        <w:trPr>
          <w:trHeight w:val="217"/>
        </w:trPr>
        <w:tc>
          <w:tcPr>
            <w:tcW w:w="756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Adjustments to reconcile net income (loss) to net cash provided by, (used in)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activities: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(574)</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expense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(30,928)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(7,036)</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71,207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19,454</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5,003</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13,653</w:t>
            </w:r>
          </w:p>
        </w:tc>
      </w:tr>
      <w:tr>
        <w:trPr>
          <w:trHeight w:val="252"/>
        </w:trPr>
        <w:tc>
          <w:tcPr>
            <w:tcW w:w="7560" w:type="dxa"/>
            <w:vAlign w:val="bottom"/>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11,706</w:t>
            </w:r>
          </w:p>
        </w:tc>
      </w:tr>
      <w:tr>
        <w:trPr>
          <w:trHeight w:val="261"/>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1,071</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4,341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305</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(2,333)</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654</w:t>
            </w:r>
          </w:p>
        </w:tc>
      </w:tr>
      <w:tr>
        <w:trPr>
          <w:trHeight w:val="261"/>
        </w:trPr>
        <w:tc>
          <w:tcPr>
            <w:tcW w:w="7560" w:type="dxa"/>
            <w:vAlign w:val="bottom"/>
          </w:tcPr>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3"/>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(139,036)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(50,840)</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(14,273)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(55,321)</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(3,610)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9,676</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11,146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(5,770)</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42,205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1,948</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(1,622)</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41,271</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1,683</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Warranty payments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(373)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2,951</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(8,185)</w:t>
            </w:r>
          </w:p>
        </w:tc>
      </w:tr>
      <w:tr>
        <w:trPr>
          <w:trHeight w:val="279"/>
        </w:trPr>
        <w:tc>
          <w:tcPr>
            <w:tcW w:w="7560" w:type="dxa"/>
            <w:vAlign w:val="bottom"/>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1,914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337</w:t>
            </w:r>
          </w:p>
        </w:tc>
      </w:tr>
      <w:tr>
        <w:trPr>
          <w:trHeight w:val="288"/>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34,772</w:t>
            </w:r>
          </w:p>
        </w:tc>
        <w:tc>
          <w:tcPr>
            <w:tcW w:w="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(68,474)</w:t>
            </w:r>
          </w:p>
        </w:tc>
      </w:tr>
      <w:tr>
        <w:trPr>
          <w:trHeight w:val="259"/>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provided by, (used in) operating activities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44,023</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(165,837)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(6,690)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(2,252)</w:t>
            </w:r>
          </w:p>
        </w:tc>
      </w:tr>
      <w:tr>
        <w:trPr>
          <w:trHeight w:val="288"/>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Acquisition of STI, net of cash acquired</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(373,816)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(11,975)</w:t>
            </w:r>
          </w:p>
        </w:tc>
      </w:tr>
      <w:tr>
        <w:trPr>
          <w:trHeight w:val="268"/>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(380,506)</w:t>
            </w: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(14,227)</w:t>
            </w:r>
          </w:p>
        </w:tc>
      </w:tr>
      <w:tr>
        <w:trPr>
          <w:trHeight w:val="240"/>
        </w:trPr>
        <w:tc>
          <w:tcPr>
            <w:tcW w:w="7560" w:type="dxa"/>
            <w:vAlign w:val="bottom"/>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Series A issuance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33,098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224,987</w:t>
            </w: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common stock issuance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15,885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120,645</w:t>
            </w:r>
          </w:p>
        </w:tc>
      </w:tr>
      <w:tr>
        <w:trPr>
          <w:trHeight w:val="288"/>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Series A equity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(7,195)</w:t>
            </w: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Common stock issuance costs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(3,873)</w:t>
            </w:r>
          </w:p>
        </w:tc>
      </w:tr>
      <w:tr>
        <w:trPr>
          <w:trHeight w:val="288"/>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Dividends paid on Series A Preferred</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(18,670)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Payments on revolving credit facility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(102,000)</w:t>
            </w:r>
          </w:p>
        </w:tc>
      </w:tr>
      <w:tr>
        <w:trPr>
          <w:trHeight w:val="288"/>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39,219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116,000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102,000</w:t>
            </w:r>
          </w:p>
        </w:tc>
      </w:tr>
    </w:tbl>
    <w:p>
      <w:pPr>
        <w:spacing w:after="0" w:line="200" w:lineRule="exact"/>
        <w:rPr>
          <w:sz w:val="20"/>
          <w:szCs w:val="20"/>
          <w:color w:val="auto"/>
        </w:rPr>
      </w:pP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2" w:name="page13"/>
    <w:bookmarkEnd w:id="12"/>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Nine Months Ended</w:t>
      </w:r>
    </w:p>
    <w:p>
      <w:pPr>
        <w:jc w:val="center"/>
        <w:ind w:left="7540"/>
        <w:spacing w:after="0"/>
        <w:rPr>
          <w:sz w:val="20"/>
          <w:szCs w:val="20"/>
          <w:color w:val="auto"/>
        </w:rPr>
      </w:pPr>
      <w:r>
        <w:rPr>
          <w:rFonts w:ascii="Arial" w:cs="Arial" w:eastAsia="Arial" w:hAnsi="Arial"/>
          <w:sz w:val="20"/>
          <w:szCs w:val="20"/>
          <w:b w:val="1"/>
          <w:bCs w:val="1"/>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63"/>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debt</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(33,286)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(132,150)</w:t>
            </w:r>
          </w:p>
        </w:tc>
      </w:tr>
      <w:tr>
        <w:trPr>
          <w:trHeight w:val="279"/>
        </w:trPr>
        <w:tc>
          <w:tcPr>
            <w:tcW w:w="756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(7,810)</w:t>
            </w:r>
          </w:p>
        </w:tc>
      </w:tr>
      <w:tr>
        <w:trPr>
          <w:trHeight w:val="288"/>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Debt issuance costs</w:t>
            </w:r>
          </w:p>
        </w:tc>
        <w:tc>
          <w:tcPr>
            <w:tcW w:w="4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(6,590)</w:t>
            </w:r>
          </w:p>
        </w:tc>
      </w:tr>
      <w:tr>
        <w:trPr>
          <w:trHeight w:val="259"/>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provided by financing activities</w:t>
            </w: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33,146</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188,014</w:t>
            </w:r>
          </w:p>
        </w:tc>
      </w:tr>
      <w:tr>
        <w:trPr>
          <w:trHeight w:val="268"/>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756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(304,892)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7,950</w:t>
            </w:r>
          </w:p>
        </w:tc>
      </w:tr>
      <w:tr>
        <w:trPr>
          <w:trHeight w:val="288"/>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r>
      <w:tr>
        <w:trPr>
          <w:trHeight w:val="245"/>
        </w:trPr>
        <w:tc>
          <w:tcPr>
            <w:tcW w:w="7560" w:type="dxa"/>
            <w:vAlign w:val="bottom"/>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62,778</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116,391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2"/>
        </w:trPr>
        <w:tc>
          <w:tcPr>
            <w:tcW w:w="7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61"/>
        </w:trPr>
        <w:tc>
          <w:tcPr>
            <w:tcW w:w="7560" w:type="dxa"/>
            <w:vAlign w:val="bottom"/>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
        </w:trPr>
        <w:tc>
          <w:tcPr>
            <w:tcW w:w="7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8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 consideration paid for acquisition of STI</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owns subsidiaries through which it conducts substantially all operations.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January 11, 2022 (the “Acquisition Date”),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000000"/>
        </w:rPr>
        <w:t>.</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After the acquisition of STI, the Company began operating as two reportable operating segments: the Array legacy operating segment (the “Array Legacy Operations”) and the newly acquired operations (the “STI Operations”) pertaining to STI.</w:t>
      </w:r>
    </w:p>
    <w:p>
      <w:pPr>
        <w:spacing w:after="0" w:line="21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nine months ended September 30, 2022 are not necessarily indicative of results to be expected for the year ending December 31, 2022 or any other interim periods, or any future year or period. The balance sheet as of December 31, 2021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Annual Report on Form 10-K filed with the SEC on April 6, 2022, as amended by the Form 10-K/A filed with the SEC on April 6, 2022 (the “2021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condensed consolidated financial statements include the accounts of the Company and its subsidiaries. All intercompany accounts and transactions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estimates include evaluation for any impairment of goodwill, impairment of long-lived assets, fair value of contingent consideration, Series A Redeemable Perpetual Preferred Stock and the related future tranche, allowance for credit losses, reserve for excess or obsolete inventories, valuation of deferred tax assets and warranty reserve.</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continues to closely monitor the ongoing impact of the COVID-19 pandemic in all the locations where it operates. The Company’s priority remains the welfare of its employees. The Company expects persistent waves of COVID-19, including variants of the virus, to remain a headwind into the near future. The duration and extent to which it will continue to adversely impact the Company’s business and results of operations remain uncertain and could be material.</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Company believes it has sufficient liquidity and financing options available and expects to have sufficient liquidity to operate for the next 12 months. The Company expects to use cash generated from operations and if needed, can access funds from the Revolving Credit Facility (as defined below). The Company also has $100 million in delayed draw ability under the Series A Redeemable Perpetual Preferred Stock (as defined below) future draw commitment; however, such a draw would increase the Company’s dividend obligations and outstanding common stock and failure to draw the delayed commitments will result in interest expense payable by the Company. See </w:t>
      </w:r>
      <w:r>
        <w:rPr>
          <w:rFonts w:ascii="Arial" w:cs="Arial" w:eastAsia="Arial" w:hAnsi="Arial"/>
          <w:sz w:val="20"/>
          <w:szCs w:val="20"/>
          <w:u w:val="single" w:color="auto"/>
          <w:color w:val="0000FF"/>
        </w:rPr>
        <w:t>Note 13 – Redeemable Perpetual Preferred Stock</w:t>
      </w:r>
      <w:r>
        <w:rPr>
          <w:rFonts w:ascii="Arial" w:cs="Arial" w:eastAsia="Arial" w:hAnsi="Arial"/>
          <w:sz w:val="20"/>
          <w:szCs w:val="20"/>
          <w:color w:val="auto"/>
        </w:rPr>
        <w:t>. The Revolving Credit Facility has $166.6 million of availability.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could see an impact from elevated inflation and other operating costs. Interest rates have increased quickly and substantially as central banks in developed countries raise interest rates in an effort to subdue inflation, while government deficits and debt remain at high levels in many global markets. The eventual implications of higher government deficits and debt, tighter monetary policy, and potentially higher long-term interest rates may drive a higher cost of capital during our forecast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the U.S. dollar at period end exchange rates. Income, expense and cash flow items are translated at average exchange rates prevailing during the period.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revenue and depreciation are remeasured at historical rates, and all other income and expense items are translated at average exchange rates prevailing during the period. Gains and losses which result from remeasurement are included in earnings.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October 2021, the FASB issued ASU No. 2021-08, </w:t>
      </w:r>
      <w:r>
        <w:rPr>
          <w:rFonts w:ascii="Arial" w:cs="Arial" w:eastAsia="Arial" w:hAnsi="Arial"/>
          <w:sz w:val="19"/>
          <w:szCs w:val="19"/>
          <w:i w:val="1"/>
          <w:iCs w:val="1"/>
          <w:color w:val="auto"/>
        </w:rPr>
        <w:t>Business Combinations (Topic 805): Accounting for Contract Assets and</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 Liabilities from Contracts with Customers (“</w:t>
      </w:r>
      <w:r>
        <w:rPr>
          <w:rFonts w:ascii="Arial" w:cs="Arial" w:eastAsia="Arial" w:hAnsi="Arial"/>
          <w:sz w:val="19"/>
          <w:szCs w:val="19"/>
          <w:color w:val="auto"/>
        </w:rPr>
        <w:t>ASU 2021-08”). ASU 2021-08 requires the company acquiring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assets and contract liabilities obtained in a business combination to recognize and measure them in accordance with ASC Topic 606, </w:t>
      </w:r>
      <w:r>
        <w:rPr>
          <w:rFonts w:ascii="Arial" w:cs="Arial" w:eastAsia="Arial" w:hAnsi="Arial"/>
          <w:sz w:val="19"/>
          <w:szCs w:val="19"/>
          <w:i w:val="1"/>
          <w:iCs w:val="1"/>
          <w:color w:val="auto"/>
        </w:rPr>
        <w:t>Revenue from Contracts with Customers (“</w:t>
      </w:r>
      <w:r>
        <w:rPr>
          <w:rFonts w:ascii="Arial" w:cs="Arial" w:eastAsia="Arial" w:hAnsi="Arial"/>
          <w:sz w:val="19"/>
          <w:szCs w:val="19"/>
          <w:color w:val="auto"/>
        </w:rPr>
        <w:t xml:space="preserve">ASC 606”). At the acquisition date, the company acquiring the business should record related revenue, as if it had originated the contract. Before the recent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January 1, 2022. See </w:t>
      </w:r>
      <w:r>
        <w:rPr>
          <w:rFonts w:ascii="Arial" w:cs="Arial" w:eastAsia="Arial" w:hAnsi="Arial"/>
          <w:sz w:val="19"/>
          <w:szCs w:val="19"/>
          <w:u w:val="single" w:color="auto"/>
          <w:color w:val="0000FF"/>
        </w:rPr>
        <w:t>Note 3 –</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Acquisition of STI</w:t>
      </w:r>
      <w:r>
        <w:rPr>
          <w:rFonts w:ascii="Arial" w:cs="Arial" w:eastAsia="Arial" w:hAnsi="Arial"/>
          <w:sz w:val="19"/>
          <w:szCs w:val="19"/>
          <w:color w:val="0000FF"/>
        </w:rPr>
        <w:t xml:space="preserve"> </w:t>
      </w:r>
      <w:r>
        <w:rPr>
          <w:rFonts w:ascii="Arial" w:cs="Arial" w:eastAsia="Arial" w:hAnsi="Arial"/>
          <w:sz w:val="19"/>
          <w:szCs w:val="19"/>
          <w:color w:val="000000"/>
        </w:rPr>
        <w:t>for further information and disclosures related to the STI Acquisition. The standard was applied to the</w:t>
      </w:r>
      <w:r>
        <w:rPr>
          <w:rFonts w:ascii="Arial" w:cs="Arial" w:eastAsia="Arial" w:hAnsi="Arial"/>
          <w:sz w:val="19"/>
          <w:szCs w:val="19"/>
          <w:color w:val="0000FF"/>
        </w:rPr>
        <w:t xml:space="preserve"> </w:t>
      </w:r>
      <w:r>
        <w:rPr>
          <w:rFonts w:ascii="Arial" w:cs="Arial" w:eastAsia="Arial" w:hAnsi="Arial"/>
          <w:sz w:val="19"/>
          <w:szCs w:val="19"/>
          <w:color w:val="000000"/>
        </w:rPr>
        <w:t>acquisition accounting for STI. A review of the deferred revenue of the acquiree of $20.3 million was reviewed for consistency in application with the Company’s policies and U.S. GAAP and the contract liability balance was carried over at its carrying value.</w:t>
      </w:r>
    </w:p>
    <w:p>
      <w:pPr>
        <w:spacing w:after="0" w:line="21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 of STI</w:t>
      </w:r>
    </w:p>
    <w:p>
      <w:pPr>
        <w:spacing w:after="0" w:line="2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the Acquisition Date, the Company completed the STI Acquisition pursuant to the purchase agreement, dated November 10, 2021, by and among Amixa Capital, S.L. and Aurica Trackers, S.L., each a company duly organized under the laws of the Kingdom of Spain (together, the “Sellers”) and Mr. Javier Reclusa Etayo (the “STI Purchase Agreement”). The STI Acquisition was funded primarily with borrowings from the Convertible Notes (as defined below) and the issuance of Series A redeemable perpetual preferred stock of the Company, par value $0.001 per share (the “Series A Redeemable Perpetual Preferred Stock”). The STI Acquisition provided the Company with an immediate presence in Brazil, Western Europe and South Africa. Transaction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expenses incurred in connection with the acquisition are $5.6 million recorded in the general and administrative line item on the condensed consolidated statement of operations for the nine months ended September 30, 2022. In accordance with the STI Purchase Agreement, the Company paid closing consideration to the Sellers consisting of $410.5 million in cash and 13,894,800 shares of the Company’s common stock. The fair value of the purchase consideration was $610.8 million and resulted in the Company owning 100% of the interests in STI. The Company has performed a valuation of the acquisition assets and liabilities and determined the related accounting impact.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60" w:type="dxa"/>
            <w:vAlign w:val="bottom"/>
          </w:tcPr>
          <w:p>
            <w:pPr>
              <w:spacing w:after="0"/>
              <w:rPr>
                <w:sz w:val="20"/>
                <w:szCs w:val="20"/>
                <w:color w:val="auto"/>
              </w:rPr>
            </w:pPr>
            <w:r>
              <w:rPr>
                <w:rFonts w:ascii="Arial" w:cs="Arial" w:eastAsia="Arial" w:hAnsi="Arial"/>
                <w:sz w:val="20"/>
                <w:szCs w:val="20"/>
                <w:color w:val="auto"/>
              </w:rPr>
              <w:t>The purchase price consideration to acquire STI consisted of the following (in thousands):</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6"/>
        </w:trPr>
        <w:tc>
          <w:tcPr>
            <w:tcW w:w="8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7"/>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for STI</w:t>
            </w: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409,647</w:t>
            </w:r>
          </w:p>
        </w:tc>
      </w:tr>
      <w:tr>
        <w:trPr>
          <w:trHeight w:val="252"/>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consideration for transaction expenses of STI</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55"/>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cash consideration</w:t>
            </w:r>
          </w:p>
        </w:tc>
        <w:tc>
          <w:tcPr>
            <w:tcW w:w="8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410,543</w:t>
            </w:r>
          </w:p>
        </w:tc>
      </w:tr>
      <w:tr>
        <w:trPr>
          <w:trHeight w:val="245"/>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Non-cash equity consideration</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200,224</w:t>
            </w: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consideration transferred</w:t>
            </w:r>
          </w:p>
        </w:tc>
        <w:tc>
          <w:tcPr>
            <w:tcW w:w="8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610,767</w:t>
            </w:r>
          </w:p>
        </w:tc>
      </w:tr>
      <w:tr>
        <w:trPr>
          <w:trHeight w:val="255"/>
        </w:trPr>
        <w:tc>
          <w:tcPr>
            <w:tcW w:w="8960" w:type="dxa"/>
            <w:vAlign w:val="bottom"/>
          </w:tcPr>
          <w:p>
            <w:pPr>
              <w:ind w:left="20"/>
              <w:spacing w:after="0"/>
              <w:rPr>
                <w:sz w:val="20"/>
                <w:szCs w:val="20"/>
                <w:color w:val="auto"/>
              </w:rPr>
            </w:pPr>
            <w:r>
              <w:rPr>
                <w:rFonts w:ascii="Arial" w:cs="Arial" w:eastAsia="Arial" w:hAnsi="Arial"/>
                <w:sz w:val="20"/>
                <w:szCs w:val="20"/>
                <w:color w:val="auto"/>
              </w:rPr>
              <w:t>Total purchase price consideration</w:t>
            </w:r>
          </w:p>
        </w:tc>
        <w:tc>
          <w:tcPr>
            <w:tcW w:w="8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610,767</w:t>
            </w:r>
          </w:p>
        </w:tc>
      </w:tr>
      <w:tr>
        <w:trPr>
          <w:trHeight w:val="20"/>
        </w:trPr>
        <w:tc>
          <w:tcPr>
            <w:tcW w:w="8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STI Acquisition was accounted for as a business combination applying ASC 805. The equity consideration transferred consisted of the Company’s common stock and was measured at fair value based on the closing stock price on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preliminary estimates of fair values of the assets acquired and liabilities assumed as of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Acquisition Date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20"/>
              <w:spacing w:after="0"/>
              <w:rPr>
                <w:sz w:val="20"/>
                <w:szCs w:val="20"/>
                <w:color w:val="auto"/>
              </w:rPr>
            </w:pPr>
            <w:r>
              <w:rPr>
                <w:rFonts w:ascii="Arial" w:cs="Arial" w:eastAsia="Arial" w:hAnsi="Arial"/>
                <w:sz w:val="20"/>
                <w:szCs w:val="20"/>
                <w:b w:val="1"/>
                <w:bCs w:val="1"/>
                <w:color w:val="auto"/>
              </w:rPr>
              <w:t>Preliminary Fair Value of Net Assets Acquired and Liabilities</w:t>
            </w:r>
          </w:p>
        </w:tc>
        <w:tc>
          <w:tcPr>
            <w:tcW w:w="162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w w:val="98"/>
              </w:rPr>
              <w:t>Acquisition Date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20"/>
                <w:szCs w:val="20"/>
                <w:b w:val="1"/>
                <w:bCs w:val="1"/>
                <w:color w:val="auto"/>
              </w:rPr>
              <w:t>Measurement</w:t>
            </w:r>
          </w:p>
        </w:tc>
        <w:tc>
          <w:tcPr>
            <w:tcW w:w="14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20"/>
                <w:szCs w:val="20"/>
                <w:b w:val="1"/>
                <w:bCs w:val="1"/>
                <w:color w:val="auto"/>
                <w:w w:val="97"/>
              </w:rPr>
              <w:t>September 30,</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Assumed:</w:t>
            </w:r>
          </w:p>
        </w:tc>
        <w:tc>
          <w:tcPr>
            <w:tcW w:w="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2"/>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Adjustment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Accounts receivable</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110,789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110,789</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Prepaid expenses and other</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23,399</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Other intangible assets</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318,365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318,365</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45"/>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Total assets acquired</w:t>
            </w:r>
          </w:p>
        </w:tc>
        <w:tc>
          <w:tcPr>
            <w:tcW w:w="480" w:type="dxa"/>
            <w:vAlign w:val="bottom"/>
          </w:tcPr>
          <w:p>
            <w:pPr>
              <w:ind w:lef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541,554</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541,554</w:t>
            </w: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Accounts payable</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65,761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65,761</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Short-term debt</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44,338</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liabilities</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Income tax payable</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7,576</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tax liability</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93,823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7,611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101,434</w:t>
            </w:r>
          </w:p>
        </w:tc>
        <w:tc>
          <w:tcPr>
            <w:tcW w:w="0" w:type="dxa"/>
            <w:vAlign w:val="bottom"/>
          </w:tcPr>
          <w:p>
            <w:pPr>
              <w:spacing w:after="0"/>
              <w:rPr>
                <w:sz w:val="1"/>
                <w:szCs w:val="1"/>
                <w:color w:val="auto"/>
              </w:rPr>
            </w:pPr>
          </w:p>
        </w:tc>
      </w:tr>
      <w:tr>
        <w:trPr>
          <w:trHeight w:val="252"/>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Other long-term liabilities</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4,524</w:t>
            </w:r>
          </w:p>
        </w:tc>
        <w:tc>
          <w:tcPr>
            <w:tcW w:w="0" w:type="dxa"/>
            <w:vAlign w:val="bottom"/>
          </w:tcPr>
          <w:p>
            <w:pPr>
              <w:spacing w:after="0"/>
              <w:rPr>
                <w:sz w:val="1"/>
                <w:szCs w:val="1"/>
                <w:color w:val="auto"/>
              </w:rPr>
            </w:pPr>
          </w:p>
        </w:tc>
      </w:tr>
      <w:tr>
        <w:trPr>
          <w:trHeight w:val="26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Long-term debt</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0" w:type="dxa"/>
            <w:vAlign w:val="bottom"/>
          </w:tcPr>
          <w:p>
            <w:pPr>
              <w:spacing w:after="0"/>
              <w:rPr>
                <w:sz w:val="1"/>
                <w:szCs w:val="1"/>
                <w:color w:val="auto"/>
              </w:rPr>
            </w:pPr>
          </w:p>
        </w:tc>
      </w:tr>
      <w:tr>
        <w:trPr>
          <w:trHeight w:val="245"/>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Total liabilities assumed</w:t>
            </w:r>
          </w:p>
        </w:tc>
        <w:tc>
          <w:tcPr>
            <w:tcW w:w="480" w:type="dxa"/>
            <w:vAlign w:val="bottom"/>
          </w:tcPr>
          <w:p>
            <w:pPr>
              <w:ind w:lef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258,535</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7,611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266,146</w:t>
            </w: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60" w:type="dxa"/>
            <w:vAlign w:val="bottom"/>
            <w:tcBorders>
              <w:bottom w:val="single" w:sz="8" w:color="CCEEFF"/>
            </w:tcBorders>
            <w:gridSpan w:val="2"/>
          </w:tcPr>
          <w:p>
            <w:pPr>
              <w:ind w:left="100"/>
              <w:spacing w:after="0"/>
              <w:rPr>
                <w:sz w:val="20"/>
                <w:szCs w:val="20"/>
                <w:color w:val="auto"/>
              </w:rPr>
            </w:pPr>
            <w:r>
              <w:rPr>
                <w:rFonts w:ascii="Arial" w:cs="Arial" w:eastAsia="Arial" w:hAnsi="Arial"/>
                <w:sz w:val="20"/>
                <w:szCs w:val="20"/>
                <w:color w:val="auto"/>
              </w:rPr>
              <w:t>Preliminary fair value of net assets acquired</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283,019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275,408</w:t>
            </w:r>
          </w:p>
        </w:tc>
        <w:tc>
          <w:tcPr>
            <w:tcW w:w="0" w:type="dxa"/>
            <w:vAlign w:val="bottom"/>
          </w:tcPr>
          <w:p>
            <w:pPr>
              <w:spacing w:after="0"/>
              <w:rPr>
                <w:sz w:val="1"/>
                <w:szCs w:val="1"/>
                <w:color w:val="auto"/>
              </w:rPr>
            </w:pPr>
          </w:p>
        </w:tc>
      </w:tr>
      <w:tr>
        <w:trPr>
          <w:trHeight w:val="280"/>
        </w:trPr>
        <w:tc>
          <w:tcPr>
            <w:tcW w:w="6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Preliminary allocation to goodwill</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327,748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335,359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preliminary purchase price allocation was based upon a preliminary valuation, and the Company’s estimates and assumptions are subject to change within the measurement period (defined as the twelve months following the Acquisition Date). The preliminary estimates of the fair values of the assets acquired and liabilities assumed were estimated to approximate carrying values since they are short term in nature, and they are receivable or payable on demand. These assets and liabilities were cash and cash equivalents, accounts receivable, prepaid expenses and other, accounts payable, other liabilities, and deferred revenue. The primary areas of the preliminary purchase price allocation that are not yet finalized relate to the valuation of identifiable intangible assets acquired, the fair value of certain tangible assets acquired and liabilities assumed as well as the tax impact. The Company expects to continue to obtain information for the purpose of determining the fair value of the assets acquired and liabilities assumed on the Acquisition Date throughout the remainder of the measurement period. The purchase price allocation is subject to further adjustment until all pertinent information regarding the assets acquired is fully evaluated by the Company, including but not limited to, the fair value accounting. For assets and liabilities excluded from the scope of the intangible asset and property, plant and equipment valuation, the Company considered net book value to be a reasonable proxy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preliminary purchase price allocation includes $318.4 million of acquired identifiable intangible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Estimated Fair Value</w:t>
            </w:r>
          </w:p>
        </w:tc>
        <w:tc>
          <w:tcPr>
            <w:tcW w:w="80" w:type="dxa"/>
            <w:vAlign w:val="bottom"/>
          </w:tcPr>
          <w:p>
            <w:pPr>
              <w:spacing w:after="0"/>
              <w:rPr>
                <w:sz w:val="17"/>
                <w:szCs w:val="17"/>
                <w:color w:val="auto"/>
              </w:rPr>
            </w:pPr>
          </w:p>
        </w:tc>
        <w:tc>
          <w:tcPr>
            <w:tcW w:w="230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 thousands, except useful lives)</w:t>
            </w:r>
          </w:p>
        </w:tc>
        <w:tc>
          <w:tcPr>
            <w:tcW w:w="1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Backlog</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51,165</w:t>
            </w:r>
          </w:p>
        </w:tc>
        <w:tc>
          <w:tcPr>
            <w:tcW w:w="2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2"/>
        </w:trPr>
        <w:tc>
          <w:tcPr>
            <w:tcW w:w="6540" w:type="dxa"/>
            <w:vAlign w:val="bottom"/>
          </w:tcPr>
          <w:p>
            <w:pPr>
              <w:ind w:left="20"/>
              <w:spacing w:after="0"/>
              <w:rPr>
                <w:sz w:val="20"/>
                <w:szCs w:val="20"/>
                <w:color w:val="auto"/>
              </w:rPr>
            </w:pPr>
            <w:r>
              <w:rPr>
                <w:rFonts w:ascii="Arial" w:cs="Arial" w:eastAsia="Arial" w:hAnsi="Arial"/>
                <w:sz w:val="20"/>
                <w:szCs w:val="20"/>
                <w:color w:val="auto"/>
              </w:rPr>
              <w:t>Customer relationships</w:t>
            </w:r>
          </w:p>
        </w:tc>
        <w:tc>
          <w:tcPr>
            <w:tcW w:w="1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238,770</w:t>
            </w:r>
          </w:p>
        </w:tc>
        <w:tc>
          <w:tcPr>
            <w:tcW w:w="2380" w:type="dxa"/>
            <w:vAlign w:val="bottom"/>
            <w:gridSpan w:val="2"/>
          </w:tcPr>
          <w:p>
            <w:pPr>
              <w:jc w:val="center"/>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6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28,430</w:t>
            </w:r>
          </w:p>
        </w:tc>
        <w:tc>
          <w:tcPr>
            <w:tcW w:w="2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8"/>
              </w:rPr>
              <w:t>20</w:t>
            </w:r>
          </w:p>
        </w:tc>
        <w:tc>
          <w:tcPr>
            <w:tcW w:w="0" w:type="dxa"/>
            <w:vAlign w:val="bottom"/>
          </w:tcPr>
          <w:p>
            <w:pPr>
              <w:spacing w:after="0"/>
              <w:rPr>
                <w:sz w:val="1"/>
                <w:szCs w:val="1"/>
                <w:color w:val="auto"/>
              </w:rPr>
            </w:pPr>
          </w:p>
        </w:tc>
      </w:tr>
      <w:tr>
        <w:trPr>
          <w:trHeight w:val="255"/>
        </w:trPr>
        <w:tc>
          <w:tcPr>
            <w:tcW w:w="6540" w:type="dxa"/>
            <w:vAlign w:val="bottom"/>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318,365</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preliminary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estimated revenue, expenses based on actuals and forecast, and a discount rate based on a weighted average cost of capital for customer relationships of 15% for Spain, 16.5% for Brazil and 14.0% for Spain foreign sourced projects and for order backlog of 8.5% for Spain, 9.5% for Brazil and 7.5% for Spain foreign sourced projects. Significant inputs to the Relief from Royalty method model include estimates of future revenue, economic life, estimated royalty rate of 1.25%, and a discount rate based on a weighted average cost of capital 15.2%. The weighted average cost of capital was determined based on the Company’s capital structure, cost of capital, inherent business risk profile and long-term growth expectations.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amounts of revenue and net loss of STI included in the Company’s consolidated statement of operations from the Acquisition Date through September 30, 2022 are $237.2 million and $14.1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Financial Information (Unaudited)</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including amortization of intangibles, debt financing expenses and tax benefits. The unaudited pro forma financial information does not reflect any adjustments for anticipated expense savings resulting from the STI Acquisition and is not necessarily indicative of the operating results that would have actually occurred had the STI Acquisition been consummated on January 1,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3420" w:type="dxa"/>
            <w:vAlign w:val="bottom"/>
            <w:gridSpan w:val="4"/>
          </w:tcPr>
          <w:p>
            <w:pPr>
              <w:jc w:val="right"/>
              <w:ind w:right="301"/>
              <w:spacing w:after="0"/>
              <w:rPr>
                <w:sz w:val="20"/>
                <w:szCs w:val="20"/>
                <w:color w:val="auto"/>
              </w:rPr>
            </w:pPr>
            <w:r>
              <w:rPr>
                <w:rFonts w:ascii="Arial" w:cs="Arial" w:eastAsia="Arial" w:hAnsi="Arial"/>
                <w:sz w:val="20"/>
                <w:szCs w:val="20"/>
                <w:b w:val="1"/>
                <w:bCs w:val="1"/>
                <w:color w:val="auto"/>
              </w:rPr>
              <w:t>Three Months 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20" w:type="dxa"/>
            <w:vAlign w:val="bottom"/>
            <w:gridSpan w:val="4"/>
          </w:tcPr>
          <w:p>
            <w:pPr>
              <w:jc w:val="right"/>
              <w:ind w:right="1041"/>
              <w:spacing w:after="0"/>
              <w:rPr>
                <w:sz w:val="20"/>
                <w:szCs w:val="20"/>
                <w:color w:val="auto"/>
              </w:rPr>
            </w:pPr>
            <w:r>
              <w:rPr>
                <w:rFonts w:ascii="Arial" w:cs="Arial" w:eastAsia="Arial" w:hAnsi="Arial"/>
                <w:sz w:val="20"/>
                <w:szCs w:val="20"/>
                <w:b w:val="1"/>
                <w:bCs w:val="1"/>
                <w:color w:val="auto"/>
              </w:rPr>
              <w:t>Nine Months Ended</w:t>
            </w:r>
          </w:p>
        </w:tc>
      </w:tr>
      <w:tr>
        <w:trPr>
          <w:trHeight w:val="266"/>
        </w:trPr>
        <w:tc>
          <w:tcPr>
            <w:tcW w:w="294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20"/>
                <w:szCs w:val="20"/>
                <w:b w:val="1"/>
                <w:bCs w:val="1"/>
                <w:color w:val="auto"/>
              </w:rPr>
              <w:t>September 30,</w:t>
            </w:r>
          </w:p>
        </w:tc>
        <w:tc>
          <w:tcPr>
            <w:tcW w:w="6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300" w:type="dxa"/>
            <w:vAlign w:val="bottom"/>
            <w:tcBorders>
              <w:bottom w:val="single" w:sz="8" w:color="auto"/>
            </w:tcBorders>
          </w:tcPr>
          <w:p>
            <w:pPr>
              <w:spacing w:after="0"/>
              <w:rPr>
                <w:sz w:val="23"/>
                <w:szCs w:val="23"/>
                <w:color w:val="auto"/>
              </w:rPr>
            </w:pPr>
          </w:p>
        </w:tc>
      </w:tr>
      <w:tr>
        <w:trPr>
          <w:trHeight w:val="264"/>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 millions)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2021</w:t>
            </w: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6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300" w:type="dxa"/>
            <w:vAlign w:val="bottom"/>
            <w:tcBorders>
              <w:bottom w:val="single" w:sz="8" w:color="CCEEFF"/>
            </w:tcBorders>
            <w:shd w:val="clear" w:color="auto" w:fill="CCEEFF"/>
          </w:tcPr>
          <w:p>
            <w:pPr>
              <w:jc w:val="right"/>
              <w:ind w:right="981"/>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515.0</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480.1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1,243.0</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764.8</w:t>
            </w:r>
          </w:p>
        </w:tc>
      </w:tr>
      <w:tr>
        <w:trPr>
          <w:trHeight w:val="260"/>
        </w:trPr>
        <w:tc>
          <w:tcPr>
            <w:tcW w:w="294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1300" w:type="dxa"/>
            <w:vAlign w:val="bottom"/>
          </w:tcPr>
          <w:p>
            <w:pPr>
              <w:jc w:val="right"/>
              <w:ind w:right="981"/>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52.1</w:t>
            </w:r>
          </w:p>
        </w:tc>
        <w:tc>
          <w:tcPr>
            <w:tcW w:w="80" w:type="dxa"/>
            <w:vAlign w:val="bottom"/>
          </w:tcPr>
          <w:p>
            <w:pPr>
              <w:spacing w:after="0"/>
              <w:rPr>
                <w:sz w:val="22"/>
                <w:szCs w:val="22"/>
                <w:color w:val="auto"/>
              </w:rPr>
            </w:pPr>
          </w:p>
        </w:tc>
        <w:tc>
          <w:tcPr>
            <w:tcW w:w="1340" w:type="dxa"/>
            <w:vAlign w:val="bottom"/>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(22.7)</w:t>
            </w:r>
          </w:p>
        </w:tc>
        <w:tc>
          <w:tcPr>
            <w:tcW w:w="80" w:type="dxa"/>
            <w:vAlign w:val="bottom"/>
          </w:tcPr>
          <w:p>
            <w:pPr>
              <w:spacing w:after="0"/>
              <w:rPr>
                <w:sz w:val="22"/>
                <w:szCs w:val="22"/>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48.7</w:t>
            </w:r>
          </w:p>
        </w:tc>
        <w:tc>
          <w:tcPr>
            <w:tcW w:w="80" w:type="dxa"/>
            <w:vAlign w:val="bottom"/>
          </w:tcPr>
          <w:p>
            <w:pPr>
              <w:spacing w:after="0"/>
              <w:rPr>
                <w:sz w:val="22"/>
                <w:szCs w:val="22"/>
                <w:color w:val="auto"/>
              </w:rPr>
            </w:pPr>
          </w:p>
        </w:tc>
        <w:tc>
          <w:tcPr>
            <w:tcW w:w="72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spacing w:after="0"/>
              <w:rPr>
                <w:sz w:val="20"/>
                <w:szCs w:val="20"/>
                <w:color w:val="auto"/>
              </w:rPr>
            </w:pPr>
            <w:r>
              <w:rPr>
                <w:rFonts w:ascii="Arial" w:cs="Arial" w:eastAsia="Arial" w:hAnsi="Arial"/>
                <w:sz w:val="20"/>
                <w:szCs w:val="20"/>
                <w:b w:val="1"/>
                <w:bCs w:val="1"/>
                <w:color w:val="auto"/>
              </w:rPr>
              <w:t>4.  Accounts Receivable</w:t>
            </w: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86"/>
        </w:trPr>
        <w:tc>
          <w:tcPr>
            <w:tcW w:w="6400" w:type="dxa"/>
            <w:vAlign w:val="bottom"/>
          </w:tcPr>
          <w:p>
            <w:pPr>
              <w:spacing w:after="0"/>
              <w:rPr>
                <w:sz w:val="20"/>
                <w:szCs w:val="20"/>
                <w:color w:val="auto"/>
              </w:rPr>
            </w:pPr>
            <w:r>
              <w:rPr>
                <w:rFonts w:ascii="Arial" w:cs="Arial" w:eastAsia="Arial" w:hAnsi="Arial"/>
                <w:sz w:val="20"/>
                <w:szCs w:val="20"/>
                <w:color w:val="auto"/>
              </w:rPr>
              <w:t>Accounts receivable consists of the following (in thousands):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4"/>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ind w:left="20"/>
              <w:spacing w:after="0"/>
              <w:rPr>
                <w:sz w:val="20"/>
                <w:szCs w:val="20"/>
                <w:color w:val="auto"/>
              </w:rPr>
            </w:pPr>
            <w:r>
              <w:rPr>
                <w:rFonts w:ascii="Arial" w:cs="Arial" w:eastAsia="Arial" w:hAnsi="Arial"/>
                <w:sz w:val="20"/>
                <w:szCs w:val="20"/>
                <w:b w:val="1"/>
                <w:bCs w:val="1"/>
                <w:color w:val="auto"/>
              </w:rPr>
              <w:t>September 30, 2022</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2021</w:t>
            </w:r>
          </w:p>
        </w:tc>
      </w:tr>
      <w:tr>
        <w:trPr>
          <w:trHeight w:val="2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485,869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236,149</w:t>
            </w:r>
          </w:p>
        </w:tc>
      </w:tr>
      <w:tr>
        <w:trPr>
          <w:trHeight w:val="261"/>
        </w:trPr>
        <w:tc>
          <w:tcPr>
            <w:tcW w:w="6400" w:type="dxa"/>
            <w:vAlign w:val="bottom"/>
          </w:tcPr>
          <w:p>
            <w:pPr>
              <w:ind w:left="20"/>
              <w:spacing w:after="0"/>
              <w:rPr>
                <w:sz w:val="20"/>
                <w:szCs w:val="20"/>
                <w:color w:val="auto"/>
              </w:rPr>
            </w:pPr>
            <w:r>
              <w:rPr>
                <w:rFonts w:ascii="Arial" w:cs="Arial" w:eastAsia="Arial" w:hAnsi="Arial"/>
                <w:sz w:val="20"/>
                <w:szCs w:val="20"/>
                <w:color w:val="auto"/>
              </w:rPr>
              <w:t>Less: allowance for doubtful accounts</w:t>
            </w: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(695)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30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 net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485,174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236,009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spacing w:after="0"/>
              <w:rPr>
                <w:sz w:val="20"/>
                <w:szCs w:val="20"/>
                <w:color w:val="auto"/>
              </w:rPr>
            </w:pPr>
            <w:r>
              <w:rPr>
                <w:rFonts w:ascii="Arial" w:cs="Arial" w:eastAsia="Arial" w:hAnsi="Arial"/>
                <w:sz w:val="20"/>
                <w:szCs w:val="20"/>
                <w:b w:val="1"/>
                <w:bCs w:val="1"/>
                <w:color w:val="auto"/>
              </w:rPr>
              <w:t>5.  Inventories</w:t>
            </w: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99"/>
        </w:trPr>
        <w:tc>
          <w:tcPr>
            <w:tcW w:w="64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70"/>
        </w:trPr>
        <w:tc>
          <w:tcPr>
            <w:tcW w:w="6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20"/>
                <w:szCs w:val="20"/>
                <w:b w:val="1"/>
                <w:bCs w:val="1"/>
                <w:color w:val="auto"/>
              </w:rPr>
              <w:t>September 30, 2022</w:t>
            </w:r>
          </w:p>
        </w:tc>
        <w:tc>
          <w:tcPr>
            <w:tcW w:w="260" w:type="dxa"/>
            <w:vAlign w:val="bottom"/>
          </w:tcPr>
          <w:p>
            <w:pPr>
              <w:spacing w:after="0"/>
              <w:rPr>
                <w:sz w:val="23"/>
                <w:szCs w:val="23"/>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2021</w:t>
            </w:r>
          </w:p>
        </w:tc>
      </w:tr>
      <w:tr>
        <w:trPr>
          <w:trHeight w:val="2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166,260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85,470</w:t>
            </w:r>
          </w:p>
        </w:tc>
      </w:tr>
      <w:tr>
        <w:trPr>
          <w:trHeight w:val="261"/>
        </w:trPr>
        <w:tc>
          <w:tcPr>
            <w:tcW w:w="64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108,597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127,598</w:t>
            </w:r>
          </w:p>
        </w:tc>
      </w:tr>
      <w:tr>
        <w:trPr>
          <w:trHeight w:val="2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24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(5,082)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(7,415)</w:t>
            </w:r>
          </w:p>
        </w:tc>
      </w:tr>
      <w:tr>
        <w:trPr>
          <w:trHeight w:val="254"/>
        </w:trPr>
        <w:tc>
          <w:tcPr>
            <w:tcW w:w="6400" w:type="dxa"/>
            <w:vAlign w:val="bottom"/>
          </w:tcPr>
          <w:p>
            <w:pPr>
              <w:ind w:left="20"/>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269,775</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205,653</w:t>
            </w:r>
          </w:p>
        </w:tc>
      </w:tr>
      <w:tr>
        <w:trPr>
          <w:trHeight w:val="23"/>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gridSpan w:val="5"/>
          </w:tcPr>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380" w:type="dxa"/>
            <w:vAlign w:val="bottom"/>
          </w:tcPr>
          <w:p>
            <w:pPr>
              <w:jc w:val="center"/>
              <w:ind w:left="501"/>
              <w:spacing w:after="0" w:line="225" w:lineRule="exact"/>
              <w:rPr>
                <w:sz w:val="20"/>
                <w:szCs w:val="20"/>
                <w:color w:val="auto"/>
              </w:rPr>
            </w:pPr>
            <w:r>
              <w:rPr>
                <w:rFonts w:ascii="Arial" w:cs="Arial" w:eastAsia="Arial" w:hAnsi="Arial"/>
                <w:sz w:val="20"/>
                <w:szCs w:val="20"/>
                <w:b w:val="1"/>
                <w:bCs w:val="1"/>
                <w:color w:val="auto"/>
                <w:w w:val="98"/>
              </w:rPr>
              <w:t>Estimated</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380" w:type="dxa"/>
            <w:vAlign w:val="bottom"/>
          </w:tcPr>
          <w:p>
            <w:pPr>
              <w:jc w:val="center"/>
              <w:ind w:left="501"/>
              <w:spacing w:after="0" w:line="216" w:lineRule="exact"/>
              <w:rPr>
                <w:sz w:val="20"/>
                <w:szCs w:val="20"/>
                <w:color w:val="auto"/>
              </w:rPr>
            </w:pPr>
            <w:r>
              <w:rPr>
                <w:rFonts w:ascii="Arial" w:cs="Arial" w:eastAsia="Arial" w:hAnsi="Arial"/>
                <w:sz w:val="20"/>
                <w:szCs w:val="20"/>
                <w:b w:val="1"/>
                <w:bCs w:val="1"/>
                <w:color w:val="auto"/>
              </w:rPr>
              <w:t>Useful Lives</w:t>
            </w:r>
          </w:p>
        </w:tc>
        <w:tc>
          <w:tcPr>
            <w:tcW w:w="2500" w:type="dxa"/>
            <w:vAlign w:val="bottom"/>
            <w:gridSpan w:val="3"/>
            <w:vMerge w:val="restart"/>
          </w:tcPr>
          <w:p>
            <w:pPr>
              <w:ind w:left="300"/>
              <w:spacing w:after="0"/>
              <w:rPr>
                <w:sz w:val="20"/>
                <w:szCs w:val="20"/>
                <w:color w:val="auto"/>
              </w:rPr>
            </w:pPr>
            <w:r>
              <w:rPr>
                <w:rFonts w:ascii="Arial" w:cs="Arial" w:eastAsia="Arial" w:hAnsi="Arial"/>
                <w:sz w:val="20"/>
                <w:szCs w:val="20"/>
                <w:b w:val="1"/>
                <w:bCs w:val="1"/>
                <w:color w:val="auto"/>
              </w:rPr>
              <w:t>September 30, 2022</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940" w:type="dxa"/>
            <w:vAlign w:val="bottom"/>
          </w:tcPr>
          <w:p>
            <w:pPr>
              <w:spacing w:after="0"/>
              <w:rPr>
                <w:sz w:val="23"/>
                <w:szCs w:val="23"/>
                <w:color w:val="auto"/>
              </w:rPr>
            </w:pPr>
          </w:p>
        </w:tc>
        <w:tc>
          <w:tcPr>
            <w:tcW w:w="2380" w:type="dxa"/>
            <w:vAlign w:val="bottom"/>
          </w:tcPr>
          <w:p>
            <w:pPr>
              <w:jc w:val="center"/>
              <w:ind w:left="501"/>
              <w:spacing w:after="0"/>
              <w:rPr>
                <w:sz w:val="20"/>
                <w:szCs w:val="20"/>
                <w:color w:val="auto"/>
              </w:rPr>
            </w:pPr>
            <w:r>
              <w:rPr>
                <w:rFonts w:ascii="Arial" w:cs="Arial" w:eastAsia="Arial" w:hAnsi="Arial"/>
                <w:sz w:val="20"/>
                <w:szCs w:val="20"/>
                <w:b w:val="1"/>
                <w:bCs w:val="1"/>
                <w:color w:val="auto"/>
                <w:w w:val="97"/>
              </w:rPr>
              <w:t>(Years)</w:t>
            </w:r>
          </w:p>
        </w:tc>
        <w:tc>
          <w:tcPr>
            <w:tcW w:w="2500" w:type="dxa"/>
            <w:vAlign w:val="bottom"/>
            <w:gridSpan w:val="3"/>
            <w:vMerge w:val="continue"/>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ind w:right="221"/>
              <w:spacing w:after="0"/>
              <w:rPr>
                <w:sz w:val="20"/>
                <w:szCs w:val="20"/>
                <w:color w:val="auto"/>
              </w:rPr>
            </w:pPr>
            <w:r>
              <w:rPr>
                <w:rFonts w:ascii="Arial" w:cs="Arial" w:eastAsia="Arial" w:hAnsi="Arial"/>
                <w:sz w:val="20"/>
                <w:szCs w:val="20"/>
                <w:b w:val="1"/>
                <w:bCs w:val="1"/>
                <w:color w:val="auto"/>
                <w:w w:val="98"/>
              </w:rPr>
              <w:t>December 31, 2021</w:t>
            </w:r>
          </w:p>
        </w:tc>
        <w:tc>
          <w:tcPr>
            <w:tcW w:w="0" w:type="dxa"/>
            <w:vAlign w:val="bottom"/>
          </w:tcPr>
          <w:p>
            <w:pPr>
              <w:spacing w:after="0"/>
              <w:rPr>
                <w:sz w:val="1"/>
                <w:szCs w:val="1"/>
                <w:color w:val="auto"/>
              </w:rPr>
            </w:pPr>
          </w:p>
        </w:tc>
      </w:tr>
      <w:tr>
        <w:trPr>
          <w:trHeight w:val="262"/>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380" w:type="dxa"/>
            <w:vAlign w:val="bottom"/>
            <w:tcBorders>
              <w:top w:val="single" w:sz="8" w:color="CCEEFF"/>
              <w:bottom w:val="single" w:sz="8" w:color="CCEEFF"/>
            </w:tcBorders>
            <w:shd w:val="clear" w:color="auto" w:fill="CCEEFF"/>
          </w:tcPr>
          <w:p>
            <w:pPr>
              <w:jc w:val="center"/>
              <w:ind w:left="501"/>
              <w:spacing w:after="0"/>
              <w:rPr>
                <w:sz w:val="20"/>
                <w:szCs w:val="20"/>
                <w:color w:val="auto"/>
              </w:rPr>
            </w:pPr>
            <w:r>
              <w:rPr>
                <w:rFonts w:ascii="Arial" w:cs="Arial" w:eastAsia="Arial" w:hAnsi="Arial"/>
                <w:sz w:val="20"/>
                <w:szCs w:val="20"/>
                <w:color w:val="auto"/>
              </w:rPr>
              <w:t>N/A</w:t>
            </w:r>
          </w:p>
        </w:tc>
        <w:tc>
          <w:tcPr>
            <w:tcW w:w="980" w:type="dxa"/>
            <w:vAlign w:val="bottom"/>
            <w:tcBorders>
              <w:top w:val="single" w:sz="8" w:color="auto"/>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1,563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380" w:type="dxa"/>
            <w:vAlign w:val="bottom"/>
          </w:tcPr>
          <w:p>
            <w:pPr>
              <w:jc w:val="center"/>
              <w:ind w:left="501"/>
              <w:spacing w:after="0"/>
              <w:rPr>
                <w:sz w:val="20"/>
                <w:szCs w:val="20"/>
                <w:color w:val="auto"/>
              </w:rPr>
            </w:pPr>
            <w:r>
              <w:rPr>
                <w:rFonts w:ascii="Arial" w:cs="Arial" w:eastAsia="Arial" w:hAnsi="Arial"/>
                <w:sz w:val="20"/>
                <w:szCs w:val="20"/>
                <w:color w:val="auto"/>
                <w:w w:val="97"/>
              </w:rPr>
              <w:t>15-39</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7,318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2,451</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380" w:type="dxa"/>
            <w:vAlign w:val="bottom"/>
            <w:tcBorders>
              <w:bottom w:val="single" w:sz="8" w:color="CCEEFF"/>
            </w:tcBorders>
            <w:shd w:val="clear" w:color="auto" w:fill="CCEEFF"/>
          </w:tcPr>
          <w:p>
            <w:pPr>
              <w:jc w:val="center"/>
              <w:ind w:left="501"/>
              <w:spacing w:after="0"/>
              <w:rPr>
                <w:sz w:val="20"/>
                <w:szCs w:val="20"/>
                <w:color w:val="auto"/>
              </w:rPr>
            </w:pPr>
            <w:r>
              <w:rPr>
                <w:rFonts w:ascii="Arial" w:cs="Arial" w:eastAsia="Arial" w:hAnsi="Arial"/>
                <w:sz w:val="20"/>
                <w:szCs w:val="20"/>
                <w:color w:val="auto"/>
                <w:w w:val="89"/>
              </w:rPr>
              <w:t>7</w:t>
            </w:r>
          </w:p>
        </w:tc>
        <w:tc>
          <w:tcPr>
            <w:tcW w:w="9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17,893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13,924</w:t>
            </w: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380" w:type="dxa"/>
            <w:vAlign w:val="bottom"/>
          </w:tcPr>
          <w:p>
            <w:pPr>
              <w:jc w:val="center"/>
              <w:ind w:left="501"/>
              <w:spacing w:after="0"/>
              <w:rPr>
                <w:sz w:val="20"/>
                <w:szCs w:val="20"/>
                <w:color w:val="auto"/>
              </w:rPr>
            </w:pPr>
            <w:r>
              <w:rPr>
                <w:rFonts w:ascii="Arial" w:cs="Arial" w:eastAsia="Arial" w:hAnsi="Arial"/>
                <w:sz w:val="20"/>
                <w:szCs w:val="20"/>
                <w:color w:val="auto"/>
              </w:rPr>
              <w:t>5-7</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3,341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476</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380" w:type="dxa"/>
            <w:vAlign w:val="bottom"/>
            <w:tcBorders>
              <w:bottom w:val="single" w:sz="8" w:color="CCEEFF"/>
            </w:tcBorders>
            <w:shd w:val="clear" w:color="auto" w:fill="CCEEFF"/>
          </w:tcPr>
          <w:p>
            <w:pPr>
              <w:jc w:val="center"/>
              <w:ind w:left="501"/>
              <w:spacing w:after="0"/>
              <w:rPr>
                <w:sz w:val="20"/>
                <w:szCs w:val="20"/>
                <w:color w:val="auto"/>
              </w:rPr>
            </w:pPr>
            <w:r>
              <w:rPr>
                <w:rFonts w:ascii="Arial" w:cs="Arial" w:eastAsia="Arial" w:hAnsi="Arial"/>
                <w:sz w:val="20"/>
                <w:szCs w:val="20"/>
                <w:color w:val="auto"/>
                <w:w w:val="89"/>
              </w:rPr>
              <w:t>5</w:t>
            </w:r>
          </w:p>
        </w:tc>
        <w:tc>
          <w:tcPr>
            <w:tcW w:w="9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2380" w:type="dxa"/>
            <w:vAlign w:val="bottom"/>
          </w:tcPr>
          <w:p>
            <w:pPr>
              <w:jc w:val="center"/>
              <w:ind w:left="501"/>
              <w:spacing w:after="0"/>
              <w:rPr>
                <w:sz w:val="20"/>
                <w:szCs w:val="20"/>
                <w:color w:val="auto"/>
              </w:rPr>
            </w:pPr>
            <w:r>
              <w:rPr>
                <w:rFonts w:ascii="Arial" w:cs="Arial" w:eastAsia="Arial" w:hAnsi="Arial"/>
                <w:sz w:val="20"/>
                <w:szCs w:val="20"/>
                <w:color w:val="auto"/>
              </w:rPr>
              <w:t>3-5</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2,487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238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3,684</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w:t>
            </w:r>
          </w:p>
        </w:tc>
        <w:tc>
          <w:tcPr>
            <w:tcW w:w="0" w:type="dxa"/>
            <w:vAlign w:val="bottom"/>
          </w:tcPr>
          <w:p>
            <w:pPr>
              <w:spacing w:after="0"/>
              <w:rPr>
                <w:sz w:val="1"/>
                <w:szCs w:val="1"/>
                <w:color w:val="auto"/>
              </w:rPr>
            </w:pPr>
          </w:p>
        </w:tc>
      </w:tr>
      <w:tr>
        <w:trPr>
          <w:trHeight w:val="259"/>
        </w:trPr>
        <w:tc>
          <w:tcPr>
            <w:tcW w:w="3940" w:type="dxa"/>
            <w:vAlign w:val="bottom"/>
          </w:tcPr>
          <w:p>
            <w:pPr>
              <w:ind w:left="240"/>
              <w:spacing w:after="0"/>
              <w:rPr>
                <w:sz w:val="20"/>
                <w:szCs w:val="20"/>
                <w:color w:val="auto"/>
              </w:rPr>
            </w:pPr>
            <w:r>
              <w:rPr>
                <w:rFonts w:ascii="Arial" w:cs="Arial" w:eastAsia="Arial" w:hAnsi="Arial"/>
                <w:sz w:val="20"/>
                <w:szCs w:val="20"/>
                <w:color w:val="auto"/>
              </w:rPr>
              <w:t>Total</w:t>
            </w:r>
          </w:p>
        </w:tc>
        <w:tc>
          <w:tcPr>
            <w:tcW w:w="2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36,813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21,915</w:t>
            </w:r>
          </w:p>
        </w:tc>
        <w:tc>
          <w:tcPr>
            <w:tcW w:w="0" w:type="dxa"/>
            <w:vAlign w:val="bottom"/>
          </w:tcPr>
          <w:p>
            <w:pPr>
              <w:spacing w:after="0"/>
              <w:rPr>
                <w:sz w:val="1"/>
                <w:szCs w:val="1"/>
                <w:color w:val="auto"/>
              </w:rPr>
            </w:pPr>
          </w:p>
        </w:tc>
      </w:tr>
      <w:tr>
        <w:trPr>
          <w:trHeight w:val="28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(16,789)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(11,223)</w:t>
            </w:r>
          </w:p>
        </w:tc>
        <w:tc>
          <w:tcPr>
            <w:tcW w:w="0" w:type="dxa"/>
            <w:vAlign w:val="bottom"/>
          </w:tcPr>
          <w:p>
            <w:pPr>
              <w:spacing w:after="0"/>
              <w:rPr>
                <w:sz w:val="1"/>
                <w:szCs w:val="1"/>
                <w:color w:val="auto"/>
              </w:rPr>
            </w:pPr>
          </w:p>
        </w:tc>
      </w:tr>
      <w:tr>
        <w:trPr>
          <w:trHeight w:val="254"/>
        </w:trPr>
        <w:tc>
          <w:tcPr>
            <w:tcW w:w="39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380" w:type="dxa"/>
            <w:vAlign w:val="bottom"/>
          </w:tcPr>
          <w:p>
            <w:pPr>
              <w:spacing w:after="0"/>
              <w:rPr>
                <w:sz w:val="22"/>
                <w:szCs w:val="22"/>
                <w:color w:val="auto"/>
              </w:rPr>
            </w:pPr>
          </w:p>
        </w:tc>
        <w:tc>
          <w:tcPr>
            <w:tcW w:w="980" w:type="dxa"/>
            <w:vAlign w:val="bottom"/>
            <w:tcBorders>
              <w:top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20,024</w:t>
            </w:r>
          </w:p>
        </w:tc>
        <w:tc>
          <w:tcPr>
            <w:tcW w:w="80" w:type="dxa"/>
            <w:vAlign w:val="bottom"/>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expense was $0.7 million and $0.6 million for the three months ended September 30, 2022 and 2021, respectively, of which $0.4 million and $0.5 million, respectively, was allocated to cost of revenue and $0.3 million and $0.1 million, respectively, was included in depreciation and amortization in the accompanying condensed consolidated statements of operations for the three months ended September 30, 2022 and 2021.</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expense was $1.8 million and $1.8 million for the nine months ended September 30, 2022 and 2021, respectively, of which $1.2 million and $1.5 million, respectively, was allocated to cost of revenue and $0.6 million and $0.3 million, respectively, was included in depreciation and amortization in the accompanying condensed consolidated statements of operations for the nine months ended September 30, 2022 and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0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Prior to the STI Acquisition, goodwill, related to Former Parent’s acquisition of the Company, was recorded as $121.6 million and was subsequently impaired. Total accumulated impairment as of September 30, 2022 was $51.9 million.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recorded an additional $335.4 million of goodwill as a result of the STI Acquisition and the Company’s reporting units became Array Legacy Operations and the newly acquired STI Operations, which had goodwill of $69.7 million and $289.9 million, respectively, at September 30, 2022 and $69.7 million and zero, respectively, at December 31, 2021. Goodwill is not deductible for tax purposes.</w:t>
      </w:r>
    </w:p>
    <w:p>
      <w:pPr>
        <w:spacing w:after="0" w:line="24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Changes in the carrying amount of goodwill by operating segment during the nine months ended September 30, 2022 are shown below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380"/>
              <w:spacing w:after="0"/>
              <w:rPr>
                <w:sz w:val="20"/>
                <w:szCs w:val="20"/>
                <w:color w:val="auto"/>
              </w:rPr>
            </w:pPr>
            <w:r>
              <w:rPr>
                <w:rFonts w:ascii="Arial" w:cs="Arial" w:eastAsia="Arial" w:hAnsi="Arial"/>
                <w:sz w:val="20"/>
                <w:szCs w:val="20"/>
                <w:b w:val="1"/>
                <w:bCs w:val="1"/>
                <w:color w:val="auto"/>
              </w:rPr>
              <w:t>Array Legacy</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6"/>
        </w:trPr>
        <w:tc>
          <w:tcPr>
            <w:tcW w:w="39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Operations Segment</w:t>
            </w:r>
          </w:p>
        </w:tc>
        <w:tc>
          <w:tcPr>
            <w:tcW w:w="80" w:type="dxa"/>
            <w:vAlign w:val="bottom"/>
            <w:tcBorders>
              <w:bottom w:val="single" w:sz="8" w:color="CCEEFF"/>
            </w:tcBorders>
          </w:tcPr>
          <w:p>
            <w:pPr>
              <w:spacing w:after="0"/>
              <w:rPr>
                <w:sz w:val="23"/>
                <w:szCs w:val="23"/>
                <w:color w:val="auto"/>
              </w:rPr>
            </w:pPr>
          </w:p>
        </w:tc>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99"/>
              </w:rPr>
              <w:t>STI Operations Segment</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b w:val="1"/>
                <w:bCs w:val="1"/>
                <w:color w:val="auto"/>
              </w:rPr>
              <w:t>Total</w:t>
            </w:r>
          </w:p>
        </w:tc>
      </w:tr>
      <w:tr>
        <w:trPr>
          <w:trHeight w:val="268"/>
        </w:trPr>
        <w:tc>
          <w:tcPr>
            <w:tcW w:w="3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r>
      <w:tr>
        <w:trPr>
          <w:trHeight w:val="265"/>
        </w:trPr>
        <w:tc>
          <w:tcPr>
            <w:tcW w:w="3940" w:type="dxa"/>
            <w:vAlign w:val="bottom"/>
          </w:tcPr>
          <w:p>
            <w:pPr>
              <w:ind w:left="140"/>
              <w:spacing w:after="0"/>
              <w:rPr>
                <w:sz w:val="20"/>
                <w:szCs w:val="20"/>
                <w:color w:val="auto"/>
              </w:rPr>
            </w:pPr>
            <w:r>
              <w:rPr>
                <w:rFonts w:ascii="Arial" w:cs="Arial" w:eastAsia="Arial" w:hAnsi="Arial"/>
                <w:sz w:val="20"/>
                <w:szCs w:val="20"/>
                <w:color w:val="auto"/>
              </w:rPr>
              <w:t>Acquisition of STI</w:t>
            </w:r>
          </w:p>
        </w:tc>
        <w:tc>
          <w:tcPr>
            <w:tcW w:w="180" w:type="dxa"/>
            <w:vAlign w:val="bottom"/>
          </w:tcPr>
          <w:p>
            <w:pPr>
              <w:spacing w:after="0"/>
              <w:rPr>
                <w:sz w:val="23"/>
                <w:szCs w:val="23"/>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335,359</w:t>
            </w:r>
          </w:p>
        </w:tc>
        <w:tc>
          <w:tcPr>
            <w:tcW w:w="80" w:type="dxa"/>
            <w:vAlign w:val="bottom"/>
          </w:tcPr>
          <w:p>
            <w:pPr>
              <w:spacing w:after="0"/>
              <w:rPr>
                <w:sz w:val="23"/>
                <w:szCs w:val="23"/>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335,359</w:t>
            </w:r>
          </w:p>
        </w:tc>
      </w:tr>
      <w:tr>
        <w:trPr>
          <w:trHeight w:val="275"/>
        </w:trPr>
        <w:tc>
          <w:tcPr>
            <w:tcW w:w="3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impact</w:t>
            </w:r>
          </w:p>
        </w:tc>
        <w:tc>
          <w:tcPr>
            <w:tcW w:w="18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(45,457)</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(45,457)</w:t>
            </w:r>
          </w:p>
        </w:tc>
      </w:tr>
      <w:tr>
        <w:trPr>
          <w:trHeight w:val="259"/>
        </w:trPr>
        <w:tc>
          <w:tcPr>
            <w:tcW w:w="394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289,902</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359,629</w:t>
            </w:r>
          </w:p>
        </w:tc>
      </w:tr>
      <w:tr>
        <w:trPr>
          <w:trHeight w:val="25"/>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3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quarter the Company evaluates if facts and circumstances indicate that it is more-likely-than-not that the fair value of its reporting units is less than their carrying value, which would require the Company to perform an interim goodwill impairment test. During the quarter ended March 31, 2022, the Company determined it was necessary to perform an interim goodwill impairment test for the Array Legacy Operations reporting unit. The Company performed a quantitative goodwill impairment test and determined the estimated fair value of the reporting unit exceeded the carrying value assigned to that reporting unit; as a result, goodwill was not impaired.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60" w:type="dxa"/>
            <w:vAlign w:val="bottom"/>
          </w:tcPr>
          <w:p>
            <w:pPr>
              <w:spacing w:after="0"/>
              <w:rPr>
                <w:sz w:val="20"/>
                <w:szCs w:val="20"/>
                <w:color w:val="auto"/>
              </w:rPr>
            </w:pPr>
            <w:r>
              <w:rPr>
                <w:rFonts w:ascii="Arial" w:cs="Arial" w:eastAsia="Arial" w:hAnsi="Arial"/>
                <w:sz w:val="20"/>
                <w:szCs w:val="20"/>
                <w:b w:val="1"/>
                <w:bCs w:val="1"/>
                <w:color w:val="auto"/>
              </w:rPr>
              <w:t>Other Intangible Assets</w:t>
            </w:r>
          </w:p>
        </w:tc>
        <w:tc>
          <w:tcPr>
            <w:tcW w:w="2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5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5"/>
        </w:trPr>
        <w:tc>
          <w:tcPr>
            <w:tcW w:w="3960" w:type="dxa"/>
            <w:vAlign w:val="bottom"/>
          </w:tcPr>
          <w:p>
            <w:pPr>
              <w:spacing w:after="0"/>
              <w:rPr>
                <w:sz w:val="19"/>
                <w:szCs w:val="19"/>
                <w:color w:val="auto"/>
              </w:rPr>
            </w:pPr>
          </w:p>
        </w:tc>
        <w:tc>
          <w:tcPr>
            <w:tcW w:w="2480" w:type="dxa"/>
            <w:vAlign w:val="bottom"/>
          </w:tcPr>
          <w:p>
            <w:pPr>
              <w:jc w:val="center"/>
              <w:ind w:left="561"/>
              <w:spacing w:after="0" w:line="226" w:lineRule="exact"/>
              <w:rPr>
                <w:sz w:val="20"/>
                <w:szCs w:val="20"/>
                <w:color w:val="auto"/>
              </w:rPr>
            </w:pPr>
            <w:r>
              <w:rPr>
                <w:rFonts w:ascii="Arial" w:cs="Arial" w:eastAsia="Arial" w:hAnsi="Arial"/>
                <w:sz w:val="20"/>
                <w:szCs w:val="20"/>
                <w:b w:val="1"/>
                <w:bCs w:val="1"/>
                <w:color w:val="auto"/>
                <w:w w:val="99"/>
              </w:rPr>
              <w:t>Estimated Useful</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79"/>
        </w:trPr>
        <w:tc>
          <w:tcPr>
            <w:tcW w:w="3960" w:type="dxa"/>
            <w:vAlign w:val="bottom"/>
          </w:tcPr>
          <w:p>
            <w:pPr>
              <w:spacing w:after="0"/>
              <w:rPr>
                <w:sz w:val="24"/>
                <w:szCs w:val="24"/>
                <w:color w:val="auto"/>
              </w:rPr>
            </w:pPr>
          </w:p>
        </w:tc>
        <w:tc>
          <w:tcPr>
            <w:tcW w:w="2480" w:type="dxa"/>
            <w:vAlign w:val="bottom"/>
          </w:tcPr>
          <w:p>
            <w:pPr>
              <w:jc w:val="center"/>
              <w:ind w:left="561"/>
              <w:spacing w:after="0"/>
              <w:rPr>
                <w:sz w:val="20"/>
                <w:szCs w:val="20"/>
                <w:color w:val="auto"/>
              </w:rPr>
            </w:pPr>
            <w:r>
              <w:rPr>
                <w:rFonts w:ascii="Arial" w:cs="Arial" w:eastAsia="Arial" w:hAnsi="Arial"/>
                <w:sz w:val="20"/>
                <w:szCs w:val="20"/>
                <w:b w:val="1"/>
                <w:bCs w:val="1"/>
                <w:color w:val="auto"/>
                <w:w w:val="97"/>
              </w:rPr>
              <w:t>Lives (Years)</w:t>
            </w:r>
          </w:p>
        </w:tc>
        <w:tc>
          <w:tcPr>
            <w:tcW w:w="240" w:type="dxa"/>
            <w:vAlign w:val="bottom"/>
          </w:tcPr>
          <w:p>
            <w:pPr>
              <w:spacing w:after="0"/>
              <w:rPr>
                <w:sz w:val="24"/>
                <w:szCs w:val="24"/>
                <w:color w:val="auto"/>
              </w:rPr>
            </w:pPr>
          </w:p>
        </w:tc>
        <w:tc>
          <w:tcPr>
            <w:tcW w:w="2200" w:type="dxa"/>
            <w:vAlign w:val="bottom"/>
            <w:gridSpan w:val="2"/>
          </w:tcPr>
          <w:p>
            <w:pPr>
              <w:ind w:left="20"/>
              <w:spacing w:after="0"/>
              <w:rPr>
                <w:sz w:val="20"/>
                <w:szCs w:val="20"/>
                <w:color w:val="auto"/>
              </w:rPr>
            </w:pPr>
            <w:r>
              <w:rPr>
                <w:rFonts w:ascii="Arial" w:cs="Arial" w:eastAsia="Arial" w:hAnsi="Arial"/>
                <w:sz w:val="20"/>
                <w:szCs w:val="20"/>
                <w:b w:val="1"/>
                <w:bCs w:val="1"/>
                <w:color w:val="auto"/>
              </w:rPr>
              <w:t>September 30, 2022</w:t>
            </w:r>
          </w:p>
        </w:tc>
        <w:tc>
          <w:tcPr>
            <w:tcW w:w="260" w:type="dxa"/>
            <w:vAlign w:val="bottom"/>
          </w:tcPr>
          <w:p>
            <w:pPr>
              <w:spacing w:after="0"/>
              <w:rPr>
                <w:sz w:val="24"/>
                <w:szCs w:val="24"/>
                <w:color w:val="auto"/>
              </w:rPr>
            </w:pPr>
          </w:p>
        </w:tc>
        <w:tc>
          <w:tcPr>
            <w:tcW w:w="2100" w:type="dxa"/>
            <w:vAlign w:val="bottom"/>
          </w:tcPr>
          <w:p>
            <w:pPr>
              <w:jc w:val="right"/>
              <w:ind w:right="201"/>
              <w:spacing w:after="0"/>
              <w:rPr>
                <w:sz w:val="20"/>
                <w:szCs w:val="20"/>
                <w:color w:val="auto"/>
              </w:rPr>
            </w:pPr>
            <w:r>
              <w:rPr>
                <w:rFonts w:ascii="Arial" w:cs="Arial" w:eastAsia="Arial" w:hAnsi="Arial"/>
                <w:sz w:val="20"/>
                <w:szCs w:val="20"/>
                <w:b w:val="1"/>
                <w:bCs w:val="1"/>
                <w:color w:val="auto"/>
                <w:w w:val="98"/>
              </w:rPr>
              <w:t>December 31, 2021</w:t>
            </w: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4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1"/>
        </w:trPr>
        <w:tc>
          <w:tcPr>
            <w:tcW w:w="3960" w:type="dxa"/>
            <w:vAlign w:val="bottom"/>
          </w:tcPr>
          <w:p>
            <w:pPr>
              <w:ind w:left="240"/>
              <w:spacing w:after="0"/>
              <w:rPr>
                <w:sz w:val="20"/>
                <w:szCs w:val="20"/>
                <w:color w:val="auto"/>
              </w:rPr>
            </w:pPr>
            <w:r>
              <w:rPr>
                <w:rFonts w:ascii="Arial" w:cs="Arial" w:eastAsia="Arial" w:hAnsi="Arial"/>
                <w:sz w:val="20"/>
                <w:szCs w:val="20"/>
                <w:color w:val="auto"/>
              </w:rPr>
              <w:t>Costs:</w:t>
            </w:r>
          </w:p>
        </w:tc>
        <w:tc>
          <w:tcPr>
            <w:tcW w:w="2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3"/>
        </w:trPr>
        <w:tc>
          <w:tcPr>
            <w:tcW w:w="3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tcBorders>
              <w:bottom w:val="single" w:sz="8" w:color="CCEEFF"/>
            </w:tcBorders>
            <w:shd w:val="clear" w:color="auto" w:fill="CCEEFF"/>
          </w:tcPr>
          <w:p>
            <w:pPr>
              <w:jc w:val="center"/>
              <w:ind w:left="561"/>
              <w:spacing w:after="0"/>
              <w:rPr>
                <w:sz w:val="20"/>
                <w:szCs w:val="20"/>
                <w:color w:val="auto"/>
              </w:rPr>
            </w:pPr>
            <w:r>
              <w:rPr>
                <w:rFonts w:ascii="Arial" w:cs="Arial" w:eastAsia="Arial" w:hAnsi="Arial"/>
                <w:sz w:val="20"/>
                <w:szCs w:val="20"/>
                <w:color w:val="auto"/>
                <w:w w:val="98"/>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203,800</w:t>
            </w:r>
          </w:p>
        </w:tc>
      </w:tr>
      <w:tr>
        <w:trPr>
          <w:trHeight w:val="261"/>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jc w:val="center"/>
              <w:ind w:left="561"/>
              <w:spacing w:after="0"/>
              <w:rPr>
                <w:sz w:val="20"/>
                <w:szCs w:val="20"/>
                <w:color w:val="auto"/>
              </w:rPr>
            </w:pPr>
            <w:r>
              <w:rPr>
                <w:rFonts w:ascii="Arial" w:cs="Arial" w:eastAsia="Arial" w:hAnsi="Arial"/>
                <w:sz w:val="20"/>
                <w:szCs w:val="20"/>
                <w:color w:val="auto"/>
                <w:w w:val="98"/>
              </w:rPr>
              <w:t>10</w:t>
            </w: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295,405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89,500</w:t>
            </w: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3"/>
        </w:trPr>
        <w:tc>
          <w:tcPr>
            <w:tcW w:w="3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tcBorders>
              <w:bottom w:val="single" w:sz="8" w:color="CCEEFF"/>
            </w:tcBorders>
            <w:shd w:val="clear" w:color="auto" w:fill="CCEEFF"/>
          </w:tcPr>
          <w:p>
            <w:pPr>
              <w:jc w:val="center"/>
              <w:ind w:left="561"/>
              <w:spacing w:after="0"/>
              <w:rPr>
                <w:sz w:val="20"/>
                <w:szCs w:val="20"/>
                <w:color w:val="auto"/>
              </w:rPr>
            </w:pPr>
            <w:r>
              <w:rPr>
                <w:rFonts w:ascii="Arial" w:cs="Arial" w:eastAsia="Arial" w:hAnsi="Arial"/>
                <w:sz w:val="20"/>
                <w:szCs w:val="20"/>
                <w:color w:val="auto"/>
                <w:w w:val="89"/>
              </w:rPr>
              <w:t>1</w:t>
            </w:r>
          </w:p>
        </w:tc>
        <w:tc>
          <w:tcPr>
            <w:tcW w:w="2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44,132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3960" w:type="dxa"/>
            <w:vAlign w:val="bottom"/>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Pr>
          <w:p>
            <w:pPr>
              <w:jc w:val="center"/>
              <w:ind w:left="561"/>
              <w:spacing w:after="0"/>
              <w:rPr>
                <w:sz w:val="20"/>
                <w:szCs w:val="20"/>
                <w:color w:val="auto"/>
              </w:rPr>
            </w:pPr>
            <w:r>
              <w:rPr>
                <w:rFonts w:ascii="Arial" w:cs="Arial" w:eastAsia="Arial" w:hAnsi="Arial"/>
                <w:sz w:val="20"/>
                <w:szCs w:val="20"/>
                <w:color w:val="auto"/>
                <w:w w:val="98"/>
              </w:rPr>
              <w:t>20</w:t>
            </w: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39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77"/>
        </w:trPr>
        <w:tc>
          <w:tcPr>
            <w:tcW w:w="3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amortizable intangibles</w:t>
            </w:r>
          </w:p>
        </w:tc>
        <w:tc>
          <w:tcPr>
            <w:tcW w:w="2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567,855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293,300</w:t>
            </w:r>
          </w:p>
        </w:tc>
      </w:tr>
      <w:tr>
        <w:trPr>
          <w:trHeight w:val="241"/>
        </w:trPr>
        <w:tc>
          <w:tcPr>
            <w:tcW w:w="396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2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3"/>
        </w:trPr>
        <w:tc>
          <w:tcPr>
            <w:tcW w:w="3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90,709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79,790</w:t>
            </w:r>
          </w:p>
        </w:tc>
      </w:tr>
      <w:tr>
        <w:trPr>
          <w:trHeight w:val="261"/>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70,606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49,057</w:t>
            </w: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84"/>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31,794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9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3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2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194,071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128,847</w:t>
            </w:r>
          </w:p>
        </w:tc>
      </w:tr>
      <w:tr>
        <w:trPr>
          <w:trHeight w:val="254"/>
        </w:trPr>
        <w:tc>
          <w:tcPr>
            <w:tcW w:w="3960" w:type="dxa"/>
            <w:vAlign w:val="bottom"/>
          </w:tcPr>
          <w:p>
            <w:pPr>
              <w:ind w:left="20"/>
              <w:spacing w:after="0"/>
              <w:rPr>
                <w:sz w:val="20"/>
                <w:szCs w:val="20"/>
                <w:color w:val="auto"/>
              </w:rPr>
            </w:pPr>
            <w:r>
              <w:rPr>
                <w:rFonts w:ascii="Arial" w:cs="Arial" w:eastAsia="Arial" w:hAnsi="Arial"/>
                <w:sz w:val="20"/>
                <w:szCs w:val="20"/>
                <w:color w:val="auto"/>
              </w:rPr>
              <w:t>Total amortizable intangibles, net</w:t>
            </w:r>
          </w:p>
        </w:tc>
        <w:tc>
          <w:tcPr>
            <w:tcW w:w="24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373,784</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164,453</w:t>
            </w:r>
          </w:p>
        </w:tc>
      </w:tr>
      <w:tr>
        <w:trPr>
          <w:trHeight w:val="23"/>
        </w:trPr>
        <w:tc>
          <w:tcPr>
            <w:tcW w:w="39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0"/>
        </w:trPr>
        <w:tc>
          <w:tcPr>
            <w:tcW w:w="39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r>
      <w:tr>
        <w:trPr>
          <w:trHeight w:val="260"/>
        </w:trPr>
        <w:tc>
          <w:tcPr>
            <w:tcW w:w="396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2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84"/>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r>
      <w:tr>
        <w:trPr>
          <w:trHeight w:val="254"/>
        </w:trPr>
        <w:tc>
          <w:tcPr>
            <w:tcW w:w="396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480" w:type="dxa"/>
            <w:vAlign w:val="bottom"/>
          </w:tcPr>
          <w:p>
            <w:pPr>
              <w:spacing w:after="0"/>
              <w:rPr>
                <w:sz w:val="22"/>
                <w:szCs w:val="2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384,084</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174,753</w:t>
            </w:r>
          </w:p>
        </w:tc>
      </w:tr>
      <w:tr>
        <w:trPr>
          <w:trHeight w:val="23"/>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
        </w:trPr>
        <w:tc>
          <w:tcPr>
            <w:tcW w:w="3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Amortization expense related to intangible assets amounted to $23.2 million and $5.9 million for the three months ended September 30, 2022 and 2021, respectively, and $69.8 million and $17.6 million for the nine months ended September 30, 2022 and 2021,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September 30, as follows (in thousands):</w:t>
      </w:r>
    </w:p>
    <w:p>
      <w:pPr>
        <w:spacing w:after="0" w:line="16"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Amount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74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22,365</w:t>
            </w:r>
          </w:p>
        </w:tc>
      </w:tr>
      <w:tr>
        <w:trPr>
          <w:trHeight w:val="279"/>
        </w:trPr>
        <w:tc>
          <w:tcPr>
            <w:tcW w:w="1820" w:type="dxa"/>
            <w:vAlign w:val="bottom"/>
          </w:tcPr>
          <w:p>
            <w:pPr>
              <w:ind w:left="20"/>
              <w:spacing w:after="0"/>
              <w:rPr>
                <w:sz w:val="20"/>
                <w:szCs w:val="20"/>
                <w:color w:val="auto"/>
              </w:rPr>
            </w:pPr>
            <w:r>
              <w:rPr>
                <w:rFonts w:ascii="Arial" w:cs="Arial" w:eastAsia="Arial" w:hAnsi="Arial"/>
                <w:sz w:val="20"/>
                <w:szCs w:val="20"/>
                <w:color w:val="auto"/>
              </w:rPr>
              <w:t>2023</w:t>
            </w: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46,633</w:t>
            </w:r>
          </w:p>
        </w:tc>
      </w:tr>
      <w:tr>
        <w:trPr>
          <w:trHeight w:val="288"/>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45,328</w:t>
            </w:r>
          </w:p>
        </w:tc>
      </w:tr>
      <w:tr>
        <w:trPr>
          <w:trHeight w:val="279"/>
        </w:trPr>
        <w:tc>
          <w:tcPr>
            <w:tcW w:w="1820" w:type="dxa"/>
            <w:vAlign w:val="bottom"/>
          </w:tcPr>
          <w:p>
            <w:pPr>
              <w:ind w:left="20"/>
              <w:spacing w:after="0"/>
              <w:rPr>
                <w:sz w:val="20"/>
                <w:szCs w:val="20"/>
                <w:color w:val="auto"/>
              </w:rPr>
            </w:pPr>
            <w:r>
              <w:rPr>
                <w:rFonts w:ascii="Arial" w:cs="Arial" w:eastAsia="Arial" w:hAnsi="Arial"/>
                <w:sz w:val="20"/>
                <w:szCs w:val="20"/>
                <w:color w:val="auto"/>
              </w:rPr>
              <w:t>2025</w:t>
            </w: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45,328</w:t>
            </w:r>
          </w:p>
        </w:tc>
      </w:tr>
      <w:tr>
        <w:trPr>
          <w:trHeight w:val="288"/>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41,021</w:t>
            </w:r>
          </w:p>
        </w:tc>
      </w:tr>
      <w:tr>
        <w:trPr>
          <w:trHeight w:val="279"/>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173,109</w:t>
            </w:r>
          </w:p>
        </w:tc>
      </w:tr>
      <w:tr>
        <w:trPr>
          <w:trHeight w:val="307"/>
        </w:trPr>
        <w:tc>
          <w:tcPr>
            <w:tcW w:w="18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373,784</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00" w:lineRule="exact"/>
        <w:rPr>
          <w:sz w:val="20"/>
          <w:szCs w:val="20"/>
          <w:color w:val="auto"/>
        </w:rPr>
      </w:pPr>
    </w:p>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Long-lived assets, including intangible assets, are reviewed for impairment whenever events or changes in circumstances indicate that the carrying amount of an asset group may not be recoverable.</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March 31, 2022, the Company determined it was necessary to review long-lived assets, including intangible assets related to the Array Legacy Operations reporting unit, for impairment. The Company determined the undiscounted cash flows expected to result from the use of the asset group and its eventual disposition were greater than the carrying amount and therefore concluded there was no impairment.</w:t>
      </w:r>
    </w:p>
    <w:p>
      <w:pPr>
        <w:spacing w:after="0" w:line="208"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Company made a $10.0 million and $2.0 million investment in preferred stock of a private company in February 2021 and April 2021, respectively. The investment is accounted for in accordance with ASC Topic 321 </w:t>
      </w:r>
      <w:r>
        <w:rPr>
          <w:rFonts w:ascii="Arial" w:cs="Arial" w:eastAsia="Arial" w:hAnsi="Arial"/>
          <w:sz w:val="20"/>
          <w:szCs w:val="20"/>
          <w:i w:val="1"/>
          <w:iCs w:val="1"/>
          <w:color w:val="auto"/>
        </w:rPr>
        <w:t>Investments—Equity Securities</w:t>
      </w:r>
      <w:r>
        <w:rPr>
          <w:rFonts w:ascii="Arial" w:cs="Arial" w:eastAsia="Arial" w:hAnsi="Arial"/>
          <w:sz w:val="20"/>
          <w:szCs w:val="20"/>
          <w:color w:val="auto"/>
        </w:rPr>
        <w:t xml:space="preserve"> at its cost, less any impairment. The investment balance as of September 30, 2022 was $12.0 million and is recorded in other assets on the condensed consolidated balance sheets. There is no impairment recorded for the nine months ended September 30, 2022.</w:t>
      </w:r>
    </w:p>
    <w:p>
      <w:pPr>
        <w:spacing w:after="0" w:line="20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6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recorded income tax expense (benefit) of $11.1 million and $(5.4) million for the three months ended September 30, 2022 and 2021, respectively, and income tax expense (benefit) of $(18.1) million and $5.5 million for the nine months ended September 30, 2022 and 2021, respectively. The tax expense in the three months ended September 30, 2022 includes tax expense of $8.7 million on the legal settlement income which was recorded discretely in the quarter. The tax, excluding the legal settlement, was favorably impacted by non-taxable contingent income, and mix of income by jurisdiction. The tax benefit in the three months ended September 30, 2021 was unfavorably impacted by non-deductible amounts for equity-based compensation and follow-on offering costs.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tax benefit in the nine months ended September 30, 2022 includes tax expense of $8.7 million on the legal settlement which was recorded discretely in the quarter. The tax on the loss, excluding the legal settlement, was favorably impacted by mix of earnings by jurisdictions offset by non-deductible amounts for officers’ compensation and transaction costs. The tax benefit in the nine months ended September 30, 2021 was unfavorably impacted by non-deductible equity based compensation as well as initial public offering and secondary offering costs.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For the three and nine months ended September 30, 2022 and 2021, no reserves for uncertain tax positions have been recorded. The Company will continue to monitor this position each interim period.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August 2022, the U.S. Inflation Reduction Act (“IRA”) was enacted into law. The IRA contains a number of revisions to the Internal Revenue Code that generally take effect in tax years beginning after December 31, 2022. The Company is in the process of evaluating provisions included under the IRA and its impact to the Company’s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0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Senior Secured Credit Facility</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Long-term senior secured credit facility consisted of the following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5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September 30, 2022</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6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323,550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61"/>
        </w:trPr>
        <w:tc>
          <w:tcPr>
            <w:tcW w:w="6540" w:type="dxa"/>
            <w:vAlign w:val="bottom"/>
          </w:tcPr>
          <w:p>
            <w:pPr>
              <w:ind w:left="20"/>
              <w:spacing w:after="0"/>
              <w:rPr>
                <w:sz w:val="20"/>
                <w:szCs w:val="20"/>
                <w:color w:val="auto"/>
              </w:rPr>
            </w:pPr>
            <w:r>
              <w:rPr>
                <w:rFonts w:ascii="Arial" w:cs="Arial" w:eastAsia="Arial" w:hAnsi="Arial"/>
                <w:sz w:val="20"/>
                <w:szCs w:val="20"/>
                <w:color w:val="auto"/>
              </w:rPr>
              <w:t>Revolving credit facility</w:t>
            </w:r>
          </w:p>
        </w:tc>
        <w:tc>
          <w:tcPr>
            <w:tcW w:w="180" w:type="dxa"/>
            <w:vAlign w:val="bottom"/>
          </w:tcPr>
          <w:p>
            <w:pPr>
              <w:spacing w:after="0"/>
              <w:rPr>
                <w:sz w:val="22"/>
                <w:szCs w:val="22"/>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323,550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61"/>
        </w:trPr>
        <w:tc>
          <w:tcPr>
            <w:tcW w:w="6540" w:type="dxa"/>
            <w:vAlign w:val="bottom"/>
          </w:tcPr>
          <w:p>
            <w:pPr>
              <w:ind w:left="20"/>
              <w:spacing w:after="0"/>
              <w:rPr>
                <w:sz w:val="20"/>
                <w:szCs w:val="20"/>
                <w:color w:val="auto"/>
              </w:rPr>
            </w:pPr>
            <w:r>
              <w:rPr>
                <w:rFonts w:ascii="Arial" w:cs="Arial" w:eastAsia="Arial" w:hAnsi="Arial"/>
                <w:sz w:val="20"/>
                <w:szCs w:val="20"/>
                <w:color w:val="auto"/>
              </w:rPr>
              <w:t>Less discount and issuance costs</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(20,169)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(23,291)</w:t>
            </w:r>
          </w:p>
        </w:tc>
        <w:tc>
          <w:tcPr>
            <w:tcW w:w="0" w:type="dxa"/>
            <w:vAlign w:val="bottom"/>
          </w:tcPr>
          <w:p>
            <w:pPr>
              <w:spacing w:after="0"/>
              <w:rPr>
                <w:sz w:val="1"/>
                <w:szCs w:val="1"/>
                <w:color w:val="auto"/>
              </w:rPr>
            </w:pPr>
          </w:p>
        </w:tc>
      </w:tr>
      <w:tr>
        <w:trPr>
          <w:trHeight w:val="2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Long-term portion, net of debt discount and issuance costs</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303,381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303,484</w:t>
            </w:r>
          </w:p>
        </w:tc>
        <w:tc>
          <w:tcPr>
            <w:tcW w:w="0" w:type="dxa"/>
            <w:vAlign w:val="bottom"/>
          </w:tcPr>
          <w:p>
            <w:pPr>
              <w:spacing w:after="0"/>
              <w:rPr>
                <w:sz w:val="1"/>
                <w:szCs w:val="1"/>
                <w:color w:val="auto"/>
              </w:rPr>
            </w:pPr>
          </w:p>
        </w:tc>
      </w:tr>
      <w:tr>
        <w:trPr>
          <w:trHeight w:val="261"/>
        </w:trPr>
        <w:tc>
          <w:tcPr>
            <w:tcW w:w="6540" w:type="dxa"/>
            <w:vAlign w:val="bottom"/>
          </w:tcPr>
          <w:p>
            <w:pPr>
              <w:ind w:left="20"/>
              <w:spacing w:after="0"/>
              <w:rPr>
                <w:sz w:val="20"/>
                <w:szCs w:val="20"/>
                <w:color w:val="auto"/>
              </w:rPr>
            </w:pPr>
            <w:r>
              <w:rPr>
                <w:rFonts w:ascii="Arial" w:cs="Arial" w:eastAsia="Arial" w:hAnsi="Arial"/>
                <w:sz w:val="20"/>
                <w:szCs w:val="20"/>
                <w:color w:val="auto"/>
              </w:rPr>
              <w:t>Less current portion of credit facility</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senior secured facility debt, net of current portion, debt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299,081</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299,184</w:t>
            </w:r>
          </w:p>
        </w:tc>
        <w:tc>
          <w:tcPr>
            <w:tcW w:w="0" w:type="dxa"/>
            <w:vAlign w:val="bottom"/>
          </w:tcPr>
          <w:p>
            <w:pPr>
              <w:spacing w:after="0"/>
              <w:rPr>
                <w:sz w:val="1"/>
                <w:szCs w:val="1"/>
                <w:color w:val="auto"/>
              </w:rPr>
            </w:pPr>
          </w:p>
        </w:tc>
      </w:tr>
      <w:tr>
        <w:trPr>
          <w:trHeight w:val="25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discount and issuance costs</w:t>
            </w:r>
          </w:p>
        </w:tc>
        <w:tc>
          <w:tcPr>
            <w:tcW w:w="180" w:type="dxa"/>
            <w:vAlign w:val="bottom"/>
            <w:vMerge w:val="continue"/>
            <w:shd w:val="clear" w:color="auto" w:fill="CCEEFF"/>
          </w:tcPr>
          <w:p>
            <w:pPr>
              <w:spacing w:after="0"/>
              <w:rPr>
                <w:sz w:val="22"/>
                <w:szCs w:val="22"/>
                <w:color w:val="auto"/>
              </w:rPr>
            </w:pPr>
          </w:p>
        </w:tc>
        <w:tc>
          <w:tcPr>
            <w:tcW w:w="2140" w:type="dxa"/>
            <w:vAlign w:val="bottom"/>
            <w:vMerge w:val="continue"/>
            <w:shd w:val="clear" w:color="auto" w:fill="CCEEFF"/>
          </w:tcPr>
          <w:p>
            <w:pPr>
              <w:spacing w:after="0"/>
              <w:rPr>
                <w:sz w:val="22"/>
                <w:szCs w:val="22"/>
                <w:color w:val="auto"/>
              </w:rPr>
            </w:pPr>
          </w:p>
        </w:tc>
        <w:tc>
          <w:tcPr>
            <w:tcW w:w="260" w:type="dxa"/>
            <w:vAlign w:val="bottom"/>
            <w:gridSpan w:val="2"/>
            <w:vMerge w:val="continue"/>
            <w:shd w:val="clear" w:color="auto" w:fill="CCEEFF"/>
          </w:tcPr>
          <w:p>
            <w:pPr>
              <w:spacing w:after="0"/>
              <w:rPr>
                <w:sz w:val="22"/>
                <w:szCs w:val="22"/>
                <w:color w:val="auto"/>
              </w:rPr>
            </w:pPr>
          </w:p>
        </w:tc>
        <w:tc>
          <w:tcPr>
            <w:tcW w:w="21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October 14, 2020, the Company entered into a senior secured credit facility, which was amended on February 23, 2021 (the “First Amendment”) and again on February 26, 2021 (the “Second Amendment”). The senior secured facility consisted originally of (i) a $575 million senior secured 7-year term loan facility (the “Term Loan Facility”) and (ii) a $150 million senior secured 5-year revolving credit facility (the “Revolving Credit Facility” and, together with the Term Loan Facility, the “Senior Secured Credit Facility”). The First Amendment, in the case of Eurocurrency borrowings, lowered the London interbank offered rate floor to 50 basis points from 100 basis points and lowered the applicable margin to 325 basis points from 400 basis points per annum. This resulted in the current rate on the Term Loan Facility decreasing to 3.75% down from 5% prior to the First Amendment. The Second Amendment increased the $150.0 million Revolving Credit Facility from $150.0 million to $200.0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Under the Revolving Credit Facility, the Company had no outstanding balance as of both September 30, 2022 and December 31, 2021, respectively, $33.4 million and $13.6 million in standby letters of credit at September 30, 2022 and December 31, 2021, respectively, and availability of $166.6 million and $186.4 million at September 30, 2022 and December 31, 2021, respectively. The Revolving Credit Facility pays interest depending on the contracted rate for the loan which is either for the Eurocurrency Rate Loans at LIBOR plus 3.25% and for Base Rate Loans at the higher of the Prime Rate, 1/2 of 1% above the Federal Funds Rate or the Eurocurrency rate for the Dollar deposits for one month interest period, after giving effect to any floor plus 1%, plus 2.25%.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Term Loan Facility had a balance of $323.6 million and $326.8 million as of September 30, 2022 and December 31, 2021, respectively. The balance of the Term Loan Facility is presented in the accompanying condensed consolidated balance sheets, net of debt discount and issuance costs of $20.2 million and $23.3 million as of September 30, 2022 and December 31, 2021, respectively. The debt discount and issuance costs are being amortized using the effective interest method and the rate as of September 30, 2022 is 6.75%. The Term Loan Facility has an annual excess cash flow calculation, for which the prescribed formula did not result in requiring the Company to make an advance principal payment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0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Convertible Debt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Convertible debt consisted of the following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55"/>
        </w:trPr>
        <w:tc>
          <w:tcPr>
            <w:tcW w:w="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Senior unsecured convertible notes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r>
      <w:tr>
        <w:trPr>
          <w:trHeight w:val="252"/>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Less: unamortized discount and issuance costs</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(11,721)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(13,137)</w:t>
            </w:r>
          </w:p>
        </w:tc>
      </w:tr>
      <w:tr>
        <w:trPr>
          <w:trHeight w:val="280"/>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bottom w:val="single" w:sz="8" w:color="CCEEFF"/>
            </w:tcBorders>
            <w:shd w:val="clear" w:color="auto" w:fill="CCEEFF"/>
          </w:tcPr>
          <w:p>
            <w:pPr>
              <w:ind w:left="20"/>
              <w:spacing w:after="0" w:line="254" w:lineRule="exact"/>
              <w:rPr>
                <w:sz w:val="20"/>
                <w:szCs w:val="20"/>
                <w:color w:val="auto"/>
              </w:rPr>
            </w:pPr>
            <w:r>
              <w:rPr>
                <w:rFonts w:ascii="Arial" w:cs="Arial" w:eastAsia="Arial" w:hAnsi="Arial"/>
                <w:sz w:val="20"/>
                <w:szCs w:val="20"/>
                <w:color w:val="auto"/>
              </w:rPr>
              <w:t xml:space="preserve">Senior unsecured convertible notes, net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413,279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22" w:lineRule="auto"/>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Effective interest rate for the Convertible Notes as of September 30, 2022 and December 31, 2021 was 1.5%.</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December 3, 2021 and December 9, 2021, the Company completed a private offering of $375 million and $50 million over allotment, respectively, in aggregate principal amount of 1.00% Convertible Senior Notes due 2028 (the “Convertible Notes”), resulting in proceeds of $364.7 million and $48.6 million, respectively, after deducting the original issue discount of 2.75%. The Convertible Notes were issued pursuant to an indenture, dated December 3, 2021, between the Company and U.S. Bank National Association, as trustee.</w:t>
      </w:r>
    </w:p>
    <w:p>
      <w:pPr>
        <w:spacing w:after="0" w:line="230"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conversion rate for the Notes was initially 41.9054 shares of the Company’s common stock per $1,000 principal amount of Notes, which was equivalent to an initial conversion price of approximately $23.86 per share of common stock or 10.1 million shares of common stock. The Convertible Notes were not convertible during the nine months ended September 30, 2022 and none have been converted to date. Also, given that the average market price of the Company’s common stock has not exceeded the exercise price since inception, there was no dilutive impact for the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$36.0200 per share.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The Capped Calls meet the criteria for equity classification because they are indexed to the Company’s common stock and the Company has discretion to settle the Capped Calls in shares or cash. As a result, the amount paid for the Capped Calls was recorded as a reduction to additional paid-in capital. The Capped Calls are excluded from the calculation of diluted net income (loss) per share attributable to common stockholders as their effect is antidilutive.</w:t>
      </w:r>
    </w:p>
    <w:p>
      <w:pPr>
        <w:spacing w:after="0" w:line="221"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22"/>
          <w:szCs w:val="22"/>
          <w:b w:val="1"/>
          <w:bCs w:val="1"/>
          <w:color w:val="auto"/>
        </w:rPr>
      </w:pPr>
      <w:r>
        <w:rPr>
          <w:rFonts w:ascii="Arial" w:cs="Arial" w:eastAsia="Arial" w:hAnsi="Arial"/>
          <w:sz w:val="20"/>
          <w:szCs w:val="20"/>
          <w:b w:val="1"/>
          <w:bCs w:val="1"/>
          <w:color w:val="auto"/>
        </w:rPr>
        <w:t>Other Debt</w:t>
      </w:r>
    </w:p>
    <w:p>
      <w:pPr>
        <w:spacing w:after="0" w:line="2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STI Acquisition, the Company assumed debt obligations of STI. As of September 30, 2022, related debt balances were $43.3 million in short-term debt and $12.7 million in long-term debt. Interest rates on the acquired debt range from 0.55% to 2.76% annually and maturities for the short-term portion of loans range from December 2022 to March 2023. Maturities for the long-term portion of loans are $4.9 million due in 2024 and $7.8 million due in March 2027.</w:t>
      </w:r>
    </w:p>
    <w:p>
      <w:pPr>
        <w:spacing w:after="0" w:line="20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pursuant to which, on August 11, 2021, the Company issued and sold to certain investors (the “Purchasers”) 350,000 shares of its newly designated Series A Redeemable Perpetual Preferred Stock and 7,098,765 shares of the Company’s common stock for an aggregate purchase price of $346.0 million (the “Initial Closing”). Further, pursuant to the Securities Purchase Agreement, on September 27, 2021, the Company issued and sold to the Purchasers 776,235 shares of common stock for an aggregate purchase price of $776.0 (the “Prepaid Forward Contract”). The Company used net proceeds from the Initial Closing to repay the entire $102.0 million amount outstanding under its existing Revolving Credit Facility and prepay $100.0 million under the Company’s Term Loan Facility. Additionally, the Securities Purchase Agreement entitles the Purchasers to designate one representative to be appointed to the Company’s board of directors (the “Board”) and to appoint three non-voting observers to the Board, in each case until such time as the Purchasers no longer beneficially own shares of the Series A Redeemable Perpetual Preferred Stock with at least $100 million aggregate Liquidation Preference (as defined below). The Series A Redeemable Perpetual Preferred Stock has no maturity date.</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January 7, 2022, the Company issued and sold to the Purchasers 50,000 shares of Series A Redeemable Perpetual Preferred Stock and 1,125,000 shares of the Company’s common stock in an additional closing for an aggregate purchase price of $49.4 million (the “Additional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Securities Purchase Agreement gives the Company the option to require the Purchasers to purchase, in one or more additional closings, up to 150,000 shares of Series A Redeemable Perpetual Preferred Stock until 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$148.0 million (the “Delayed Draw Commitment”). This commitment has been reduced by the Additional Closing.</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evaluated the accounting for the instruments issued in the Securities Purchase Agreement and determined the Series A Redeemable Perpetual Preferred Stock and common stock issued in the Initial Closing, as well as the Prepaid Forward Contract, and Delayed Draw Commitment are freestanding instruments accounted for in equity.</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Series A Redeemable Perpetual Preferred Stock is recorded in temporary equity on the condensed consolidated balance sheets as it has redemption features upon certain triggering events that are outside the Company’s control, such as a fundamental change. The proceeds of the Series A Redeemable Perpetual Preferred Stock, transactions costs and discount of $334.6 million have been allocated to each instrument based on its relative fair value. At the Initial Closing date, $229.8 million was allocated to the Series A Redeemable Perpetual Preferred Stock, $105.4 million to common stock, $12.4 million to the Delayed Draw Commitment, which was recorded as a debit to additional paid-in capital, and $11.7 million to the Prepaid Forward Contract.</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Additional Closing carried issuance and original issuance discount costs of $1.3 million. The net proceeds were allocated amongst the Series A Redeemable Perpetual Preferred Stock and common stock based on the proceeds of $33.1 million and $15.9 million,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Redeemable Perpetual Preferred Stock either in cash at the then-applicable Cash Regular Dividend Rate (as defined below), through accrual to the Liquidation Preference at the Accrued Regular Dividend Rate (as defined below) of 6.25% (the “Permitted Accrued Dividends”) or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Redeemable Perpetual Preferred Stock, will pay 100% of the amount of Default Accrued Dividends by delivering to such holder a number of shares of the Company’s common stock equal to the quotient of (i) the amount of Default Accrued Dividends divided by (ii) 95% of the 30-day VWAP of the Company’s common stock.</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used herein, “Liquidation Preference” means, with respect to any shares of the Series A Redeemable Perpetual Preferred Stock, the initial liquidation preference of $1000 per share plus any accrued dividends of such share as the time of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3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“Cash Regular Dividend Rate” of the Series A Redeemable Perpetual Preferred Stock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Redeemable Perpetual Preferred Stock means 6.25% per annum on the Liquidation Preference.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are no Permitted Accrued Dividends accrued as of September 30, 2022 with dividends paid for the nine months ended September 30, 2022 $18.7 million (the “Q3 Dividend Payment”). Permitted Accrued Dividends resulted in 13 shares of the Series A Redeemable Perpetual Preferred Stock being issued as of September 30, 2022 which were settled with the Q3 Dividend Payment and no longer outstanding. Dividends declared and paid as of December 31, 2021 were $8.2 million.</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shares of Series A Redeemable Perpetual Preferred Stock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Redeemable Perpetual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Redeemable Perpetual Preferred Stock by a corresponding amount. The discount of $120.2 million is therefore being amortized over five years using the effective yield method. The amortization in each period is the amount which, together with the stated dividend in the period, results in a constant rate of effective cost with regard to the carrying amount of the Series A Redeemable Perpetual Preferred Stock.</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presented the Series A Redeemable Perpetual Preferred Stock in temporary equity and is accreting the discount on the increasing rate dividends using the effective interest method. Such accretion totaled $17.2 million for the nine months ended September 30, 2022.</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The Company paid the cash dividend for the three months ended September 30, 2022 of $6.3 million in dividends at a rate of 5.75% as of September 30, 2022.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Until June 30, 2023, the Company will pay the Purchasers a cash commitment premium on the unpurchased portion of Delayed Draw Commitment as follows:</w:t>
      </w:r>
    </w:p>
    <w:p>
      <w:pPr>
        <w:spacing w:after="0" w:line="10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0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Based on ASC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Nine Months Ended</w:t>
            </w:r>
          </w:p>
        </w:tc>
      </w:tr>
      <w:tr>
        <w:trPr>
          <w:trHeight w:val="256"/>
        </w:trPr>
        <w:tc>
          <w:tcPr>
            <w:tcW w:w="39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2"/>
                <w:szCs w:val="22"/>
                <w:color w:val="auto"/>
              </w:rPr>
            </w:pPr>
          </w:p>
        </w:tc>
      </w:tr>
      <w:tr>
        <w:trPr>
          <w:trHeight w:val="259"/>
        </w:trPr>
        <w:tc>
          <w:tcPr>
            <w:tcW w:w="39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2021</w:t>
            </w:r>
          </w:p>
        </w:tc>
      </w:tr>
      <w:tr>
        <w:trPr>
          <w:trHeight w:val="26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458,405</w:t>
            </w: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24242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128,183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991,561</w:t>
            </w: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360,581</w:t>
            </w:r>
          </w:p>
        </w:tc>
      </w:tr>
      <w:tr>
        <w:trPr>
          <w:trHeight w:val="261"/>
        </w:trPr>
        <w:tc>
          <w:tcPr>
            <w:tcW w:w="3920" w:type="dxa"/>
            <w:vAlign w:val="bottom"/>
          </w:tcPr>
          <w:p>
            <w:pPr>
              <w:ind w:left="20"/>
              <w:spacing w:after="0"/>
              <w:rPr>
                <w:sz w:val="20"/>
                <w:szCs w:val="20"/>
                <w:color w:val="auto"/>
              </w:rPr>
            </w:pPr>
            <w:r>
              <w:rPr>
                <w:rFonts w:ascii="Arial" w:cs="Arial" w:eastAsia="Arial" w:hAnsi="Arial"/>
                <w:sz w:val="20"/>
                <w:szCs w:val="20"/>
                <w:color w:val="auto"/>
              </w:rPr>
              <w:t>Point in time revenue</w:t>
            </w:r>
          </w:p>
        </w:tc>
        <w:tc>
          <w:tcPr>
            <w:tcW w:w="40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56,619</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242424"/>
              </w:rPr>
              <w:t>60,503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243,914</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272,861</w:t>
            </w:r>
          </w:p>
        </w:tc>
      </w:tr>
      <w:tr>
        <w:trPr>
          <w:trHeight w:val="23"/>
        </w:trPr>
        <w:tc>
          <w:tcPr>
            <w:tcW w:w="3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515,024</w:t>
            </w: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24242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188,686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1,235,475</w:t>
            </w: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633,442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As discussed in the consolidated financial statements included in the 2021 Annual Report, contracts related to the Company’s federal investment tax credit (“ITC”) were determined to have multiple performance obligations satisfied at a point in time instead of one performance obligation satisfied over time. The disaggregated revenue information above for the nine months ended September 30, 2021 has been restated to correct this error, which resulted in </w:t>
      </w:r>
      <w:r>
        <w:rPr>
          <w:rFonts w:ascii="Arial" w:cs="Arial" w:eastAsia="Arial" w:hAnsi="Arial"/>
          <w:sz w:val="20"/>
          <w:szCs w:val="20"/>
          <w:color w:val="242424"/>
        </w:rPr>
        <w:t>$223.2 million</w:t>
      </w:r>
      <w:r>
        <w:rPr>
          <w:rFonts w:ascii="Arial" w:cs="Arial" w:eastAsia="Arial" w:hAnsi="Arial"/>
          <w:sz w:val="20"/>
          <w:szCs w:val="20"/>
          <w:color w:val="auto"/>
        </w:rPr>
        <w:t xml:space="preserve"> of revenue being reclassified from over-time revenue to point in time revenue for the nine months ended September 30, 2021.</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Revenue recognized for the ITC-related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certain situations, the Company recognizes revenue under a bill-and-hold arrangement with its customers. When this occurs, the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The material is bundled or palletized in the Company’s warehouses, identified separately as belonging to the respective customer and is ready for immediate transport to the customer project upon customer request. Additionally, title and risk of loss has passed to the customer and the Company does not have the ability to use the product or direct it to another customer. As of September 30, 2022, the Company had </w:t>
      </w:r>
      <w:r>
        <w:rPr>
          <w:rFonts w:ascii="Arial" w:cs="Arial" w:eastAsia="Arial" w:hAnsi="Arial"/>
          <w:sz w:val="21"/>
          <w:szCs w:val="21"/>
          <w:color w:val="auto"/>
        </w:rPr>
        <w:t>no</w:t>
      </w:r>
      <w:r>
        <w:rPr>
          <w:rFonts w:ascii="Arial" w:cs="Arial" w:eastAsia="Arial" w:hAnsi="Arial"/>
          <w:sz w:val="20"/>
          <w:szCs w:val="20"/>
          <w:color w:val="auto"/>
        </w:rPr>
        <w:t xml:space="preserve"> contracts with customers for the sale of goods and services that contained bill-and-hold obligations such as storage, handling and other custodial duties for the three and nine months ended September 30, 2022. Any losses incurred on point-in-time projects are recognized as the goods are delivered</w:t>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Contract assets consisting of unbilled receivables are recorded within accounts receivable on the condensed consolidated balance sheets on a contract-by-contract basis at the end of the reporting period and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2022</w:t>
            </w:r>
          </w:p>
        </w:tc>
        <w:tc>
          <w:tcPr>
            <w:tcW w:w="200" w:type="dxa"/>
            <w:vAlign w:val="bottom"/>
          </w:tcPr>
          <w:p>
            <w:pPr>
              <w:spacing w:after="0"/>
              <w:rPr>
                <w:sz w:val="22"/>
                <w:szCs w:val="22"/>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136,953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111,224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8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154,692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99,575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During the nine months ended September 30, 2022, the Company converted $73.1 million in deferred revenue to revenue, which represented 73% of the prior year’s deferred revenue balance.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September 30, 2022, the Company had $386.3 million of remaining performance obligations. The Company expects to recognize revenue on 100% of these performance obligations in the next twelve months.</w:t>
      </w:r>
    </w:p>
    <w:p>
      <w:pPr>
        <w:spacing w:after="0" w:line="19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Income (Loss) Per Share</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gridSpan w:val="4"/>
          </w:tcPr>
          <w:p>
            <w:pPr>
              <w:jc w:val="right"/>
              <w:ind w:right="721"/>
              <w:spacing w:after="0" w:line="204" w:lineRule="exact"/>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4"/>
          </w:tcPr>
          <w:p>
            <w:pPr>
              <w:jc w:val="right"/>
              <w:ind w:right="801"/>
              <w:spacing w:after="0" w:line="204" w:lineRule="exact"/>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w w:val="94"/>
              </w:rPr>
              <w:t>2021</w:t>
            </w:r>
          </w:p>
        </w:tc>
        <w:tc>
          <w:tcPr>
            <w:tcW w:w="0" w:type="dxa"/>
            <w:vAlign w:val="bottom"/>
          </w:tcPr>
          <w:p>
            <w:pPr>
              <w:spacing w:after="0"/>
              <w:rPr>
                <w:sz w:val="1"/>
                <w:szCs w:val="1"/>
                <w:color w:val="auto"/>
              </w:rPr>
            </w:pPr>
          </w:p>
        </w:tc>
      </w:tr>
      <w:tr>
        <w:trPr>
          <w:trHeight w:val="254"/>
        </w:trPr>
        <w:tc>
          <w:tcPr>
            <w:tcW w:w="3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40,822</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(27,561)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13,542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(28,502)</w:t>
            </w:r>
          </w:p>
        </w:tc>
        <w:tc>
          <w:tcPr>
            <w:tcW w:w="0" w:type="dxa"/>
            <w:vAlign w:val="bottom"/>
          </w:tcPr>
          <w:p>
            <w:pPr>
              <w:spacing w:after="0"/>
              <w:rPr>
                <w:sz w:val="1"/>
                <w:szCs w:val="1"/>
                <w:color w:val="auto"/>
              </w:rPr>
            </w:pPr>
          </w:p>
        </w:tc>
      </w:tr>
      <w:tr>
        <w:trPr>
          <w:trHeight w:val="27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36,045</w:t>
            </w: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28,565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(22,503)</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(33,981)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Basic:</w:t>
            </w: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Income (loss) per share</w:t>
            </w: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60" w:type="dxa"/>
            <w:vAlign w:val="bottom"/>
            <w:vMerge w:val="continue"/>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0"/>
                <w:szCs w:val="20"/>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(0.25)</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(0.15)</w:t>
            </w:r>
          </w:p>
        </w:tc>
        <w:tc>
          <w:tcPr>
            <w:tcW w:w="80" w:type="dxa"/>
            <w:vAlign w:val="bottom"/>
          </w:tcPr>
          <w:p>
            <w:pPr>
              <w:spacing w:after="0"/>
              <w:rPr>
                <w:sz w:val="20"/>
                <w:szCs w:val="20"/>
                <w:color w:val="auto"/>
              </w:rPr>
            </w:pPr>
          </w:p>
        </w:tc>
        <w:tc>
          <w:tcPr>
            <w:tcW w:w="660" w:type="dxa"/>
            <w:vAlign w:val="bottom"/>
          </w:tcPr>
          <w:p>
            <w:pPr>
              <w:jc w:val="right"/>
              <w:ind w:right="46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20"/>
                <w:szCs w:val="20"/>
                <w:b w:val="1"/>
                <w:bCs w:val="1"/>
                <w:color w:val="auto"/>
              </w:rPr>
              <w:t>Diluted:</w:t>
            </w: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60" w:type="dxa"/>
            <w:vAlign w:val="bottom"/>
          </w:tcPr>
          <w:p>
            <w:pPr>
              <w:ind w:left="240"/>
              <w:spacing w:after="0"/>
              <w:rPr>
                <w:sz w:val="20"/>
                <w:szCs w:val="20"/>
                <w:color w:val="auto"/>
              </w:rPr>
            </w:pPr>
            <w:r>
              <w:rPr>
                <w:rFonts w:ascii="Arial" w:cs="Arial" w:eastAsia="Arial" w:hAnsi="Arial"/>
                <w:sz w:val="20"/>
                <w:szCs w:val="20"/>
                <w:color w:val="auto"/>
              </w:rPr>
              <w:t>Effect of Restricted Stock and</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240"/>
              <w:spacing w:after="0"/>
              <w:rPr>
                <w:sz w:val="20"/>
                <w:szCs w:val="20"/>
                <w:color w:val="auto"/>
              </w:rPr>
            </w:pPr>
            <w:r>
              <w:rPr>
                <w:rFonts w:ascii="Arial" w:cs="Arial" w:eastAsia="Arial" w:hAnsi="Arial"/>
                <w:sz w:val="20"/>
                <w:szCs w:val="20"/>
                <w:color w:val="auto"/>
              </w:rPr>
              <w:t>Performance Awards</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1,060</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6"/>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151,382</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128,315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Income (loss) per share</w:t>
            </w: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860" w:type="dxa"/>
            <w:vAlign w:val="bottom"/>
            <w:vMerge w:val="continue"/>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0"/>
                <w:szCs w:val="20"/>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(0.25)</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(0.15)</w:t>
            </w:r>
          </w:p>
        </w:tc>
        <w:tc>
          <w:tcPr>
            <w:tcW w:w="80" w:type="dxa"/>
            <w:vAlign w:val="bottom"/>
          </w:tcPr>
          <w:p>
            <w:pPr>
              <w:spacing w:after="0"/>
              <w:rPr>
                <w:sz w:val="20"/>
                <w:szCs w:val="20"/>
                <w:color w:val="auto"/>
              </w:rPr>
            </w:pPr>
          </w:p>
        </w:tc>
        <w:tc>
          <w:tcPr>
            <w:tcW w:w="660" w:type="dxa"/>
            <w:vAlign w:val="bottom"/>
          </w:tcPr>
          <w:p>
            <w:pPr>
              <w:jc w:val="right"/>
              <w:ind w:right="46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Potentially dilutive common shares issuance pursuant to equity-based awards of 108,111 were not included as their effect was anti-dilutive for the three months ended September 30, 2022. Potentially dilutive common shares issuable pursuant to equity-based awards of 2,504,046 and 1,203,520 were not included for the nine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months ended September 30, 2022 and 2021, respectively, and 1,203,520 for the three months ended September 30, 2021, as their potential effect was anti-dilutive since the Company generated a net loss to common stock holders. There were no potentially dilutive common shares issuable pursuant to the Convertible Notes, as the stock price is below the strike price.</w:t>
      </w:r>
    </w:p>
    <w:p>
      <w:pPr>
        <w:spacing w:after="0" w:line="20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On August 30, 2017, the Company filed its first amended complaint in the U.S. District Court for the District of New Mexico against </w:t>
      </w:r>
      <w:r>
        <w:rPr>
          <w:rFonts w:ascii="Arial" w:cs="Arial" w:eastAsia="Arial" w:hAnsi="Arial"/>
          <w:sz w:val="20"/>
          <w:szCs w:val="20"/>
          <w:color w:val="0A0A0A"/>
        </w:rPr>
        <w:t>Nextracker LLC, Daniel S. Shugar, Marco Garcia, Flextronics International U.S.A., Inc., Scott Graybeal and Colin</w:t>
      </w:r>
      <w:r>
        <w:rPr>
          <w:rFonts w:ascii="Arial" w:cs="Arial" w:eastAsia="Arial" w:hAnsi="Arial"/>
          <w:sz w:val="20"/>
          <w:szCs w:val="20"/>
          <w:color w:val="auto"/>
        </w:rPr>
        <w:t xml:space="preserve"> </w:t>
      </w:r>
      <w:r>
        <w:rPr>
          <w:rFonts w:ascii="Arial" w:cs="Arial" w:eastAsia="Arial" w:hAnsi="Arial"/>
          <w:sz w:val="20"/>
          <w:szCs w:val="20"/>
          <w:color w:val="0A0A0A"/>
        </w:rPr>
        <w:t xml:space="preserve">Mitchell </w:t>
      </w:r>
      <w:r>
        <w:rPr>
          <w:rFonts w:ascii="Arial" w:cs="Arial" w:eastAsia="Arial" w:hAnsi="Arial"/>
          <w:sz w:val="20"/>
          <w:szCs w:val="20"/>
          <w:color w:val="000000"/>
        </w:rPr>
        <w:t>(collectively, the “Defendants”) asserting (among other claims) trade secret misappropriation, tortious interference with</w:t>
      </w:r>
      <w:r>
        <w:rPr>
          <w:rFonts w:ascii="Arial" w:cs="Arial" w:eastAsia="Arial" w:hAnsi="Arial"/>
          <w:sz w:val="20"/>
          <w:szCs w:val="20"/>
          <w:color w:val="0A0A0A"/>
        </w:rPr>
        <w:t xml:space="preserve"> </w:t>
      </w:r>
      <w:r>
        <w:rPr>
          <w:rFonts w:ascii="Arial" w:cs="Arial" w:eastAsia="Arial" w:hAnsi="Arial"/>
          <w:sz w:val="20"/>
          <w:szCs w:val="20"/>
          <w:color w:val="000000"/>
        </w:rPr>
        <w:t>contract, fraud, and breach of contract (the “Nextracker Litigation”). On July 15, 2022, the Company settled its claims against Defendants for $42.8 million and received payment on August 4, 2022.</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17, 2022, the Court in the Plymouth Action set a briefing schedule for any motion to dismiss with the opening motion and supporting memorandum to be filed on or before October 17, 2022, any opposition to be filed on or before December 16, 2022, and any reply in support of the motion to be filed on or before January 16, 2023. The Company and other defendants in the Plymouth Action filed a joint motion to dismiss the Consolidated Amended Complaint on October 17, 2022.</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(“Second Delaware Derivative Action”).</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Amended Complaint in the Plymouth Action, (b) to the extent the Consolidated Amended Complaint in the Plymouth Action is further amended, the entry of an order on any motions to dismiss any such amended complaints in the Plymouth Action, or (c) the public announcement of a settlement of the Plymouth Action.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defenses. The Company has not recorded any material loss contingency in the condensed consolidated balance sheets as of September 30, 2022 or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Array Tech,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contingent consideration in the condensed consolidated statements of operations. As of September 30, 2022 and December 31, 2021, the fair value of the TRA was $7.1 million and $14.6 million, respectively.</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TRA (in thousands):</w:t>
      </w:r>
    </w:p>
    <w:tbl>
      <w:tblPr>
        <w:tblLayout w:type="fixed"/>
        <w:tblInd w:w="0" w:type="dxa"/>
        <w:tblCellMar>
          <w:top w:w="0" w:type="dxa"/>
          <w:left w:w="0" w:type="dxa"/>
          <w:bottom w:w="0" w:type="dxa"/>
          <w:right w:w="0" w:type="dxa"/>
        </w:tblCellMar>
      </w:tblPr>
      <w:tr>
        <w:trPr>
          <w:trHeight w:val="219"/>
        </w:trPr>
        <w:tc>
          <w:tcPr>
            <w:tcW w:w="3920" w:type="dxa"/>
            <w:vAlign w:val="bottom"/>
          </w:tcPr>
          <w:p>
            <w:pPr>
              <w:spacing w:after="0"/>
              <w:rPr>
                <w:sz w:val="19"/>
                <w:szCs w:val="19"/>
                <w:color w:val="auto"/>
              </w:rPr>
            </w:pPr>
          </w:p>
        </w:tc>
        <w:tc>
          <w:tcPr>
            <w:tcW w:w="3700" w:type="dxa"/>
            <w:vAlign w:val="bottom"/>
            <w:gridSpan w:val="6"/>
          </w:tcPr>
          <w:p>
            <w:pPr>
              <w:ind w:left="840"/>
              <w:spacing w:after="0" w:line="219" w:lineRule="exact"/>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4"/>
          </w:tcPr>
          <w:p>
            <w:pPr>
              <w:jc w:val="right"/>
              <w:ind w:right="781"/>
              <w:spacing w:after="0" w:line="219" w:lineRule="exact"/>
              <w:rPr>
                <w:sz w:val="20"/>
                <w:szCs w:val="20"/>
                <w:color w:val="auto"/>
              </w:rPr>
            </w:pPr>
            <w:r>
              <w:rPr>
                <w:rFonts w:ascii="Arial" w:cs="Arial" w:eastAsia="Arial" w:hAnsi="Arial"/>
                <w:sz w:val="20"/>
                <w:szCs w:val="20"/>
                <w:b w:val="1"/>
                <w:bCs w:val="1"/>
                <w:color w:val="auto"/>
              </w:rPr>
              <w:t>Nine Months Ended</w:t>
            </w:r>
          </w:p>
        </w:tc>
      </w:tr>
      <w:tr>
        <w:trPr>
          <w:trHeight w:val="257"/>
        </w:trPr>
        <w:tc>
          <w:tcPr>
            <w:tcW w:w="39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w w:val="97"/>
              </w:rPr>
              <w:t>September 30,</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2"/>
                <w:szCs w:val="22"/>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2021</w:t>
            </w:r>
          </w:p>
        </w:tc>
      </w:tr>
      <w:tr>
        <w:trPr>
          <w:trHeight w:val="277"/>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120" w:type="dxa"/>
            <w:vAlign w:val="bottom"/>
            <w:shd w:val="clear" w:color="auto" w:fill="CCEEFF"/>
          </w:tcPr>
          <w:p>
            <w:pPr>
              <w:jc w:val="right"/>
              <w:ind w:right="901"/>
              <w:spacing w:after="0"/>
              <w:rPr>
                <w:sz w:val="20"/>
                <w:szCs w:val="20"/>
                <w:color w:val="auto"/>
              </w:rPr>
            </w:pPr>
            <w:r>
              <w:rPr>
                <w:rFonts w:ascii="Arial" w:cs="Arial" w:eastAsia="Arial" w:hAnsi="Arial"/>
                <w:sz w:val="20"/>
                <w:szCs w:val="20"/>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7,686</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12,016</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14,577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r>
      <w:tr>
        <w:trPr>
          <w:trHeight w:val="279"/>
        </w:trPr>
        <w:tc>
          <w:tcPr>
            <w:tcW w:w="39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1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(1,483)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(7,810)</w:t>
            </w:r>
          </w:p>
        </w:tc>
      </w:tr>
      <w:tr>
        <w:trPr>
          <w:trHeight w:val="283"/>
        </w:trPr>
        <w:tc>
          <w:tcPr>
            <w:tcW w:w="39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(573)</w:t>
            </w:r>
          </w:p>
        </w:tc>
        <w:tc>
          <w:tcPr>
            <w:tcW w:w="8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8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1,071</w:t>
            </w:r>
          </w:p>
        </w:tc>
      </w:tr>
      <w:tr>
        <w:trPr>
          <w:trHeight w:val="282"/>
        </w:trPr>
        <w:tc>
          <w:tcPr>
            <w:tcW w:w="392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12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7,113</w:t>
            </w:r>
          </w:p>
        </w:tc>
        <w:tc>
          <w:tcPr>
            <w:tcW w:w="7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12,952</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7,113</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12,952</w:t>
            </w:r>
          </w:p>
        </w:tc>
      </w:tr>
      <w:tr>
        <w:trPr>
          <w:trHeight w:val="20"/>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30, 2022, the Company posted surety bonds in the total amount of approximately $175.2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20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were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540" w:type="dxa"/>
            <w:vAlign w:val="bottom"/>
            <w:gridSpan w:val="5"/>
          </w:tcPr>
          <w:p>
            <w:pPr>
              <w:ind w:left="740"/>
              <w:spacing w:after="0"/>
              <w:rPr>
                <w:sz w:val="20"/>
                <w:szCs w:val="20"/>
                <w:color w:val="auto"/>
              </w:rPr>
            </w:pPr>
            <w:r>
              <w:rPr>
                <w:rFonts w:ascii="Arial" w:cs="Arial" w:eastAsia="Arial" w:hAnsi="Arial"/>
                <w:sz w:val="20"/>
                <w:szCs w:val="20"/>
                <w:b w:val="1"/>
                <w:bCs w:val="1"/>
                <w:color w:val="auto"/>
              </w:rPr>
              <w:t>September 30, 2022</w:t>
            </w:r>
          </w:p>
        </w:tc>
        <w:tc>
          <w:tcPr>
            <w:tcW w:w="160" w:type="dxa"/>
            <w:vAlign w:val="bottom"/>
          </w:tcPr>
          <w:p>
            <w:pPr>
              <w:spacing w:after="0"/>
              <w:rPr>
                <w:sz w:val="22"/>
                <w:szCs w:val="22"/>
                <w:color w:val="auto"/>
              </w:rPr>
            </w:pPr>
          </w:p>
        </w:tc>
        <w:tc>
          <w:tcPr>
            <w:tcW w:w="3480" w:type="dxa"/>
            <w:vAlign w:val="bottom"/>
            <w:gridSpan w:val="4"/>
          </w:tcPr>
          <w:p>
            <w:pPr>
              <w:jc w:val="right"/>
              <w:ind w:right="82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80" w:type="dxa"/>
            <w:vAlign w:val="bottom"/>
          </w:tcPr>
          <w:p>
            <w:pPr>
              <w:spacing w:after="0"/>
              <w:rPr>
                <w:sz w:val="21"/>
                <w:szCs w:val="21"/>
                <w:color w:val="auto"/>
              </w:rPr>
            </w:pPr>
          </w:p>
        </w:tc>
        <w:tc>
          <w:tcPr>
            <w:tcW w:w="1480" w:type="dxa"/>
            <w:vAlign w:val="bottom"/>
          </w:tcPr>
          <w:p>
            <w:pPr>
              <w:jc w:val="right"/>
              <w:ind w:right="301"/>
              <w:spacing w:after="0"/>
              <w:rPr>
                <w:sz w:val="20"/>
                <w:szCs w:val="20"/>
                <w:color w:val="auto"/>
              </w:rPr>
            </w:pPr>
            <w:r>
              <w:rPr>
                <w:rFonts w:ascii="Arial" w:cs="Arial" w:eastAsia="Arial" w:hAnsi="Arial"/>
                <w:sz w:val="20"/>
                <w:szCs w:val="20"/>
                <w:b w:val="1"/>
                <w:bCs w:val="1"/>
                <w:color w:val="auto"/>
              </w:rPr>
              <w:t>Fair Value</w:t>
            </w:r>
          </w:p>
        </w:tc>
        <w:tc>
          <w:tcPr>
            <w:tcW w:w="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80" w:type="dxa"/>
            <w:vAlign w:val="bottom"/>
          </w:tcPr>
          <w:p>
            <w:pPr>
              <w:spacing w:after="0"/>
              <w:rPr>
                <w:sz w:val="21"/>
                <w:szCs w:val="21"/>
                <w:color w:val="auto"/>
              </w:rPr>
            </w:pPr>
          </w:p>
        </w:tc>
        <w:tc>
          <w:tcPr>
            <w:tcW w:w="1500" w:type="dxa"/>
            <w:vAlign w:val="bottom"/>
          </w:tcPr>
          <w:p>
            <w:pPr>
              <w:jc w:val="right"/>
              <w:ind w:right="321"/>
              <w:spacing w:after="0"/>
              <w:rPr>
                <w:sz w:val="20"/>
                <w:szCs w:val="20"/>
                <w:color w:val="auto"/>
              </w:rPr>
            </w:pPr>
            <w:r>
              <w:rPr>
                <w:rFonts w:ascii="Arial" w:cs="Arial" w:eastAsia="Arial" w:hAnsi="Arial"/>
                <w:sz w:val="20"/>
                <w:szCs w:val="20"/>
                <w:b w:val="1"/>
                <w:bCs w:val="1"/>
                <w:color w:val="auto"/>
              </w:rPr>
              <w:t>Fair Value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413,279</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381,625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410,771</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carrying values of the Revolving Credit Facility recorded in long-term debt on the condensed consolidated balance sheets approximate fair value due to the variable interest rate. The fair value of the Convertible Notes is estimated using Level 2 inputs, as they are not registered securities nor listed on any securities exchange but may be traded by qualified institutional buyers.</w:t>
      </w:r>
    </w:p>
    <w:p>
      <w:pPr>
        <w:spacing w:after="0" w:line="20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Plan</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During the nine months ended September 30, 2022, the Company granted an aggregate of 1,433,829 restricted stock units (“RSUs”) to employees and board of director members and 466,916 performance stock units (“PSUs”) to certain executives. The fair value of the RSUs is determined using the market value of common stock on the grant date.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with a volatility assumption of 66% - 79%, risk free interest rate of 0.28% - 2.79% based on the United States Treasury Constant Maturity rates and no dividends paid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Activity under the 2020 Plan was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September 30, 2022</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September 30, 2022</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Units and Class C Units of Former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59"/>
        </w:trPr>
        <w:tc>
          <w:tcPr>
            <w:tcW w:w="1980" w:type="dxa"/>
            <w:vAlign w:val="bottom"/>
          </w:tcPr>
          <w:p>
            <w:pPr>
              <w:jc w:val="right"/>
              <w:spacing w:after="0"/>
              <w:rPr>
                <w:sz w:val="20"/>
                <w:szCs w:val="20"/>
                <w:color w:val="auto"/>
              </w:rPr>
            </w:pPr>
            <w:r>
              <w:rPr>
                <w:rFonts w:ascii="Arial" w:cs="Arial" w:eastAsia="Arial" w:hAnsi="Arial"/>
                <w:sz w:val="20"/>
                <w:szCs w:val="20"/>
                <w:color w:val="auto"/>
              </w:rPr>
              <w:t>930,409</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21.66</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1,433,829</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10.16</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(278,792)</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18.68</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(127,325)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18.50</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880" w:type="dxa"/>
            <w:vAlign w:val="bottom"/>
            <w:vMerge w:val="restart"/>
          </w:tcPr>
          <w:p>
            <w:pPr>
              <w:jc w:val="right"/>
              <w:spacing w:after="0"/>
              <w:rPr>
                <w:sz w:val="20"/>
                <w:szCs w:val="20"/>
                <w:color w:val="auto"/>
              </w:rPr>
            </w:pPr>
            <w:r>
              <w:rPr>
                <w:rFonts w:ascii="Arial" w:cs="Arial" w:eastAsia="Arial" w:hAnsi="Arial"/>
                <w:sz w:val="20"/>
                <w:szCs w:val="20"/>
                <w:color w:val="auto"/>
              </w:rPr>
              <w:t>13.97</w:t>
            </w:r>
          </w:p>
        </w:tc>
        <w:tc>
          <w:tcPr>
            <w:tcW w:w="0" w:type="dxa"/>
            <w:vAlign w:val="bottom"/>
          </w:tcPr>
          <w:p>
            <w:pPr>
              <w:spacing w:after="0"/>
              <w:rPr>
                <w:sz w:val="1"/>
                <w:szCs w:val="1"/>
                <w:color w:val="auto"/>
              </w:rPr>
            </w:pPr>
          </w:p>
        </w:tc>
      </w:tr>
      <w:tr>
        <w:trPr>
          <w:trHeight w:val="254"/>
        </w:trPr>
        <w:tc>
          <w:tcPr>
            <w:tcW w:w="1980" w:type="dxa"/>
            <w:vAlign w:val="bottom"/>
          </w:tcPr>
          <w:p>
            <w:pPr>
              <w:jc w:val="right"/>
              <w:spacing w:after="0"/>
              <w:rPr>
                <w:sz w:val="20"/>
                <w:szCs w:val="20"/>
                <w:color w:val="auto"/>
              </w:rPr>
            </w:pPr>
            <w:r>
              <w:rPr>
                <w:rFonts w:ascii="Arial" w:cs="Arial" w:eastAsia="Arial" w:hAnsi="Arial"/>
                <w:sz w:val="20"/>
                <w:szCs w:val="20"/>
                <w:color w:val="auto"/>
              </w:rPr>
              <w:t>1,958,121</w:t>
            </w:r>
          </w:p>
        </w:tc>
        <w:tc>
          <w:tcPr>
            <w:tcW w:w="200" w:type="dxa"/>
            <w:vAlign w:val="bottom"/>
            <w:gridSpan w:val="2"/>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59"/>
        </w:trPr>
        <w:tc>
          <w:tcPr>
            <w:tcW w:w="1980" w:type="dxa"/>
            <w:vAlign w:val="bottom"/>
          </w:tcPr>
          <w:p>
            <w:pPr>
              <w:jc w:val="right"/>
              <w:spacing w:after="0"/>
              <w:rPr>
                <w:sz w:val="20"/>
                <w:szCs w:val="20"/>
                <w:color w:val="auto"/>
              </w:rPr>
            </w:pPr>
            <w:r>
              <w:rPr>
                <w:rFonts w:ascii="Arial" w:cs="Arial" w:eastAsia="Arial" w:hAnsi="Arial"/>
                <w:sz w:val="20"/>
                <w:szCs w:val="20"/>
                <w:color w:val="auto"/>
              </w:rPr>
              <w:t>147,687</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27.75</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466,916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(68,678)</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880" w:type="dxa"/>
            <w:vAlign w:val="bottom"/>
            <w:vMerge w:val="restart"/>
          </w:tcPr>
          <w:p>
            <w:pPr>
              <w:jc w:val="right"/>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54"/>
        </w:trPr>
        <w:tc>
          <w:tcPr>
            <w:tcW w:w="1980" w:type="dxa"/>
            <w:vAlign w:val="bottom"/>
          </w:tcPr>
          <w:p>
            <w:pPr>
              <w:jc w:val="right"/>
              <w:spacing w:after="0"/>
              <w:rPr>
                <w:sz w:val="20"/>
                <w:szCs w:val="20"/>
                <w:color w:val="auto"/>
              </w:rPr>
            </w:pPr>
            <w:r>
              <w:rPr>
                <w:rFonts w:ascii="Arial" w:cs="Arial" w:eastAsia="Arial" w:hAnsi="Arial"/>
                <w:sz w:val="20"/>
                <w:szCs w:val="20"/>
                <w:color w:val="auto"/>
              </w:rPr>
              <w:t>545,925</w:t>
            </w:r>
          </w:p>
        </w:tc>
        <w:tc>
          <w:tcPr>
            <w:tcW w:w="200" w:type="dxa"/>
            <w:vAlign w:val="bottom"/>
            <w:gridSpan w:val="2"/>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8" w:lineRule="exact"/>
        <w:rPr>
          <w:sz w:val="20"/>
          <w:szCs w:val="20"/>
          <w:color w:val="auto"/>
        </w:rPr>
      </w:pPr>
    </w:p>
    <w:p>
      <w:pPr>
        <w:sectPr>
          <w:pgSz w:w="11900" w:h="16838" w:orient="portrait"/>
          <w:cols w:equalWidth="0" w:num="2">
            <w:col w:w="6460" w:space="720"/>
            <w:col w:w="4060"/>
          </w:cols>
          <w:pgMar w:left="320" w:top="1440" w:right="339" w:bottom="1440" w:gutter="0" w:footer="0" w:header="0"/>
        </w:sectPr>
      </w:pPr>
    </w:p>
    <w:p>
      <w:pPr>
        <w:jc w:val="both"/>
        <w:spacing w:after="0" w:line="259" w:lineRule="auto"/>
        <w:rPr>
          <w:sz w:val="20"/>
          <w:szCs w:val="20"/>
          <w:color w:val="auto"/>
        </w:rPr>
      </w:pPr>
      <w:r>
        <w:rPr>
          <w:rFonts w:ascii="Arial" w:cs="Arial" w:eastAsia="Arial" w:hAnsi="Arial"/>
          <w:sz w:val="20"/>
          <w:szCs w:val="20"/>
          <w:color w:val="auto"/>
        </w:rPr>
        <w:t xml:space="preserve">The Company accounted for equity grants to employees of Class B Units and Class C Units (collectively,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 Company accelerating the recognition of equity-based compensation of $8.9 million for the nine months ended September 30, 2021.</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three months ended September 30, 2022 and 2021, the Company recognized $4.2 million and $2.2 million in equity-based compensation, respectively. For the nine months ended September 30, 2022 and 2021, the Company recognized $11.7 million and $14.3 million in equity-based compensation, respectively. As of September 30, 2022, the Company had $23.0 million of unrecognized compensation costs related to RSUs and PSUs which is expected to be recognized over a period of 2 years. There were 76,936 and 196,003 forfeitures during the three and nine months ended September 30, 2022 and 18,772 and 79,277 forfeitures during the three and nine months ended September 30, 2021, respectively.</w:t>
      </w:r>
    </w:p>
    <w:p>
      <w:pPr>
        <w:spacing w:after="0" w:line="20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Payable-Related Party</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had $0.5 million and $0.6 million as of September 30, 2022 and December 31, 2021, respectively, of accounts payable-related party with the former shareholders of Array. The payables relate to a federal tax refund related to the pre-acquisition periods and restricted cash related to Former Parent’s acquisition of the Company which were due to the sellers of Array upon release of the restriction offset by a receivable related to a sales/use tax audit from the pre-acquisition period for which the seller provided the Company with indemnification.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16 – Commitments and Contingencies</w:t>
      </w:r>
      <w:r>
        <w:rPr>
          <w:rFonts w:ascii="Arial" w:cs="Arial" w:eastAsia="Arial" w:hAnsi="Arial"/>
          <w:sz w:val="20"/>
          <w:szCs w:val="20"/>
          <w:color w:val="auto"/>
        </w:rPr>
        <w:t xml:space="preserve"> – Tax Receivable Agreement.</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9"/>
          <w:szCs w:val="19"/>
          <w:b w:val="1"/>
          <w:bCs w:val="1"/>
          <w:color w:val="auto"/>
        </w:rPr>
        <w:t>Segment Reporting</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During the nine months ended September 30, 2022, the Company changed its reportable segments as a result of the STI Acquisition; the Company now operates as two segments; Array Legacy Operations and STI Operations.</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following table provides a reconciliation of certain financial information for the Company’s reportable segments to information presented in its condensed consolidated financial statements for the three and nine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months ended September 30, 2022 and 2021 and as of September 30, 2022 and December 31,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80" w:type="dxa"/>
            <w:vAlign w:val="bottom"/>
            <w:gridSpan w:val="8"/>
            <w:vMerge w:val="restart"/>
          </w:tcPr>
          <w:p>
            <w:pPr>
              <w:jc w:val="center"/>
              <w:ind w:right="101"/>
              <w:spacing w:after="0"/>
              <w:rPr>
                <w:sz w:val="20"/>
                <w:szCs w:val="20"/>
                <w:color w:val="auto"/>
              </w:rPr>
            </w:pPr>
            <w:r>
              <w:rPr>
                <w:rFonts w:ascii="Arial" w:cs="Arial" w:eastAsia="Arial" w:hAnsi="Arial"/>
                <w:sz w:val="20"/>
                <w:szCs w:val="20"/>
                <w:b w:val="1"/>
                <w:bCs w:val="1"/>
                <w:color w:val="auto"/>
                <w:w w:val="98"/>
              </w:rPr>
              <w:t>Three Months Ended September 30, 2022</w:t>
            </w:r>
          </w:p>
        </w:tc>
        <w:tc>
          <w:tcPr>
            <w:tcW w:w="80" w:type="dxa"/>
            <w:vAlign w:val="bottom"/>
            <w:vMerge w:val="restart"/>
          </w:tcPr>
          <w:p>
            <w:pPr>
              <w:spacing w:after="0"/>
              <w:rPr>
                <w:sz w:val="19"/>
                <w:szCs w:val="19"/>
                <w:color w:val="auto"/>
              </w:rPr>
            </w:pPr>
          </w:p>
        </w:tc>
        <w:tc>
          <w:tcPr>
            <w:tcW w:w="3100" w:type="dxa"/>
            <w:vAlign w:val="bottom"/>
            <w:gridSpan w:val="2"/>
          </w:tcPr>
          <w:p>
            <w:pPr>
              <w:ind w:left="40"/>
              <w:spacing w:after="0"/>
              <w:rPr>
                <w:sz w:val="20"/>
                <w:szCs w:val="20"/>
                <w:color w:val="auto"/>
              </w:rPr>
            </w:pPr>
            <w:r>
              <w:rPr>
                <w:rFonts w:ascii="Arial" w:cs="Arial" w:eastAsia="Arial" w:hAnsi="Arial"/>
                <w:sz w:val="20"/>
                <w:szCs w:val="20"/>
                <w:b w:val="1"/>
                <w:bCs w:val="1"/>
                <w:color w:val="auto"/>
                <w:w w:val="99"/>
              </w:rPr>
              <w:t>Three Months Ended September</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gridSpan w:val="8"/>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b w:val="1"/>
                <w:bCs w:val="1"/>
                <w:color w:val="auto"/>
              </w:rPr>
              <w:t>30, 2021</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300"/>
              <w:spacing w:after="0" w:line="183" w:lineRule="exact"/>
              <w:rPr>
                <w:sz w:val="20"/>
                <w:szCs w:val="20"/>
                <w:color w:val="auto"/>
              </w:rPr>
            </w:pPr>
            <w:r>
              <w:rPr>
                <w:rFonts w:ascii="Arial" w:cs="Arial" w:eastAsia="Arial" w:hAnsi="Arial"/>
                <w:sz w:val="20"/>
                <w:szCs w:val="20"/>
                <w:b w:val="1"/>
                <w:bCs w:val="1"/>
                <w:color w:val="auto"/>
                <w:w w:val="97"/>
              </w:rPr>
              <w:t>Array Legacy</w:t>
            </w:r>
          </w:p>
        </w:tc>
        <w:tc>
          <w:tcPr>
            <w:tcW w:w="180" w:type="dxa"/>
            <w:vAlign w:val="bottom"/>
          </w:tcPr>
          <w:p>
            <w:pPr>
              <w:spacing w:after="0"/>
              <w:rPr>
                <w:sz w:val="15"/>
                <w:szCs w:val="15"/>
                <w:color w:val="auto"/>
              </w:rPr>
            </w:pPr>
          </w:p>
        </w:tc>
        <w:tc>
          <w:tcPr>
            <w:tcW w:w="1800" w:type="dxa"/>
            <w:vAlign w:val="bottom"/>
            <w:gridSpan w:val="3"/>
            <w:vMerge w:val="restart"/>
          </w:tcPr>
          <w:p>
            <w:pPr>
              <w:jc w:val="center"/>
              <w:ind w:right="280"/>
              <w:spacing w:after="0"/>
              <w:rPr>
                <w:sz w:val="20"/>
                <w:szCs w:val="20"/>
                <w:color w:val="auto"/>
              </w:rPr>
            </w:pPr>
            <w:r>
              <w:rPr>
                <w:rFonts w:ascii="Arial" w:cs="Arial" w:eastAsia="Arial" w:hAnsi="Arial"/>
                <w:sz w:val="20"/>
                <w:szCs w:val="20"/>
                <w:b w:val="1"/>
                <w:bCs w:val="1"/>
                <w:color w:val="auto"/>
                <w:w w:val="98"/>
              </w:rPr>
              <w:t>STI Operations</w:t>
            </w:r>
          </w:p>
        </w:tc>
        <w:tc>
          <w:tcPr>
            <w:tcW w:w="400" w:type="dxa"/>
            <w:vAlign w:val="bottom"/>
          </w:tcPr>
          <w:p>
            <w:pPr>
              <w:spacing w:after="0"/>
              <w:rPr>
                <w:sz w:val="15"/>
                <w:szCs w:val="15"/>
                <w:color w:val="auto"/>
              </w:rPr>
            </w:pPr>
          </w:p>
        </w:tc>
        <w:tc>
          <w:tcPr>
            <w:tcW w:w="1540" w:type="dxa"/>
            <w:vAlign w:val="bottom"/>
            <w:gridSpan w:val="2"/>
            <w:vMerge w:val="restart"/>
          </w:tcPr>
          <w:p>
            <w:pPr>
              <w:ind w:left="300"/>
              <w:spacing w:after="0"/>
              <w:rPr>
                <w:sz w:val="20"/>
                <w:szCs w:val="20"/>
                <w:color w:val="auto"/>
              </w:rPr>
            </w:pPr>
            <w:r>
              <w:rPr>
                <w:rFonts w:ascii="Arial" w:cs="Arial" w:eastAsia="Arial" w:hAnsi="Arial"/>
                <w:sz w:val="20"/>
                <w:szCs w:val="20"/>
                <w:b w:val="1"/>
                <w:bCs w:val="1"/>
                <w:color w:val="auto"/>
              </w:rPr>
              <w:t>Total</w:t>
            </w:r>
          </w:p>
        </w:tc>
        <w:tc>
          <w:tcPr>
            <w:tcW w:w="260" w:type="dxa"/>
            <w:vAlign w:val="bottom"/>
          </w:tcPr>
          <w:p>
            <w:pPr>
              <w:spacing w:after="0"/>
              <w:rPr>
                <w:sz w:val="15"/>
                <w:szCs w:val="15"/>
                <w:color w:val="auto"/>
              </w:rPr>
            </w:pPr>
          </w:p>
        </w:tc>
        <w:tc>
          <w:tcPr>
            <w:tcW w:w="2840" w:type="dxa"/>
            <w:vAlign w:val="bottom"/>
            <w:vMerge w:val="restart"/>
          </w:tcPr>
          <w:p>
            <w:pPr>
              <w:jc w:val="center"/>
              <w:ind w:right="141"/>
              <w:spacing w:after="0"/>
              <w:rPr>
                <w:sz w:val="20"/>
                <w:szCs w:val="20"/>
                <w:color w:val="auto"/>
              </w:rPr>
            </w:pPr>
            <w:r>
              <w:rPr>
                <w:rFonts w:ascii="Arial" w:cs="Arial" w:eastAsia="Arial" w:hAnsi="Arial"/>
                <w:sz w:val="20"/>
                <w:szCs w:val="20"/>
                <w:b w:val="1"/>
                <w:bCs w:val="1"/>
                <w:color w:val="auto"/>
                <w:w w:val="99"/>
              </w:rPr>
              <w:t>Array Legacy Operations</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8"/>
              </w:rPr>
              <w:t>Operations</w:t>
            </w:r>
          </w:p>
        </w:tc>
        <w:tc>
          <w:tcPr>
            <w:tcW w:w="180" w:type="dxa"/>
            <w:vAlign w:val="bottom"/>
          </w:tcPr>
          <w:p>
            <w:pPr>
              <w:spacing w:after="0"/>
              <w:rPr>
                <w:sz w:val="22"/>
                <w:szCs w:val="22"/>
                <w:color w:val="auto"/>
              </w:rPr>
            </w:pPr>
          </w:p>
        </w:tc>
        <w:tc>
          <w:tcPr>
            <w:tcW w:w="1800" w:type="dxa"/>
            <w:vAlign w:val="bottom"/>
            <w:gridSpan w:val="3"/>
            <w:vMerge w:val="continue"/>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400,463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114,561</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188,686</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63,921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16,302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80,223</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2840" w:type="dxa"/>
            <w:vAlign w:val="bottom"/>
          </w:tcPr>
          <w:p>
            <w:pPr>
              <w:jc w:val="right"/>
              <w:spacing w:after="0"/>
              <w:rPr>
                <w:sz w:val="20"/>
                <w:szCs w:val="20"/>
                <w:color w:val="auto"/>
              </w:rPr>
            </w:pPr>
            <w:r>
              <w:rPr>
                <w:rFonts w:ascii="Arial" w:cs="Arial" w:eastAsia="Arial" w:hAnsi="Arial"/>
                <w:sz w:val="20"/>
                <w:szCs w:val="20"/>
                <w:color w:val="auto"/>
              </w:rPr>
              <w:t>5,897</w:t>
            </w:r>
          </w:p>
        </w:tc>
        <w:tc>
          <w:tcPr>
            <w:tcW w:w="0" w:type="dxa"/>
            <w:vAlign w:val="bottom"/>
          </w:tcPr>
          <w:p>
            <w:pPr>
              <w:spacing w:after="0"/>
              <w:rPr>
                <w:sz w:val="1"/>
                <w:szCs w:val="1"/>
                <w:color w:val="auto"/>
              </w:rPr>
            </w:pPr>
          </w:p>
        </w:tc>
      </w:tr>
      <w:tr>
        <w:trPr>
          <w:trHeight w:val="563"/>
        </w:trPr>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gridSpan w:val="8"/>
            <w:vMerge w:val="restart"/>
          </w:tcPr>
          <w:p>
            <w:pPr>
              <w:jc w:val="center"/>
              <w:ind w:right="101"/>
              <w:spacing w:after="0"/>
              <w:rPr>
                <w:sz w:val="20"/>
                <w:szCs w:val="20"/>
                <w:color w:val="auto"/>
              </w:rPr>
            </w:pPr>
            <w:r>
              <w:rPr>
                <w:rFonts w:ascii="Arial" w:cs="Arial" w:eastAsia="Arial" w:hAnsi="Arial"/>
                <w:sz w:val="20"/>
                <w:szCs w:val="20"/>
                <w:b w:val="1"/>
                <w:bCs w:val="1"/>
                <w:color w:val="auto"/>
                <w:w w:val="98"/>
              </w:rPr>
              <w:t>Nine Months Ended September 30, 2022</w:t>
            </w:r>
          </w:p>
        </w:tc>
        <w:tc>
          <w:tcPr>
            <w:tcW w:w="80" w:type="dxa"/>
            <w:vAlign w:val="bottom"/>
            <w:vMerge w:val="restart"/>
          </w:tcPr>
          <w:p>
            <w:pPr>
              <w:spacing w:after="0"/>
              <w:rPr>
                <w:sz w:val="24"/>
                <w:szCs w:val="24"/>
                <w:color w:val="auto"/>
              </w:rPr>
            </w:pPr>
          </w:p>
        </w:tc>
        <w:tc>
          <w:tcPr>
            <w:tcW w:w="3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Nine Months Ended September</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580" w:type="dxa"/>
            <w:vAlign w:val="bottom"/>
            <w:tcBorders>
              <w:bottom w:val="single" w:sz="8" w:color="auto"/>
            </w:tcBorders>
            <w:gridSpan w:val="8"/>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b w:val="1"/>
                <w:bCs w:val="1"/>
                <w:color w:val="auto"/>
              </w:rPr>
              <w:t>30, 2021</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300"/>
              <w:spacing w:after="0" w:line="183" w:lineRule="exact"/>
              <w:rPr>
                <w:sz w:val="20"/>
                <w:szCs w:val="20"/>
                <w:color w:val="auto"/>
              </w:rPr>
            </w:pPr>
            <w:r>
              <w:rPr>
                <w:rFonts w:ascii="Arial" w:cs="Arial" w:eastAsia="Arial" w:hAnsi="Arial"/>
                <w:sz w:val="20"/>
                <w:szCs w:val="20"/>
                <w:b w:val="1"/>
                <w:bCs w:val="1"/>
                <w:color w:val="auto"/>
                <w:w w:val="97"/>
              </w:rPr>
              <w:t>Array Legacy</w:t>
            </w:r>
          </w:p>
        </w:tc>
        <w:tc>
          <w:tcPr>
            <w:tcW w:w="180" w:type="dxa"/>
            <w:vAlign w:val="bottom"/>
          </w:tcPr>
          <w:p>
            <w:pPr>
              <w:spacing w:after="0"/>
              <w:rPr>
                <w:sz w:val="15"/>
                <w:szCs w:val="15"/>
                <w:color w:val="auto"/>
              </w:rPr>
            </w:pPr>
          </w:p>
        </w:tc>
        <w:tc>
          <w:tcPr>
            <w:tcW w:w="1800" w:type="dxa"/>
            <w:vAlign w:val="bottom"/>
            <w:gridSpan w:val="3"/>
            <w:vMerge w:val="restart"/>
          </w:tcPr>
          <w:p>
            <w:pPr>
              <w:jc w:val="center"/>
              <w:ind w:right="280"/>
              <w:spacing w:after="0"/>
              <w:rPr>
                <w:sz w:val="20"/>
                <w:szCs w:val="20"/>
                <w:color w:val="auto"/>
              </w:rPr>
            </w:pPr>
            <w:r>
              <w:rPr>
                <w:rFonts w:ascii="Arial" w:cs="Arial" w:eastAsia="Arial" w:hAnsi="Arial"/>
                <w:sz w:val="20"/>
                <w:szCs w:val="20"/>
                <w:b w:val="1"/>
                <w:bCs w:val="1"/>
                <w:color w:val="auto"/>
                <w:w w:val="98"/>
              </w:rPr>
              <w:t>STI Operations</w:t>
            </w:r>
          </w:p>
        </w:tc>
        <w:tc>
          <w:tcPr>
            <w:tcW w:w="400" w:type="dxa"/>
            <w:vAlign w:val="bottom"/>
          </w:tcPr>
          <w:p>
            <w:pPr>
              <w:spacing w:after="0"/>
              <w:rPr>
                <w:sz w:val="15"/>
                <w:szCs w:val="15"/>
                <w:color w:val="auto"/>
              </w:rPr>
            </w:pPr>
          </w:p>
        </w:tc>
        <w:tc>
          <w:tcPr>
            <w:tcW w:w="1540" w:type="dxa"/>
            <w:vAlign w:val="bottom"/>
            <w:gridSpan w:val="2"/>
            <w:vMerge w:val="restart"/>
          </w:tcPr>
          <w:p>
            <w:pPr>
              <w:ind w:left="300"/>
              <w:spacing w:after="0"/>
              <w:rPr>
                <w:sz w:val="20"/>
                <w:szCs w:val="20"/>
                <w:color w:val="auto"/>
              </w:rPr>
            </w:pPr>
            <w:r>
              <w:rPr>
                <w:rFonts w:ascii="Arial" w:cs="Arial" w:eastAsia="Arial" w:hAnsi="Arial"/>
                <w:sz w:val="20"/>
                <w:szCs w:val="20"/>
                <w:b w:val="1"/>
                <w:bCs w:val="1"/>
                <w:color w:val="auto"/>
              </w:rPr>
              <w:t>Total</w:t>
            </w:r>
          </w:p>
        </w:tc>
        <w:tc>
          <w:tcPr>
            <w:tcW w:w="260" w:type="dxa"/>
            <w:vAlign w:val="bottom"/>
          </w:tcPr>
          <w:p>
            <w:pPr>
              <w:spacing w:after="0"/>
              <w:rPr>
                <w:sz w:val="15"/>
                <w:szCs w:val="15"/>
                <w:color w:val="auto"/>
              </w:rPr>
            </w:pPr>
          </w:p>
        </w:tc>
        <w:tc>
          <w:tcPr>
            <w:tcW w:w="2840" w:type="dxa"/>
            <w:vAlign w:val="bottom"/>
            <w:vMerge w:val="restart"/>
          </w:tcPr>
          <w:p>
            <w:pPr>
              <w:jc w:val="center"/>
              <w:ind w:right="141"/>
              <w:spacing w:after="0"/>
              <w:rPr>
                <w:sz w:val="20"/>
                <w:szCs w:val="20"/>
                <w:color w:val="auto"/>
              </w:rPr>
            </w:pPr>
            <w:r>
              <w:rPr>
                <w:rFonts w:ascii="Arial" w:cs="Arial" w:eastAsia="Arial" w:hAnsi="Arial"/>
                <w:sz w:val="20"/>
                <w:szCs w:val="20"/>
                <w:b w:val="1"/>
                <w:bCs w:val="1"/>
                <w:color w:val="auto"/>
                <w:w w:val="99"/>
              </w:rPr>
              <w:t>Array Legacy Operations</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8"/>
              </w:rPr>
              <w:t>Operations</w:t>
            </w:r>
          </w:p>
        </w:tc>
        <w:tc>
          <w:tcPr>
            <w:tcW w:w="180" w:type="dxa"/>
            <w:vAlign w:val="bottom"/>
          </w:tcPr>
          <w:p>
            <w:pPr>
              <w:spacing w:after="0"/>
              <w:rPr>
                <w:sz w:val="22"/>
                <w:szCs w:val="22"/>
                <w:color w:val="auto"/>
              </w:rPr>
            </w:pPr>
          </w:p>
        </w:tc>
        <w:tc>
          <w:tcPr>
            <w:tcW w:w="1800" w:type="dxa"/>
            <w:vAlign w:val="bottom"/>
            <w:gridSpan w:val="3"/>
            <w:vMerge w:val="continue"/>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998,292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237,183</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1,235,475</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633,442</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119,029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27,727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146,756</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2840" w:type="dxa"/>
            <w:vAlign w:val="bottom"/>
          </w:tcPr>
          <w:p>
            <w:pPr>
              <w:jc w:val="right"/>
              <w:spacing w:after="0"/>
              <w:rPr>
                <w:sz w:val="20"/>
                <w:szCs w:val="20"/>
                <w:color w:val="auto"/>
              </w:rPr>
            </w:pPr>
            <w:r>
              <w:rPr>
                <w:rFonts w:ascii="Arial" w:cs="Arial" w:eastAsia="Arial" w:hAnsi="Arial"/>
                <w:sz w:val="20"/>
                <w:szCs w:val="20"/>
                <w:color w:val="auto"/>
              </w:rPr>
              <w:t>72,570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right="2100"/>
        <w:spacing w:after="0" w:line="461"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2021 and the related Management’s Discussion and Analysis of Financial Condition and Results of Operations included in our Annual Report on Form 10-K for the year ended December 31, 2021 (“2021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2021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Our principal risks include the following:</w:t>
      </w:r>
    </w:p>
    <w:p>
      <w:pPr>
        <w:spacing w:after="0" w:line="348" w:lineRule="exact"/>
        <w:rPr>
          <w:sz w:val="20"/>
          <w:szCs w:val="20"/>
          <w:color w:val="auto"/>
        </w:rPr>
      </w:pPr>
    </w:p>
    <w:p>
      <w:pPr>
        <w:ind w:left="660" w:hanging="328"/>
        <w:spacing w:after="0" w:line="251"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we may be unable to successfully integrate the business of STI (as defined below) into our business or achieve the anticipated benefits of the STI Acquisition (as defined below);</w:t>
      </w:r>
    </w:p>
    <w:p>
      <w:pPr>
        <w:spacing w:after="0" w:line="129"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capped call transactions may affect the value of our Convertible Notes (as defined below) and the market price of our common stock;</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8" w:name="page39"/>
    <w:bookmarkEnd w:id="38"/>
    <w:p>
      <w:pPr>
        <w:ind w:left="328" w:hanging="328"/>
        <w:spacing w:after="0" w:line="251" w:lineRule="auto"/>
        <w:tabs>
          <w:tab w:leader="none" w:pos="323"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 fundamental change repurchase feature of the Convertible Notes may delay or prevent an otherwise beneficial attempt to acquire us;</w:t>
      </w:r>
    </w:p>
    <w:p>
      <w:pPr>
        <w:spacing w:after="0" w:line="102" w:lineRule="exact"/>
        <w:rPr>
          <w:rFonts w:ascii="Arial" w:cs="Arial" w:eastAsia="Arial" w:hAnsi="Arial"/>
          <w:sz w:val="22"/>
          <w:szCs w:val="22"/>
          <w:color w:val="auto"/>
        </w:rPr>
      </w:pPr>
    </w:p>
    <w:p>
      <w:pPr>
        <w:ind w:left="328" w:hanging="328"/>
        <w:spacing w:after="0" w:line="275"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80" w:lineRule="exact"/>
        <w:rPr>
          <w:rFonts w:ascii="Arial" w:cs="Arial" w:eastAsia="Arial" w:hAnsi="Arial"/>
          <w:sz w:val="20"/>
          <w:szCs w:val="20"/>
          <w:color w:val="auto"/>
        </w:rPr>
      </w:pPr>
    </w:p>
    <w:p>
      <w:pPr>
        <w:ind w:left="328" w:hanging="328"/>
        <w:spacing w:after="0" w:line="261"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93"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24"/>
        </w:numPr>
        <w:rPr>
          <w:rFonts w:ascii="Arial" w:cs="Arial" w:eastAsia="Arial" w:hAnsi="Arial"/>
          <w:sz w:val="20"/>
          <w:szCs w:val="20"/>
          <w:color w:val="231F20"/>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82" w:lineRule="exact"/>
        <w:rPr>
          <w:rFonts w:ascii="Arial" w:cs="Arial" w:eastAsia="Arial" w:hAnsi="Arial"/>
          <w:sz w:val="20"/>
          <w:szCs w:val="20"/>
          <w:color w:val="231F20"/>
        </w:rPr>
      </w:pPr>
    </w:p>
    <w:p>
      <w:pPr>
        <w:ind w:left="328" w:hanging="328"/>
        <w:spacing w:after="0" w:line="246"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failure to retain key personnel or a failure to attract additional qualified personnel may affect our ability to achieve our anticipated level of growth adversely affect our business;</w:t>
      </w:r>
    </w:p>
    <w:p>
      <w:pPr>
        <w:spacing w:after="0" w:line="82"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95"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93" w:lineRule="exact"/>
        <w:rPr>
          <w:rFonts w:ascii="Arial" w:cs="Arial" w:eastAsia="Arial" w:hAnsi="Arial"/>
          <w:sz w:val="20"/>
          <w:szCs w:val="20"/>
          <w:color w:val="auto"/>
        </w:rPr>
      </w:pPr>
    </w:p>
    <w:p>
      <w:pPr>
        <w:ind w:left="328" w:hanging="328"/>
        <w:spacing w:after="0"/>
        <w:tabs>
          <w:tab w:leader="none" w:pos="328" w:val="left"/>
        </w:tabs>
        <w:numPr>
          <w:ilvl w:val="0"/>
          <w:numId w:val="24"/>
        </w:numPr>
        <w:rPr>
          <w:rFonts w:ascii="Arial" w:cs="Arial" w:eastAsia="Arial" w:hAnsi="Arial"/>
          <w:sz w:val="22"/>
          <w:szCs w:val="22"/>
          <w:color w:val="auto"/>
        </w:rPr>
      </w:pPr>
      <w:r>
        <w:rPr>
          <w:rFonts w:ascii="Arial" w:cs="Arial" w:eastAsia="Arial" w:hAnsi="Arial"/>
          <w:sz w:val="20"/>
          <w:szCs w:val="20"/>
          <w:color w:val="auto"/>
        </w:rPr>
        <w:t>developments in alternative technologies may have a material adverse effect on demand for our offerings;</w:t>
      </w:r>
    </w:p>
    <w:p>
      <w:pPr>
        <w:spacing w:after="0" w:line="100" w:lineRule="exact"/>
        <w:rPr>
          <w:rFonts w:ascii="Arial" w:cs="Arial" w:eastAsia="Arial" w:hAnsi="Arial"/>
          <w:sz w:val="22"/>
          <w:szCs w:val="22"/>
          <w:color w:val="auto"/>
        </w:rPr>
      </w:pPr>
    </w:p>
    <w:p>
      <w:pPr>
        <w:jc w:val="both"/>
        <w:ind w:left="328" w:hanging="328"/>
        <w:spacing w:after="0" w:line="243"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111" w:lineRule="exact"/>
        <w:rPr>
          <w:rFonts w:ascii="Arial" w:cs="Arial" w:eastAsia="Arial" w:hAnsi="Arial"/>
          <w:sz w:val="20"/>
          <w:szCs w:val="20"/>
          <w:color w:val="auto"/>
        </w:rPr>
      </w:pPr>
    </w:p>
    <w:p>
      <w:pPr>
        <w:jc w:val="both"/>
        <w:ind w:left="328" w:hanging="328"/>
        <w:spacing w:after="0" w:line="257"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11" w:lineRule="exact"/>
        <w:rPr>
          <w:rFonts w:ascii="Arial" w:cs="Arial" w:eastAsia="Arial" w:hAnsi="Arial"/>
          <w:sz w:val="20"/>
          <w:szCs w:val="20"/>
          <w:color w:val="auto"/>
        </w:rPr>
      </w:pPr>
    </w:p>
    <w:p>
      <w:pPr>
        <w:ind w:left="328" w:right="20" w:hanging="328"/>
        <w:spacing w:after="0" w:line="261"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93" w:lineRule="exact"/>
        <w:rPr>
          <w:rFonts w:ascii="Arial" w:cs="Arial" w:eastAsia="Arial" w:hAnsi="Arial"/>
          <w:sz w:val="20"/>
          <w:szCs w:val="20"/>
          <w:color w:val="auto"/>
        </w:rPr>
      </w:pPr>
    </w:p>
    <w:p>
      <w:pPr>
        <w:ind w:left="328" w:hanging="328"/>
        <w:spacing w:after="0" w:line="275"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or other import restrictions, could adversely affect the amount or timing of our revenues, results of operations or cash flows;</w:t>
      </w:r>
    </w:p>
    <w:p>
      <w:pPr>
        <w:spacing w:after="0" w:line="80" w:lineRule="exact"/>
        <w:rPr>
          <w:rFonts w:ascii="Arial" w:cs="Arial" w:eastAsia="Arial" w:hAnsi="Arial"/>
          <w:sz w:val="20"/>
          <w:szCs w:val="20"/>
          <w:color w:val="auto"/>
        </w:rPr>
      </w:pPr>
    </w:p>
    <w:p>
      <w:pPr>
        <w:ind w:left="328" w:hanging="328"/>
        <w:spacing w:after="0" w:line="261"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impact of the ongoing conflict in Ukraine on our supply chain and cost of logistics could adversely affect the amount or timing of our revenues, results of operations or cash flows;</w:t>
      </w:r>
    </w:p>
    <w:p>
      <w:pPr>
        <w:spacing w:after="0" w:line="107" w:lineRule="exact"/>
        <w:rPr>
          <w:rFonts w:ascii="Arial" w:cs="Arial" w:eastAsia="Arial" w:hAnsi="Arial"/>
          <w:sz w:val="20"/>
          <w:szCs w:val="20"/>
          <w:color w:val="auto"/>
        </w:rPr>
      </w:pPr>
    </w:p>
    <w:p>
      <w:pPr>
        <w:ind w:left="328" w:hanging="328"/>
        <w:spacing w:after="0" w:line="261"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93" w:lineRule="exact"/>
        <w:rPr>
          <w:rFonts w:ascii="Arial" w:cs="Arial" w:eastAsia="Arial" w:hAnsi="Arial"/>
          <w:sz w:val="20"/>
          <w:szCs w:val="20"/>
          <w:color w:val="auto"/>
        </w:rPr>
      </w:pPr>
    </w:p>
    <w:p>
      <w:pPr>
        <w:ind w:left="328" w:hanging="328"/>
        <w:spacing w:after="0" w:line="275"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80" w:lineRule="exact"/>
        <w:rPr>
          <w:rFonts w:ascii="Arial" w:cs="Arial" w:eastAsia="Arial" w:hAnsi="Arial"/>
          <w:sz w:val="20"/>
          <w:szCs w:val="20"/>
          <w:color w:val="auto"/>
        </w:rPr>
      </w:pPr>
    </w:p>
    <w:p>
      <w:pPr>
        <w:jc w:val="both"/>
        <w:ind w:left="328" w:hanging="328"/>
        <w:spacing w:after="0" w:line="264"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91" w:lineRule="exact"/>
        <w:rPr>
          <w:rFonts w:ascii="Arial" w:cs="Arial" w:eastAsia="Arial" w:hAnsi="Arial"/>
          <w:sz w:val="20"/>
          <w:szCs w:val="20"/>
          <w:color w:val="auto"/>
        </w:rPr>
      </w:pPr>
    </w:p>
    <w:p>
      <w:pPr>
        <w:ind w:left="308" w:hanging="308"/>
        <w:spacing w:after="0"/>
        <w:tabs>
          <w:tab w:leader="none" w:pos="308" w:val="left"/>
        </w:tabs>
        <w:numPr>
          <w:ilvl w:val="0"/>
          <w:numId w:val="24"/>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53975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51" w:right="339" w:bottom="1440" w:gutter="0" w:footer="0" w:header="0"/>
        </w:sectPr>
      </w:pPr>
    </w:p>
    <w:bookmarkStart w:id="39" w:name="page40"/>
    <w:bookmarkEnd w:id="39"/>
    <w:p>
      <w:pPr>
        <w:jc w:val="both"/>
        <w:ind w:left="660" w:hanging="328"/>
        <w:spacing w:after="0" w:line="264"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spacing w:after="0" w:line="91"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determination to restate prior period financial statements could negatively affect investor confidence and raise reputational issues;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be unable to remediate our material weaknesses in a timely manner or at all;</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our substantial indebtedness could adversely affect our financial condition; and</w:t>
      </w:r>
    </w:p>
    <w:p>
      <w:pPr>
        <w:spacing w:after="0" w:line="121" w:lineRule="exact"/>
        <w:rPr>
          <w:rFonts w:ascii="Arial" w:cs="Arial" w:eastAsia="Arial" w:hAnsi="Arial"/>
          <w:sz w:val="18"/>
          <w:szCs w:val="18"/>
          <w:color w:val="auto"/>
        </w:rPr>
      </w:pPr>
    </w:p>
    <w:p>
      <w:pPr>
        <w:jc w:val="both"/>
        <w:ind w:left="660" w:hanging="328"/>
        <w:spacing w:after="0" w:line="232"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ongoing COVID-19 pandemic has materially and adversely affected our business and results of operations. The duration and extent to which it will continue to adversely impact our business and results of operations remains uncertain and could be material.</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products are a portfolio of integrated system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than projects that use “fixed tilt” mounting systems, which do not move. The vast majority of ground mounted solar systems in the United States, and an increasing amount outside of the U.S., use trackers.</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flagship trackers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Array acquired STI Norland in January 2022 introducing a dual-row tracker design to the product portfolio. This tracker uses one motor to drive two connected rows, ideally suited for sites with irregular and highly angled boundaries or fragmented project areas. To offer a comprehensive set of solutions to the growing market, in September of 2022, Array also introduced a third tracker product requiring significantly less grading and civil works permitting prior to installation in addition to accommodating uneven terrain. This suite of products extends Array’s target applications and bankability to deliver the best utility-scale solar tracker solutions to the market. All of our products are protected by U.S. and international patents, including our core U.S. patent on a linked-row, rotating gear drive system which does not expire until February 5, 2030.</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nine months ended September 30, 2022, we derived 79% and 21% of our revenues from customers in the United States and the rest of the world, respectively.</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September 30, 2022, we had 1,118 full-time employees, up from 471 as of December 31, 2021, with the increase primarily due to the STI Acquisition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Acquisition of STI</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January 11, 2022 (the “Acquisition Date”), the Company closed the acquisition (the “STI Acquisition”) of Soluciones Técnicas Integrales Norland, S.L. and its subsidiaries (collectively, “STI”) pursuant to that certain purchase agreement, dated November 10, 2021, by and among Amixa Capital, S.L. and Aurica Trackers, S.L., each a company duly organized under the laws of the Kingdom of Spain (together, the “Sellers”) and Mr. Javier Reclusa Etayo (the “STI Purchase Agreement”). In accordance with the STI Purchase Agreement, the Company paid closing consideration to the Sellers consisting of $410.5 million in cash and 13,894,800 shares of the Company’s common stock. The fair value of the purchase consideration was $610.8 million and resulted in the Company owning 100% of the equity interests in STI.</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The STI Acquisition provided the Company with an immediate presence in Brazil, Western Europe and South Africa.</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result of the STI Acquisition, the Company began reporting its results of operations in two segments: its Array legacy operating segment (the “Array Legacy Operations”) and the newly acquired operations (the “STI Operations”) pertaining to STI. The primary source of revenue of the STI Operations is the design, manufacture and sale of its solar tracker system to utility scale customers in principal markets to include Spain, Brazil, South Africa and other international markets.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continue to closely monitor the ongoing impact of the COVID-19 pandemic in all the locations where we operate. Our priority remains the welfare of our employees. We expect persistent waves of COVID-19, including variants of the virus, to remain a headwind into the near future. The duration and extent to which it will continue to adversely impact our business and results of operations remain uncertain and could be material.</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We are continuously evaluating our capital structure in response to the current environment and expect that our current financial condition, including our liquidity sources will be adequate to fund future commitments. See additional discussion in the </w:t>
      </w:r>
      <w:r>
        <w:rPr>
          <w:rFonts w:ascii="Arial" w:cs="Arial" w:eastAsia="Arial" w:hAnsi="Arial"/>
          <w:sz w:val="20"/>
          <w:szCs w:val="20"/>
          <w:u w:val="single" w:color="auto"/>
          <w:color w:val="0000FF"/>
        </w:rPr>
        <w:t>Liquidity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Capital Resources</w:t>
      </w:r>
      <w:r>
        <w:rPr>
          <w:rFonts w:ascii="Arial" w:cs="Arial" w:eastAsia="Arial" w:hAnsi="Arial"/>
          <w:sz w:val="20"/>
          <w:szCs w:val="20"/>
          <w:color w:val="0000FF"/>
        </w:rPr>
        <w:t xml:space="preserve"> </w:t>
      </w:r>
      <w:r>
        <w:rPr>
          <w:rFonts w:ascii="Arial" w:cs="Arial" w:eastAsia="Arial" w:hAnsi="Arial"/>
          <w:sz w:val="20"/>
          <w:szCs w:val="20"/>
          <w:color w:val="000000"/>
        </w:rPr>
        <w:t>section below.</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could see an impact from elevated inflation and other operating costs. Inflation in the United States peaked at a year-over-year rate of 9.1% in June, before moderating to a still-elevated 8.2% in September. In Europe, energy price pressures and inflation have remained on an upward path, with September U.K. inflation rebounding to 10.1% and Euro Area inflation at 9.9%, both on a year-over-year basis. Interest rates have increased quickly and substantially as central banks in developed countries raise interest rates in an effort to subdue inflation, while government deficits and debt remain at high levels in many global markets. The eventual implications of higher government deficits and debt, tighter monetary policy, and potentially higher long-term interest rates may drive a higher cost of capital during our forecast period.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February 2022, Auxin Solar Inc., a U.S. producer of crystalline silicon PV products, petitioned the U.S. Department of Commerce (“USDOC”) to investigate alleged circumvention of antidumping and countervailing duties on Chinese imports by crystalline silicon PV cells and module imports assembled and completed in Cambodia, Malaysia, Thailand, and Vietnam. On March 28, 2022, the USDOC announced that it would investigate the circumvention alleged in the petition. As disclosed in our quarterly report on Form 10-Q for the three months ended March 31, 2022, the investigation created uncertainty related to the supply of solar modules. As a result of the USDOC’s investigation, the Company saw a number of projects in its order book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jc w:val="both"/>
        <w:spacing w:after="0" w:line="258" w:lineRule="auto"/>
        <w:rPr>
          <w:sz w:val="20"/>
          <w:szCs w:val="20"/>
          <w:color w:val="auto"/>
        </w:rPr>
      </w:pPr>
      <w:r>
        <w:rPr>
          <w:rFonts w:ascii="Arial" w:cs="Arial" w:eastAsia="Arial" w:hAnsi="Arial"/>
          <w:sz w:val="20"/>
          <w:szCs w:val="20"/>
          <w:color w:val="auto"/>
        </w:rPr>
        <w:t>initially delayed; however, on June 6, 2022, President Biden suspended, for a period of 24 months, certain antidumping and countervailing duties on crystalline silicon PV cells and module imports assembled and completed in southeast Asia. Due to these developments the Company has not observed a material decrease in customer demand for our product, and unless the duties are reinstated, the Company does not currently believe the investigation is reasonably likely to have a material adverse effect on future periods.</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the Company has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Additionally, certain suppliers could be blocked from importing solar panels to the United States under the Uyghur Forced Labor Prevention Act (“UFLPA”). UFLPA seeks to block the import of products made with forced labor in certain areas of China. An inter-agency task force produced a report on June 21, 2022 which, among other things, includes a list of entities that are believed to be using or benefiting from forced labor. Some suppliers of solar modules have seen shipments detained by US Customs and Border Patrol pursuant to the UFLPA. These detainments have not directly impacted any of Array’s projects to date; however, we cannot be certain that future detainments will not directly impact projects that use our products and services. Array is monitoring whether UFLPA will affect supplies of solar modules for any of the projects to which we sell our products.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while CPW is calculated by dividing total applicable costs of goods sold by total applicable MWs. These metrics enable us to evaluate trends in pricing, manufacturing cost and customer profitability.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Revenue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Our operating segments generate revenue from the sale of solar tracking systems, parts and services. Our customers include EPCs, utilities, large solar developers and independent power producers. For each individual </w:t>
      </w:r>
      <w:r>
        <w:rPr>
          <w:rFonts w:ascii="Arial" w:cs="Arial" w:eastAsia="Arial" w:hAnsi="Arial"/>
          <w:sz w:val="21"/>
          <w:szCs w:val="21"/>
          <w:color w:val="auto"/>
        </w:rPr>
        <w:t>solar</w:t>
      </w:r>
      <w:r>
        <w:rPr>
          <w:rFonts w:ascii="Arial" w:cs="Arial" w:eastAsia="Arial" w:hAnsi="Arial"/>
          <w:sz w:val="20"/>
          <w:szCs w:val="20"/>
          <w:color w:val="auto"/>
        </w:rPr>
        <w:t xml:space="preserve">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expanding our global footprint to new evolving markets, growing our production and supply chain capabilities to meet demand and continuing to develop and introduce new and innovative products that address the changing technology and performance requirements of our customers.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Cost of revenue for both segments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In 2021, our business was impacted by the COVID-19 pandemic by increased raw materials and shipping costs and shipping delays which have resulted in reduced margins and in certain instances have incurred remediation costs and liquidated damages owed to the customer. We have modified our processes in order to decrease the impact on our margins from these cost increases; however, we do not know how long the current operating environment will persist. We do not currently hedge against changes in the price of raw materials. Some of these costs, primarily personnel and depreciation of test and manufacturing equipment, are not directly affected by sales volume.</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210 as of December 31, 2021 to approximately 424, due in part to the STI Acquisition, as of September 30, 2022,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jc w:val="both"/>
        <w:ind w:right="20"/>
        <w:spacing w:after="0" w:line="261" w:lineRule="auto"/>
        <w:rPr>
          <w:sz w:val="20"/>
          <w:szCs w:val="20"/>
          <w:color w:val="auto"/>
        </w:rPr>
      </w:pPr>
      <w:r>
        <w:rPr>
          <w:rFonts w:ascii="Arial" w:cs="Arial" w:eastAsia="Arial" w:hAnsi="Arial"/>
          <w:sz w:val="20"/>
          <w:szCs w:val="20"/>
          <w:color w:val="auto"/>
        </w:rPr>
        <w:t>advancement and anticipate that general and administrative and depreciation expenses will increase in absolute dollar amounts for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2022 were in the U.S.; however, with the STI Acquisition, we continue to expand our international presence with additional global sales staff. We currently have a sales presence in the U.S., Australia, the U.K., Spain, South Africa and Brazil. We intend to continue to expand our sales presence and marketing efforts to additional countries. We also expect that as a public company we will incur additional audit, tax, accounting, legal and other costs related to compliance with applicable securities laws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Contingent consideration consists of the changes in fair value of the Taxes Receivable Agreement (“TRA”) entered into with Ron P. Corio, a former indirect stockholder, concurrent with the Acquisition of Array Technologies Patent Holdings Co., LLC by Former Parent.</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TRA liability is recorded at fair value and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141"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Amortization of intangibles consists of developed technology, customer relationships, backlog, and trade name amortized over their expected period of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1.00% Convertible Senior Notes due 2028 (the “Convertible Notes”) issued in December 2021, as well as other debt assumed in the STI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Settlement</w:t>
      </w: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Legal settlement income includes a legal settlement awarded and paid from </w:t>
      </w:r>
      <w:r>
        <w:rPr>
          <w:rFonts w:ascii="Arial" w:cs="Arial" w:eastAsia="Arial" w:hAnsi="Arial"/>
          <w:sz w:val="20"/>
          <w:szCs w:val="20"/>
          <w:color w:val="0A0A0A"/>
        </w:rPr>
        <w:t>Nextracker LLC, for</w:t>
      </w:r>
      <w:r>
        <w:rPr>
          <w:rFonts w:ascii="Arial" w:cs="Arial" w:eastAsia="Arial" w:hAnsi="Arial"/>
          <w:sz w:val="20"/>
          <w:szCs w:val="20"/>
          <w:color w:val="auto"/>
        </w:rPr>
        <w:t xml:space="preserve"> $42.8 million for the Company asserting (among other claims) trade secret misappropriation, tortious interference with contract, fraud, and breach of contract (the “Nextracker Litigation”).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We are subject to United States federal and state income taxes as well as foreign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0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Pr>
          <w:p>
            <w:pPr>
              <w:spacing w:after="0"/>
              <w:rPr>
                <w:sz w:val="17"/>
                <w:szCs w:val="17"/>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202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0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0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1,235,475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434,801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252,012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138 %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1,088,719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527,847</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line="189" w:lineRule="exact"/>
              <w:rPr>
                <w:sz w:val="20"/>
                <w:szCs w:val="20"/>
                <w:color w:val="auto"/>
              </w:rPr>
            </w:pPr>
            <w:r>
              <w:rPr>
                <w:rFonts w:ascii="Arial" w:cs="Arial" w:eastAsia="Arial" w:hAnsi="Arial"/>
                <w:sz w:val="18"/>
                <w:szCs w:val="18"/>
                <w:color w:val="auto"/>
              </w:rPr>
              <w:t>General and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107,881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Contingent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line="189" w:lineRule="exact"/>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290 %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70,405</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240"/>
              <w:spacing w:after="0" w:line="168" w:lineRule="exact"/>
              <w:rPr>
                <w:sz w:val="20"/>
                <w:szCs w:val="20"/>
                <w:color w:val="auto"/>
              </w:rPr>
            </w:pPr>
            <w:r>
              <w:rPr>
                <w:rFonts w:ascii="Arial" w:cs="Arial" w:eastAsia="Arial" w:hAnsi="Arial"/>
                <w:sz w:val="18"/>
                <w:szCs w:val="18"/>
                <w:color w:val="auto"/>
              </w:rPr>
              <w:t>Total operating</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61,703</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172,305</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(loss) from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gain</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8"/>
        </w:trPr>
        <w:tc>
          <w:tcPr>
            <w:tcW w:w="1820" w:type="dxa"/>
            <w:vAlign w:val="bottom"/>
          </w:tcPr>
          <w:p>
            <w:pPr>
              <w:ind w:left="240"/>
              <w:spacing w:after="0" w:line="168" w:lineRule="exact"/>
              <w:rPr>
                <w:sz w:val="20"/>
                <w:szCs w:val="20"/>
                <w:color w:val="auto"/>
              </w:rPr>
            </w:pPr>
            <w:r>
              <w:rPr>
                <w:rFonts w:ascii="Arial" w:cs="Arial" w:eastAsia="Arial" w:hAnsi="Arial"/>
                <w:sz w:val="18"/>
                <w:szCs w:val="18"/>
                <w:color w:val="auto"/>
              </w:rPr>
              <w:t>Total other income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(expense)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33,446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349 %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20,982</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(50,248)</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(loss) before</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51,966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(32,922)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line="189" w:lineRule="exact"/>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11,144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(5,493)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ind w:right="800"/>
        <w:spacing w:after="0" w:line="261"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200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Increase/Decrease</w:t>
            </w:r>
          </w:p>
        </w:tc>
        <w:tc>
          <w:tcPr>
            <w:tcW w:w="26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c>
          <w:tcPr>
            <w:tcW w:w="200" w:type="dxa"/>
            <w:vAlign w:val="bottom"/>
          </w:tcPr>
          <w:p>
            <w:pPr>
              <w:spacing w:after="0"/>
              <w:rPr>
                <w:sz w:val="17"/>
                <w:szCs w:val="17"/>
                <w:color w:val="auto"/>
              </w:rPr>
            </w:pPr>
          </w:p>
        </w:tc>
        <w:tc>
          <w:tcPr>
            <w:tcW w:w="198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19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8"/>
        </w:trPr>
        <w:tc>
          <w:tcPr>
            <w:tcW w:w="14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Array Legacy</w:t>
            </w: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998,292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633,442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STI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114,561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237,183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237,183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515,024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326,338</w:t>
            </w:r>
          </w:p>
        </w:tc>
        <w:tc>
          <w:tcPr>
            <w:tcW w:w="10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1,235,475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633,442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602,033</w:t>
            </w: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Array Legacy</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STI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68"/>
        </w:trPr>
        <w:tc>
          <w:tcPr>
            <w:tcW w:w="1460" w:type="dxa"/>
            <w:vAlign w:val="bottom"/>
            <w:tcBorders>
              <w:top w:val="single" w:sz="8" w:color="CCEEFF"/>
            </w:tcBorders>
            <w:shd w:val="clear" w:color="auto" w:fill="CCEEFF"/>
          </w:tcPr>
          <w:p>
            <w:pPr>
              <w:ind w:left="140"/>
              <w:spacing w:after="0" w:line="168" w:lineRule="exact"/>
              <w:rPr>
                <w:sz w:val="20"/>
                <w:szCs w:val="20"/>
                <w:color w:val="auto"/>
              </w:rPr>
            </w:pPr>
            <w:r>
              <w:rPr>
                <w:rFonts w:ascii="Arial" w:cs="Arial" w:eastAsia="Arial" w:hAnsi="Arial"/>
                <w:sz w:val="18"/>
                <w:szCs w:val="18"/>
                <w:color w:val="auto"/>
              </w:rPr>
              <w:t>Total Gross</w:t>
            </w: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80,223</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1260 %</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146,756</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September 30, 2022 and 2021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Our consolidated revenue increased by $326.3 million, or 173%, for the three months ended September 30, 2022 compared to the three months ended September 30, 2021. The increase was partially driven by the STI Acquisition, which added $114.6 million of revenue when compared to the three months ended September 30, 2021. Excluding the impact of the STI Acquisition, revenue was up $211.8 million, or 112%, driven by both an increase in the total number of MWs shipped and an increase in ASP.</w:t>
      </w:r>
    </w:p>
    <w:p>
      <w:pPr>
        <w:spacing w:after="0" w:line="23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Revenue for Array Legacy Operations increased 112% for the three months ended September 30, 2022 compared to the three months ended September 30, 2021. Total MWs shipped were up approximately 63% for the three months ended September 30, 2022, driven by increased customer demand for our product. ASP for the three months ended September 30, 2022 was up 29% compared to the three months ended September 30, 2021, which is reflective of higher pass-through pricing to our customers.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Revenue for STI Operations increased by $114.6 million for the three months ended September 30, 2022 compared to the three months ended September 30, 2021, due to the STI Acquisition occurring in January 2022 with no activity in the prior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Consolidated cost of revenue increased by $252.0 million, or 138%, for the three months ended September 30, 2022 compared to the three months ended September 30, 2021, primarily due to the increase in the number of MWs delivered and the STI Acquisition. Gross profit as a percentage of revenue increased from 3% for the three months ended September 30, 2021 to 16% for the three months ended September 30, 2022. The increase in gross profit as a percentage of revenue reflects higher pass-through pricing of our material and logistics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Gross profit as a percentage of revenue for the Array Legacy Operations increased to 16% for the three months ended September 30, 2022 from 3% for the three months ended September 30, 2021. The increase was due to a higher proportion of our projects with improved pass-through pricing of our material and logistics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7" w:name="page48"/>
    <w:bookmarkEnd w:id="47"/>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Gross profit as a percentage of revenue for the STI segment was 14% for the three months ended September 30, 2022.</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Consolidated general and administrative expense increased by $20.4 million, or 110%, for the three months ended September 30, 2022 compared to the three months ended September 30, 2021. The increase in expense was primarily due to increased consulting costs, professional fees, legal costs, as well as higher payroll and related costs due to our growing internal headcount and the STI Acquisition, which had $5.7 million in general and administrative expense.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contingent consideration expense decreased by $1.5 million, for the three months ended September 30, 2022 compared to the three months ended September 30, 2021. The decrease was due to a decrease in the valuation of the associated liability.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Consolidated depreciation expense for the three months ended September 30, 2022 was similar to the three months ended September 30, 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Consolidated amortization of intangibles increased by $17.2 million, or 292%, for the three months ended September 30, 2022 compared to the three months ended September 30, 2021, primarily due to intangibles added as a result of the STI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Settlement</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Legal settlement income increased due to the Company being awarded and paid a settlement from </w:t>
      </w:r>
      <w:r>
        <w:rPr>
          <w:rFonts w:ascii="Arial" w:cs="Arial" w:eastAsia="Arial" w:hAnsi="Arial"/>
          <w:sz w:val="20"/>
          <w:szCs w:val="20"/>
          <w:color w:val="0A0A0A"/>
        </w:rPr>
        <w:t>Nextracker LLC, for</w:t>
      </w:r>
      <w:r>
        <w:rPr>
          <w:rFonts w:ascii="Arial" w:cs="Arial" w:eastAsia="Arial" w:hAnsi="Arial"/>
          <w:sz w:val="20"/>
          <w:szCs w:val="20"/>
          <w:color w:val="auto"/>
        </w:rPr>
        <w:t xml:space="preserve"> $42.8 million for the Company asserting (among other claims) trade secret misappropriation, tortious interference with contract, fraud, and breach of contract (the “Nextracker Litigation”).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Consolidated interest expense decreased by $4.4 million, or 33%, for the three months ended September 30, 2022 compared to the three months ended September 30, 2021, primarily due to the write-off of fees associated with refinancing our debt that occurred in the three months ended September 30, 2021 for which we have no similar fees in the current period. As of September 30, 2022, we had $425 million outstanding on the Convertible Notes, $323.6 million outstanding under the Term Loan Facility and no balance outstanding under the Revolving Credit Facility. The Credit Facility has variable interest rates that are expected to fluctuate with the Federal Funds rate so interest expense could increase for the Term Loan Facility and the Revolving Credit Facility.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5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Consolidated income tax benefit increased by $16.5 million, or 308% for the three months ended September 30, 2022 compared to the three months ended September 30, 2021. The tax expense in the three months ended September 30, 2022 includes tax expense of $8.7 million on the legal settlement income recorded discreetly in the current period. Our effective tax rate, excluding the legal settlement was 26.5% for the three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20"/>
          <w:szCs w:val="20"/>
          <w:color w:val="auto"/>
        </w:rPr>
        <w:t>months ended September 30, 2022 and 16.3% for the three months ended September 30, 2021. The tax benefit increase, excluding the legal settlement, is primarily related to non-taxable contingent income, and a favorable mix of income for the three months ended September 30,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nine months ended September 30, 2022 and 2021</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revenue increased by $602.0 million, or 95%, for the nine months ended September 30, 2022 compared to the nine months ended September 30, 2021, primarily driven by a revenue increase of $364.9 million, or 58%, resulting from both an increase in the total number of MWs shipped and an increase in ASP excluding the impact of the STI Acquisition. The remainder of the increase in revenue resulted from the STI Acquisition of $237.2 million.</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Revenue for Array Legacy Operations increased 58% for the nine months ended September 30, 2022 compared to the nine months ended September 30, 2021. Total MWs shipped were up approximately 31% for the nine months ended September 30, 2022, driven by increased customer demand for our product. ASP for the nine months ended September 30, 2022 was up 20% compared to the nine months ended September 30, 2021, which is reflective of higher pass-through pricing to our customers.</w:t>
      </w:r>
    </w:p>
    <w:p>
      <w:pPr>
        <w:spacing w:after="0" w:line="221"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Revenue for STI Operations increased by $237.2 million for the nine months ended September 30, 2022 compared to the nine months ended September 30, 2021, due to the STI Acquisition occurring in January 2022 with no activity in the prior period.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cost of revenue increased by $527.8 million, or 94%, for the nine months ended September 30, 2022 compared to the nine months ended September 30, 2021, primarily due to the STI Acquisition and the higher cost of raw materials and logistics compared to the prior year period. Gross profit as a percentage of revenue increased from 11% for the nine months ended September 30, 2021 to 12% for the nine months ended September 30, 2022. The increase in gross profit as a percentage of revenue reflects better pass-through pricing to our customers to offset higher commodity prices and logistics costs.</w:t>
      </w:r>
    </w:p>
    <w:p>
      <w:pPr>
        <w:spacing w:after="0" w:line="233"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Gross profit as a percentage of revenue increased for Array Legacy Operations to 12% for the nine months ended September 30, 2022 from 11% for the nine months ended September 30, 2021 due to improved pass through pricing of commodity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Gross profit as a percentage of revenue was 11% for STI for the nine months ended September 30, 2022.</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general and administrative expenses increased by $49.6 million, or 85%, for the nine months ended September 30, 2022 compared to the nine months ended September 30, 2021. The increase in expense was primarily due to the STI Acquisition, which resulted in an increase of $11.6 million. Additionally, increased consulting costs and other professional fees, as well as increased headcount, led to higher payroll and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contingent consideration expense decreased by $7.1 million for the nine months ended September 30, 2022 compared to the nine months ended September 30, 2021. The decrease was due to a decrease in the valuation of the associated liability.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5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Consolidated depreciation expense for the nine months ended September 30, 2022 was similar to the nine months ended September 30, 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Consolidated amortization of intangibles increased by $52.1 million, or 296%, for the nine months ended September 30, 2022 compared to the nine months ended September 30, 2021, primarily due to intangibles added as a result of the STI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Settlement</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 xml:space="preserve">Legal settlement income increased due to the Company being awarded and paid a settlement from </w:t>
      </w:r>
      <w:r>
        <w:rPr>
          <w:rFonts w:ascii="Arial" w:cs="Arial" w:eastAsia="Arial" w:hAnsi="Arial"/>
          <w:sz w:val="20"/>
          <w:szCs w:val="20"/>
          <w:color w:val="0A0A0A"/>
        </w:rPr>
        <w:t>Nextracker LLC, for</w:t>
      </w:r>
      <w:r>
        <w:rPr>
          <w:rFonts w:ascii="Arial" w:cs="Arial" w:eastAsia="Arial" w:hAnsi="Arial"/>
          <w:sz w:val="20"/>
          <w:szCs w:val="20"/>
          <w:color w:val="auto"/>
        </w:rPr>
        <w:t xml:space="preserve"> $42.8 million for the Nextracker Litigation.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Consolidated other income (expense) increased by $0.5 million for the nine months ended September 30, 2022 compared to the nine months ended September 30, 2021, primarily due to the STI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Gain</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Consolidated foreign currency gain increased by $2.0 million for the nine months ended September 30, 2022 compared to the nine months ended September 30, 2021, due to the foreign currency translation gain resulting from the STI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Consolidated interest expense decreased by $5.1 million, or 18%, for the nine months ended September 30, 2022 compared to the nine months ended September 30, 2021, primarily due to the write-off of fees associated with refinancing our debt that occurred in the nine months ended September 30, 2021 for which we have no similar fees in the current period. In the nine months ended September 30, 2021, we paid off a portion of our Term Loan Facility and therefore expensed the associated fees that were capitalized. Our outstanding debt as of September 30, 2022 for which interest expense is associated includes $425.0 million outstanding on the Convertible Notes, $323.6 million outstanding under the Term Loan Facility and no balance outstanding under the Revolving Credit Facility. We expect interest expense to be higher for the remainder of 2022 compared to 2021 as a result of the debt outstanding under the Convertible Notes. In addition, the Credit Facility has variable interest rates expected to fluctuate with the Federal Funds rate so interest expense could increase for the Term Loan Facility and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Consolidated income tax benefit increased by $12.6 million for the nine months ended September 30, 2022 compared to the nine months ended September 30, 2021. The tax expense in the nine months ended September 30, 2022 includes tax expense of $8.7 million on the legal settlement income which was recorded discretely in the quarter. Our effective tax rate, excluding the legal settlement benefit was 56.7% for the nine months ended September 30, 2022 and 16.2% for the nine months ended September 30, 2021. The benefit increase excluding the legal settlement, is primarily related to non-taxable contingent consideration and the mix of earnings in foreign jurisdictions partially offset by an increase in non-deductible officer compensation for the nine months ended September 30, 2022.</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86"/>
        </w:trPr>
        <w:tc>
          <w:tcPr>
            <w:tcW w:w="6520" w:type="dxa"/>
            <w:vAlign w:val="bottom"/>
          </w:tcPr>
          <w:p>
            <w:pPr>
              <w:spacing w:after="0"/>
              <w:rPr>
                <w:sz w:val="20"/>
                <w:szCs w:val="20"/>
                <w:color w:val="auto"/>
              </w:rPr>
            </w:pPr>
            <w:r>
              <w:rPr>
                <w:rFonts w:ascii="Arial" w:cs="Arial" w:eastAsia="Arial" w:hAnsi="Arial"/>
                <w:sz w:val="20"/>
                <w:szCs w:val="20"/>
                <w:b w:val="1"/>
                <w:bCs w:val="1"/>
                <w:color w:val="auto"/>
              </w:rPr>
              <w:t>Historical Cash Flow</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6520" w:type="dxa"/>
            <w:vAlign w:val="bottom"/>
          </w:tcPr>
          <w:p>
            <w:pPr>
              <w:spacing w:after="0"/>
              <w:rPr>
                <w:sz w:val="20"/>
                <w:szCs w:val="20"/>
                <w:color w:val="auto"/>
              </w:rPr>
            </w:pPr>
            <w:r>
              <w:rPr>
                <w:rFonts w:ascii="Arial" w:cs="Arial" w:eastAsia="Arial" w:hAnsi="Arial"/>
                <w:sz w:val="20"/>
                <w:szCs w:val="20"/>
                <w:color w:val="auto"/>
              </w:rPr>
              <w:t>The following table compares the historical cash flow (in thousands):</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9"/>
        </w:trPr>
        <w:tc>
          <w:tcPr>
            <w:tcW w:w="6520" w:type="dxa"/>
            <w:vAlign w:val="bottom"/>
          </w:tcPr>
          <w:p>
            <w:pPr>
              <w:spacing w:after="0"/>
              <w:rPr>
                <w:sz w:val="24"/>
                <w:szCs w:val="24"/>
                <w:color w:val="auto"/>
              </w:rPr>
            </w:pPr>
          </w:p>
        </w:tc>
        <w:tc>
          <w:tcPr>
            <w:tcW w:w="4720" w:type="dxa"/>
            <w:vAlign w:val="bottom"/>
            <w:gridSpan w:val="5"/>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r>
      <w:tr>
        <w:trPr>
          <w:trHeight w:val="266"/>
        </w:trPr>
        <w:tc>
          <w:tcPr>
            <w:tcW w:w="65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9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2021</w:t>
            </w:r>
          </w:p>
        </w:tc>
      </w:tr>
      <w:tr>
        <w:trPr>
          <w:trHeight w:val="268"/>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operating activities</w:t>
            </w:r>
          </w:p>
        </w:tc>
        <w:tc>
          <w:tcPr>
            <w:tcW w:w="142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44,023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(165,837)</w:t>
            </w:r>
          </w:p>
        </w:tc>
      </w:tr>
      <w:tr>
        <w:trPr>
          <w:trHeight w:val="279"/>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(380,506)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(14,227)</w:t>
            </w:r>
          </w:p>
        </w:tc>
      </w:tr>
      <w:tr>
        <w:trPr>
          <w:trHeight w:val="288"/>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financing activities</w:t>
            </w:r>
          </w:p>
        </w:tc>
        <w:tc>
          <w:tcPr>
            <w:tcW w:w="1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33,146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188,014</w:t>
            </w:r>
          </w:p>
        </w:tc>
      </w:tr>
      <w:tr>
        <w:trPr>
          <w:trHeight w:val="260"/>
        </w:trPr>
        <w:tc>
          <w:tcPr>
            <w:tcW w:w="652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(1,555)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65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0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20" w:type="dxa"/>
            <w:vAlign w:val="bottom"/>
            <w:tcBorders>
              <w:bottom w:val="single" w:sz="8" w:color="CCEEFF"/>
            </w:tcBorders>
            <w:shd w:val="clear" w:color="auto" w:fill="CCEEFF"/>
          </w:tcPr>
          <w:p>
            <w:pPr>
              <w:jc w:val="right"/>
              <w:ind w:right="1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(304,892)</w:t>
            </w:r>
          </w:p>
        </w:tc>
        <w:tc>
          <w:tcPr>
            <w:tcW w:w="6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7,950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Due to current macroeconomic conditions, our industry has seen rapid changes in commodity prices, global tightening of supply chains, and strained logistics. These factors adversely impacted our business, causing us to experience decreased margins and thus decreased cash from operations. In addition, they led to an increase in our unbilled receivables and in some instances liquidated damages owed to our customers. Unbilled receivables, which represent temporary timing differences between shipments made and billing milestones achieved, were $137.0 million and $111.2 millions of the accounts receivable balances as of September 30, 2022 and December 31, 2021, respectively. These amounts have not been billed because we are waiting for agreed upon billing stipulations such as billing on a specified date of the month or upon completion of MW deliveries. The Company continues to improve its supply chain, logistics, and labor shortage issues to avoid causing any additional delays in delivering specific components to complete a MW delivery. Accordingly, we would expect the unbilled receivable balance as a percentage of revenue to improve once the billing criteria is satisfied and the customers are invoiced. The extent to which macroeconomic concerns, including the COVID-19 pandemic, rising interest rates, elevated inflation levels and the ongoing conflict in Ukraine, may further impact the Company’s business, results of operations, financial condition and cash flows will depend on future developments, which are highly uncertain and cannot be predicted with confidence.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taken mitigating steps to overcome the economic challenges and, therefore, believe the impact to be temporary, as demonstrated by our sequential margin improvement over the last four quarters. Mitigation efforts to date have generally consisted of the introduction of new supply routes, the use of bulk shipping (to a limited degree), and—with respect to commodity price increases—changes in the Company’s contracting process that are designed to narrow the timeframe between when a price is agreed upon to when prices for the Company’s most volatile cost inputs are fixed. The Company has utilized these strategies in combination over</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1" w:name="page52"/>
    <w:bookmarkEnd w:id="51"/>
    <w:p>
      <w:pPr>
        <w:jc w:val="both"/>
        <w:spacing w:after="0" w:line="264" w:lineRule="auto"/>
        <w:rPr>
          <w:sz w:val="20"/>
          <w:szCs w:val="20"/>
          <w:color w:val="auto"/>
        </w:rPr>
      </w:pPr>
      <w:r>
        <w:rPr>
          <w:rFonts w:ascii="Arial" w:cs="Arial" w:eastAsia="Arial" w:hAnsi="Arial"/>
          <w:sz w:val="20"/>
          <w:szCs w:val="20"/>
          <w:color w:val="auto"/>
        </w:rPr>
        <w:t>the last twelve months and expects to continue to do so in response to the recent challenging environment. We continuously evaluate our ability to meet our obligations over the next 12 months and we have sufficient liquidity as well as financing options available to fund current and future commitments.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January 2022, we issued 50,000 of Series A Redeemable Perpetual Preferred Stock (as defined below), and 1,125,000 shares of our common stock in an Additional Closing (as defined below) for an aggregate purchase price of $49.4 million.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 of September 30, 2022, our cash and cash equivalents were $62.8 million. Net working capital as of September 30, 2022 was $358.7 million.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of September 30, 2022, we had outstanding borrowings of $323.6 million under the Term Loan Facility and a $200.0 million commitment under our Revolving Credit Facility, of which no balance is outstanding and $166.6 million was available to borrow to fund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For the nine months ended September 30, 2022, cash provided by operating activities was $44.0 million, primarily due to an increase in net income and the Company being awarded and paid a settlement from </w:t>
      </w:r>
      <w:r>
        <w:rPr>
          <w:rFonts w:ascii="Arial" w:cs="Arial" w:eastAsia="Arial" w:hAnsi="Arial"/>
          <w:sz w:val="20"/>
          <w:szCs w:val="20"/>
          <w:color w:val="0A0A0A"/>
        </w:rPr>
        <w:t>Nextracker LLC, for</w:t>
      </w:r>
      <w:r>
        <w:rPr>
          <w:rFonts w:ascii="Arial" w:cs="Arial" w:eastAsia="Arial" w:hAnsi="Arial"/>
          <w:sz w:val="20"/>
          <w:szCs w:val="20"/>
          <w:color w:val="auto"/>
        </w:rPr>
        <w:t xml:space="preserve"> $42.8 million for the Nextracker Litigation. In addition, accounts payable and accruals increased cash by $42.2 million and $41.3 million, respectively, driven by higher expenses associated with higher sales, offset by a use from accounts receivable of $139.0 million driven primarily by higher sales.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nine months ended September 30, 2021, cash used in operating activities was $165.8 million, primarily due a decrease in deferred revenue of $68.5 million for which we made payments to our suppliers for products that we received the cash for in 2020, but that we did not ship until 2021, an increase in accounts receivable of $58.2 million, and an increase in inventories of $55.4 million.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4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For the nine months ended September 30, 2022, net cash used in investing activities was $380.5 million, primarily due to cash used in the STI Acquisition.</w:t>
      </w:r>
    </w:p>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For the nine months ended September 30, 2021, net cash used in investing activities was $14.2 million, primarily attributable to a $12.0 million investment in equity securities.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the nine months ended September 30, 2022, net cash provided by financing activities was $33.1 million, of which and $48.4 million related to proceeds from the Additional Closing in January 2022 offset by a dividend payment of $18.4 million on the Series A preferred stock.</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the nine months ended September 30, 2021, net cash used by financing activities was $188.0 million, of which $345.6 million was proceeds from the Series A that closed on August 11, 2021, $102.0 million was from proceeds under the Revolving Credit Facility, offset by a $132.2 million payment on the Term Loan Facility, a $102.0 million payment of the Revolving Credit Facility, $11.1 million in equity issuance costs associated with the Series A and $6.6 million in fees paid on the Senior Secured Credit Facility and to increase the limit on the Revolving Credit Facility by $50.0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Redeemable Perpetual Preferred Stock of the Company, par value $0.001 per share (the “Series A Perpetual Preferred Stock”), having the powers, designations, preferences, and other rights set forth in the Certificate of Designations, and 7,098,765 shares of the Company’s common stock, par value $0.001 per share,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amended, the Company has issued and sold to the Purchaser 776,235 shares of common stock for an aggregate purchase price of $776. For more information related to the Series A Redeemable Perpetual Preferred Stock, see </w:t>
      </w:r>
      <w:r>
        <w:rPr>
          <w:rFonts w:ascii="Arial" w:cs="Arial" w:eastAsia="Arial" w:hAnsi="Arial"/>
          <w:sz w:val="20"/>
          <w:szCs w:val="20"/>
          <w:u w:val="single" w:color="auto"/>
          <w:color w:val="0000FF"/>
        </w:rPr>
        <w:t>Note 13 – Redeemable Perpetual Preferred Stock</w:t>
      </w:r>
      <w:r>
        <w:rPr>
          <w:rFonts w:ascii="Arial" w:cs="Arial" w:eastAsia="Arial" w:hAnsi="Arial"/>
          <w:sz w:val="20"/>
          <w:szCs w:val="20"/>
          <w:color w:val="auto"/>
        </w:rPr>
        <w:t>, to the accompanying condensed consolidated financial statements.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January 2022, we issued 50,000 of Series A Redeemable Perpetual Preferred Stock, and 1,125,000 shares of our common stock in an Additional Closing for an aggregate purchase price of $49,376,125.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Registration Rights Agreement</w:t>
      </w:r>
    </w:p>
    <w:p>
      <w:pPr>
        <w:spacing w:after="0" w:line="1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Direct costs associated with the issuance of the securities were $11.1 million, which along with the $4.4 million discount, have been accounted for as a reduction in the proceeds of the securities. These net proceeds of $334.6 million have been allocated on the balance sheet to the preferred shares of $229.8 million, common stock of $105.4 million and additional paid-in capital of $12.4 million for the committed financing put right. The Company has presented the preferred shares in temporary equity and is accreting the carrying amount to its full redemption amount from the date of issuance to the earliest redemption date using the effective interest method. Such accretion totaled $5.9 million and $17.2 million for the three and nine months ended September 30, 2022.</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accreted the dividends at an accrual rate of 6.25% to the Liquidation Preference of the Series A Redeemable Perpetual Preferred Stock, or $6.1 million and $18.7 million in dividends, for the three and nine months ended September 30, 2022,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10 – Senior Secured Credit Facility</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11 – Convertible Debt</w:t>
      </w:r>
      <w:r>
        <w:rPr>
          <w:rFonts w:ascii="Arial" w:cs="Arial" w:eastAsia="Arial" w:hAnsi="Arial"/>
          <w:sz w:val="20"/>
          <w:szCs w:val="20"/>
          <w:color w:val="auto"/>
        </w:rPr>
        <w:t xml:space="preserve"> in our condensed consolidated financial statements included in this Quarterly Report.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30, 2022, we posted surety bonds in the total amount of approximately $175.2 million. We are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September 30, 2022, there were the following changes in the application of our critical accounting policies or estimation procedures from those presented in our 2021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business acquisitions under the acquisition method of accounting in accordance with the Financial Accounting Standards Board’s (“FASB”) Accounting Standards Codification (“ASC”) Topic 805 Business Combinations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 The valuation of intangible assets, in particular, requires that we use valuation techniques such as the income approach. The income approach includes the use of a discounted cash flow model, which includes discounted cash flow scenarios and requires the following significant estimates: revenue, expenses, capital spending and other costs, and discount rates based on the respective risks of the cash flows. Under the acquisition method of accounting, the aggregate amount of consideration we pay for a company is allocated to net tangible assets and intangible assets based on their estimated fair values as of the acquisition date. The excess of the purchase price over the value of the net tangible assets and intangible assets is recorded to goodwill. Goodwill is evaluated for impairment annually.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the U.S. dollar at period end exchange rates. Income, expense and cash flow items are translated at average exchange rates prevailing during the period.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revenue and depreciation are remeasured at historical rates, and all other income and expense items are translated at average exchange rates prevailing during the period. Gains and losses which result from remeasurement are included in earnings.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Financing Exposure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also indirectly exposed to interest rate risk because many of our customers depend on debt financings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and Component Risk</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exposed to price risks for the raw materials, components, logistics services, and energy costs used in the manufacturing and transportation of our product. Additionally, some of our raw materials and components are sourced from a limited number of suppliers or a single supplier. We evaluate our suppliers using a robust qualification process. In some cases, we also enter into long-term supply contracts for raw materials and components. Accordingly, we are exposed to price changes in the raw materials and components used in our our product. In addition, the failure of a key supplier could disrupt our supply chain, which could result in higher prices and/or a disruption in our manufacturing process. We may be unable to pass along changes in the costs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4" w:name="page55"/>
    <w:bookmarkEnd w:id="54"/>
    <w:p>
      <w:pPr>
        <w:jc w:val="both"/>
        <w:ind w:right="20"/>
        <w:spacing w:after="0" w:line="261" w:lineRule="auto"/>
        <w:rPr>
          <w:sz w:val="20"/>
          <w:szCs w:val="20"/>
          <w:color w:val="auto"/>
        </w:rPr>
      </w:pPr>
      <w:r>
        <w:rPr>
          <w:rFonts w:ascii="Arial" w:cs="Arial" w:eastAsia="Arial" w:hAnsi="Arial"/>
          <w:sz w:val="20"/>
          <w:szCs w:val="20"/>
          <w:color w:val="auto"/>
        </w:rPr>
        <w:t>of the raw materials and components for our product, or the costs associated with logistics services for the distribution of our product, to our customers and may be in default of our delivery obligations if we experience a manufacturing disruption.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September 30, 2022. Based upon the evaluation, our Chief Executive Officer and Chief Financial Officer concluded that, as of such date, our disclosure controls and procedures were not effective at a reasonable assurance level, due to the material weaknesses identified during the three months ended June 30, 2022, in addition to those previously identified and disclosed in our 2021 Annual Report.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Management determined that the previously disclosed material weaknesses in its internal control over financial reporting continue to exist at September 30, 2022. Specifically:</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Control Environment and Monitoring Activities </w:t>
      </w:r>
      <w:r>
        <w:rPr>
          <w:rFonts w:ascii="Arial" w:cs="Arial" w:eastAsia="Arial" w:hAnsi="Arial"/>
          <w:sz w:val="20"/>
          <w:szCs w:val="20"/>
          <w:color w:val="auto"/>
        </w:rPr>
        <w:t>– We did not maintain appropriately designed entity-level controls impacting the</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and (ii) ineffective evaluation and determination as to whether the components of internal control were present and functioning.</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55" w:lineRule="exact"/>
        <w:rPr>
          <w:sz w:val="20"/>
          <w:szCs w:val="20"/>
          <w:color w:val="auto"/>
        </w:rPr>
      </w:pPr>
    </w:p>
    <w:p>
      <w:pPr>
        <w:ind w:left="660" w:hanging="328"/>
        <w:spacing w:after="0" w:line="267" w:lineRule="auto"/>
        <w:tabs>
          <w:tab w:leader="none" w:pos="648" w:val="left"/>
        </w:tabs>
        <w:numPr>
          <w:ilvl w:val="0"/>
          <w:numId w:val="26"/>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and implement controls over the existence, accuracy, and cutoff of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As previously reported, we identified a material weakness relating to inventory cut-off and in-transit inventory.</w:t>
      </w:r>
    </w:p>
    <w:p>
      <w:pPr>
        <w:spacing w:after="0" w:line="1" w:lineRule="exact"/>
        <w:rPr>
          <w:rFonts w:ascii="Arial" w:cs="Arial" w:eastAsia="Arial" w:hAnsi="Arial"/>
          <w:sz w:val="20"/>
          <w:szCs w:val="20"/>
          <w:b w:val="1"/>
          <w:bCs w:val="1"/>
          <w:color w:val="auto"/>
        </w:rPr>
      </w:pPr>
    </w:p>
    <w:p>
      <w:pPr>
        <w:jc w:val="both"/>
        <w:ind w:left="660" w:hanging="328"/>
        <w:spacing w:after="0" w:line="261"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(i) We did not design, implement and maintain effective controls over revenue recognized for</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contracts relating to the proper application of Accounting Standards Codification Topic 606, Revenue from Contracts with Customers. Specifically, we did not maintain effective controls relating to the (1) identification and</w:t>
      </w:r>
    </w:p>
    <w:p>
      <w:pPr>
        <w:ind w:left="660"/>
        <w:spacing w:after="0" w:line="261" w:lineRule="auto"/>
        <w:rPr>
          <w:rFonts w:ascii="Arial" w:cs="Arial" w:eastAsia="Arial" w:hAnsi="Arial"/>
          <w:sz w:val="22"/>
          <w:szCs w:val="22"/>
          <w:color w:val="auto"/>
        </w:rPr>
      </w:pPr>
      <w:r>
        <w:rPr>
          <w:rFonts w:ascii="Arial" w:cs="Arial" w:eastAsia="Arial" w:hAnsi="Arial"/>
          <w:sz w:val="20"/>
          <w:szCs w:val="20"/>
          <w:color w:val="auto"/>
        </w:rPr>
        <w:t>recognition of performance obligations for customer contracts and (2) evaluation of customer contracts for potential combination.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55" w:name="page56"/>
    <w:bookmarkEnd w:id="55"/>
    <w:p>
      <w:pPr>
        <w:jc w:val="both"/>
        <w:ind w:left="66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fully design, implement and maintain effective controls over the existence of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Specifically, we did not design certain controls at an appropriate precision level to identify material misstatements.</w:t>
      </w:r>
    </w:p>
    <w:p>
      <w:pPr>
        <w:spacing w:after="0" w:line="62" w:lineRule="exact"/>
        <w:rPr>
          <w:rFonts w:ascii="Arial" w:cs="Arial" w:eastAsia="Arial" w:hAnsi="Arial"/>
          <w:sz w:val="20"/>
          <w:szCs w:val="20"/>
          <w:color w:val="auto"/>
        </w:rPr>
      </w:pPr>
    </w:p>
    <w:p>
      <w:pPr>
        <w:jc w:val="both"/>
        <w:ind w:left="66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Sales Order Entry </w:t>
      </w:r>
      <w:r>
        <w:rPr>
          <w:rFonts w:ascii="Arial" w:cs="Arial" w:eastAsia="Arial" w:hAnsi="Arial"/>
          <w:sz w:val="20"/>
          <w:szCs w:val="20"/>
          <w:color w:val="auto"/>
        </w:rPr>
        <w:t>– We did not design, implement and maintain effective controls over the accuracy of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specifically related to the sales order entry process. We did not maintain effective controls over contract entry to ensure accurate recording in our information systems.</w:t>
      </w:r>
    </w:p>
    <w:p>
      <w:pPr>
        <w:spacing w:after="0" w:line="62" w:lineRule="exact"/>
        <w:rPr>
          <w:rFonts w:ascii="Arial" w:cs="Arial" w:eastAsia="Arial" w:hAnsi="Arial"/>
          <w:sz w:val="20"/>
          <w:szCs w:val="20"/>
          <w:color w:val="auto"/>
        </w:rPr>
      </w:pPr>
    </w:p>
    <w:p>
      <w:pPr>
        <w:jc w:val="both"/>
        <w:ind w:left="66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Consolidation </w:t>
      </w:r>
      <w:r>
        <w:rPr>
          <w:rFonts w:ascii="Arial" w:cs="Arial" w:eastAsia="Arial" w:hAnsi="Arial"/>
          <w:sz w:val="20"/>
          <w:szCs w:val="20"/>
          <w:color w:val="auto"/>
        </w:rPr>
        <w:t>- We did not design, implement and maintain effective controls over the consolidation of our foreign</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which resulted in a classification error of certain personnel costs in the consolidated Company financial statements.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in the process of, and continue to focus on, designing and implementing effective measures to strengthen our internal controls over financial reporting and remediate the material weaknesses. Our planned remediation efforts include the following:</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Consistent with the Committee of Sponsoring Organizations of the Treadway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Commission’s 2013 </w:t>
      </w:r>
      <w:r>
        <w:rPr>
          <w:rFonts w:ascii="Arial" w:cs="Arial" w:eastAsia="Arial" w:hAnsi="Arial"/>
          <w:sz w:val="20"/>
          <w:szCs w:val="20"/>
          <w:i w:val="1"/>
          <w:iCs w:val="1"/>
          <w:color w:val="auto"/>
        </w:rPr>
        <w:t>Internal Control — Integrated</w:t>
      </w:r>
      <w:r>
        <w:rPr>
          <w:rFonts w:ascii="Arial" w:cs="Arial" w:eastAsia="Arial" w:hAnsi="Arial"/>
          <w:sz w:val="20"/>
          <w:szCs w:val="20"/>
          <w:color w:val="auto"/>
        </w:rPr>
        <w:t xml:space="preserve"> Framework (COSO 2013 Framework), Principle 4, attracting, developing, and retaining competent personnel, we hired a Chief Accounting Officer (“CAO”) who is providing an additional level of technical accounting expertise, oversight, and monitoring of the design and performance of both existing and newly implemented controls as noted below. Subsequent to the addition of the new CAO, we have hired and will continue to hire additional resources throughout the remainder of 2022 in accounting and IT to supplement our existing capabilities and capacity, and we will concentrate on retaining key accounting, IT, and operational personnel. These actions will further serve to remediate the material weakness under the COSO 2013 Framework, Principle 16, by enhancing the efforts towards separate evaluations regarding the presence and functionality of the components of internal control, specifically in the areas of inventory, revenue recognition, accounts receivable, sales order entry, and the consolidation process as noted below.</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2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are enhancing the design of existing controls and are implementing new controls over the accounting,</w:t>
      </w:r>
    </w:p>
    <w:p>
      <w:pPr>
        <w:spacing w:after="0" w:line="46" w:lineRule="exact"/>
        <w:rPr>
          <w:rFonts w:ascii="Arial" w:cs="Arial" w:eastAsia="Arial" w:hAnsi="Arial"/>
          <w:sz w:val="20"/>
          <w:szCs w:val="20"/>
          <w:color w:val="auto"/>
        </w:rPr>
      </w:pPr>
    </w:p>
    <w:p>
      <w:pPr>
        <w:jc w:val="both"/>
        <w:ind w:left="660"/>
        <w:spacing w:after="0" w:line="271" w:lineRule="auto"/>
        <w:rPr>
          <w:rFonts w:ascii="Arial" w:cs="Arial" w:eastAsia="Arial" w:hAnsi="Arial"/>
          <w:sz w:val="20"/>
          <w:szCs w:val="20"/>
          <w:color w:val="auto"/>
        </w:rPr>
      </w:pPr>
      <w:r>
        <w:rPr>
          <w:rFonts w:ascii="Arial" w:cs="Arial" w:eastAsia="Arial" w:hAnsi="Arial"/>
          <w:sz w:val="19"/>
          <w:szCs w:val="19"/>
          <w:color w:val="auto"/>
        </w:rPr>
        <w:t>processing, and recording of inventory. Specifically, we have strengthened the design of the management review control over inventory-in-transit. Additionally, we have implemented processes to ensure timely identification and evaluation of inventory cut-off and are requiring additional accountability from counterparties on the accuracy of incoming and</w:t>
      </w:r>
    </w:p>
    <w:p>
      <w:pPr>
        <w:spacing w:after="0" w:line="2" w:lineRule="exact"/>
        <w:rPr>
          <w:rFonts w:ascii="Arial" w:cs="Arial" w:eastAsia="Arial" w:hAnsi="Arial"/>
          <w:sz w:val="20"/>
          <w:szCs w:val="20"/>
          <w:color w:val="auto"/>
        </w:rPr>
      </w:pPr>
    </w:p>
    <w:p>
      <w:pPr>
        <w:ind w:left="660"/>
        <w:spacing w:after="0" w:line="261" w:lineRule="auto"/>
        <w:rPr>
          <w:rFonts w:ascii="Arial" w:cs="Arial" w:eastAsia="Arial" w:hAnsi="Arial"/>
          <w:sz w:val="20"/>
          <w:szCs w:val="20"/>
          <w:color w:val="auto"/>
        </w:rPr>
      </w:pPr>
      <w:r>
        <w:rPr>
          <w:rFonts w:ascii="Arial" w:cs="Arial" w:eastAsia="Arial" w:hAnsi="Arial"/>
          <w:sz w:val="20"/>
          <w:szCs w:val="20"/>
          <w:color w:val="auto"/>
        </w:rPr>
        <w:t>outgoing shipment documentation. We have deployed information system enhancements and improved the use of current system capabilities in order to improve the accuracy of inventory cut-off, reporting, and reconciliation.</w:t>
      </w:r>
    </w:p>
    <w:p>
      <w:pPr>
        <w:spacing w:after="0" w:line="73"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have enhanced the design of existing controls and have implemented new controls over the</w:t>
      </w:r>
      <w:r>
        <w:rPr>
          <w:rFonts w:ascii="Arial" w:cs="Arial" w:eastAsia="Arial" w:hAnsi="Arial"/>
          <w:sz w:val="20"/>
          <w:szCs w:val="20"/>
          <w:i w:val="1"/>
          <w:iCs w:val="1"/>
          <w:color w:val="auto"/>
        </w:rPr>
        <w:t xml:space="preserve"> </w:t>
      </w:r>
      <w:r>
        <w:rPr>
          <w:rFonts w:ascii="Arial" w:cs="Arial" w:eastAsia="Arial" w:hAnsi="Arial"/>
          <w:sz w:val="20"/>
          <w:szCs w:val="20"/>
          <w:color w:val="auto"/>
        </w:rPr>
        <w:t>review of the application and recording of revenue for customer contracts under the guidance outlined in ASC 606. We</w:t>
      </w: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have also designed and implemented more precise reviews and documentation regarding evaluation of contract terms and whether contracts should be combined. These reviews include increased contract analysis from our legal team as well as ensuring qualified</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56" w:name="page57"/>
    <w:bookmarkEnd w:id="56"/>
    <w:p>
      <w:pPr>
        <w:ind w:left="660"/>
        <w:spacing w:after="0"/>
        <w:rPr>
          <w:sz w:val="20"/>
          <w:szCs w:val="20"/>
          <w:color w:val="auto"/>
        </w:rPr>
      </w:pPr>
      <w:r>
        <w:rPr>
          <w:rFonts w:ascii="Arial" w:cs="Arial" w:eastAsia="Arial" w:hAnsi="Arial"/>
          <w:sz w:val="20"/>
          <w:szCs w:val="20"/>
          <w:color w:val="auto"/>
        </w:rPr>
        <w:t>resources are involved and adequate oversight is performed during the internal technical accounting review process.</w:t>
      </w:r>
    </w:p>
    <w:p>
      <w:pPr>
        <w:spacing w:after="0" w:line="101"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have enhanced the design of existing controls and implemented new controls over the</w:t>
      </w:r>
    </w:p>
    <w:p>
      <w:pPr>
        <w:spacing w:after="0" w:line="46" w:lineRule="exact"/>
        <w:rPr>
          <w:rFonts w:ascii="Arial" w:cs="Arial" w:eastAsia="Arial" w:hAnsi="Arial"/>
          <w:sz w:val="20"/>
          <w:szCs w:val="20"/>
          <w:color w:val="auto"/>
        </w:rPr>
      </w:pP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processing and review of accounts receivable billings. We are supplementing our accounting staff with more experienced personnel. In addition, we will continue to evaluate information system capabilities in order to reduce the manual calculations within this business process.</w:t>
      </w:r>
    </w:p>
    <w:p>
      <w:pPr>
        <w:spacing w:after="0" w:line="91"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Sales Order Entry Process </w:t>
      </w:r>
      <w:r>
        <w:rPr>
          <w:rFonts w:ascii="Arial" w:cs="Arial" w:eastAsia="Arial" w:hAnsi="Arial"/>
          <w:sz w:val="20"/>
          <w:szCs w:val="20"/>
          <w:color w:val="auto"/>
        </w:rPr>
        <w:t>– We are enhancing the design of our existing controls over contract value adjustments.</w:t>
      </w:r>
      <w:r>
        <w:rPr>
          <w:rFonts w:ascii="Arial" w:cs="Arial" w:eastAsia="Arial" w:hAnsi="Arial"/>
          <w:sz w:val="20"/>
          <w:szCs w:val="20"/>
          <w:i w:val="1"/>
          <w:iCs w:val="1"/>
          <w:color w:val="auto"/>
        </w:rPr>
        <w:t xml:space="preserve"> </w:t>
      </w:r>
      <w:r>
        <w:rPr>
          <w:rFonts w:ascii="Arial" w:cs="Arial" w:eastAsia="Arial" w:hAnsi="Arial"/>
          <w:sz w:val="20"/>
          <w:szCs w:val="20"/>
          <w:color w:val="auto"/>
        </w:rPr>
        <w:t>Specifically, we have implemented additional procedures for our accounting staff to obtain and review documentation to confirm that contract value changes completed by the sales order entry process are accurate. In addition, we will evaluate information system capabilities to reduce the manual calculations within this business process.</w:t>
      </w:r>
    </w:p>
    <w:p>
      <w:pPr>
        <w:spacing w:after="0" w:line="83" w:lineRule="exact"/>
        <w:rPr>
          <w:rFonts w:ascii="Arial" w:cs="Arial" w:eastAsia="Arial" w:hAnsi="Arial"/>
          <w:sz w:val="20"/>
          <w:szCs w:val="20"/>
          <w:color w:val="auto"/>
        </w:rPr>
      </w:pPr>
    </w:p>
    <w:p>
      <w:pPr>
        <w:jc w:val="both"/>
        <w:ind w:left="660" w:hanging="328"/>
        <w:spacing w:after="0" w:line="261"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20"/>
          <w:szCs w:val="20"/>
          <w:i w:val="1"/>
          <w:iCs w:val="1"/>
          <w:color w:val="auto"/>
        </w:rPr>
        <w:t xml:space="preserve">Consolidation Process </w:t>
      </w:r>
      <w:r>
        <w:rPr>
          <w:rFonts w:ascii="Arial" w:cs="Arial" w:eastAsia="Arial" w:hAnsi="Arial"/>
          <w:sz w:val="20"/>
          <w:szCs w:val="20"/>
          <w:color w:val="auto"/>
        </w:rPr>
        <w:t>– We are enhancing the design of existing controls over the consolidation of foreign entities into</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Company’s consolidated financial statements. Additionally, we will strengthen the design of the management review control over the consolidation process include better-documented review criteria, review responsibilities and review</w:t>
      </w:r>
    </w:p>
    <w:p>
      <w:pPr>
        <w:ind w:left="660"/>
        <w:spacing w:after="0" w:line="261" w:lineRule="auto"/>
        <w:rPr>
          <w:rFonts w:ascii="Arial" w:cs="Arial" w:eastAsia="Arial" w:hAnsi="Arial"/>
          <w:sz w:val="22"/>
          <w:szCs w:val="22"/>
          <w:color w:val="auto"/>
        </w:rPr>
      </w:pPr>
      <w:r>
        <w:rPr>
          <w:rFonts w:ascii="Arial" w:cs="Arial" w:eastAsia="Arial" w:hAnsi="Arial"/>
          <w:sz w:val="20"/>
          <w:szCs w:val="20"/>
          <w:color w:val="auto"/>
        </w:rPr>
        <w:t>expectations. In addition, we will evaluate information system capabilities to further automate the partially manual consolidation process.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these actions taken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acquired STI on January 11, 2022. As a result, we are reviewing the impact of the acquisition to our overall control environment and are making appropriate changes as deemed necessary to our control structure. The scope of management’s assessment of the effectiveness of the Company’s disclosure controls and procedures for fiscal year end 2022 will not include the internal control over the financial reporting of STI, in accordance with the SEC’s staff guidance that permits exclusion of acquisitions from their final assessment of internal control over financial reporting for the fiscal year in which the acquisition occurred. Due to the size, breadth and complexity of STI’s global operation, management’s evaluation of internal control over financial reporting for the fiscal year ended December 31, 2022 will exclude the internal control activities of STI. STI represented 15% of total consolidated assets of the Company at September 30, 2022, excluding goodwill and intangible assets which are included within the scope of management’s assessment, and approximately 24% and 20% of total consolidated revenues of the Company for the three and nine months ended September 30, 2022, respectively. Except for the changes in internal control related to the acquisition of STI, there have been no changes to our internal control over financial reporting during the three months ended September 30, 2022, that have materially affected, or that are reasonably likely to materially affect, our internal control over financial reporting.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August 30, 2017, the Company filed its first amended complaint in the U.S. District Court for the District of New Mexico against </w:t>
      </w:r>
      <w:r>
        <w:rPr>
          <w:rFonts w:ascii="Arial" w:cs="Arial" w:eastAsia="Arial" w:hAnsi="Arial"/>
          <w:sz w:val="20"/>
          <w:szCs w:val="20"/>
          <w:color w:val="0A0A0A"/>
        </w:rPr>
        <w:t>Nextracker LLC, Daniel S. Shugar, Marco Garcia, Flextronics International U.S.A., Inc., Scott Graybeal and Colin</w:t>
      </w:r>
      <w:r>
        <w:rPr>
          <w:rFonts w:ascii="Arial" w:cs="Arial" w:eastAsia="Arial" w:hAnsi="Arial"/>
          <w:sz w:val="20"/>
          <w:szCs w:val="20"/>
          <w:color w:val="auto"/>
        </w:rPr>
        <w:t xml:space="preserve"> </w:t>
      </w:r>
      <w:r>
        <w:rPr>
          <w:rFonts w:ascii="Arial" w:cs="Arial" w:eastAsia="Arial" w:hAnsi="Arial"/>
          <w:sz w:val="20"/>
          <w:szCs w:val="20"/>
          <w:color w:val="0A0A0A"/>
        </w:rPr>
        <w:t xml:space="preserve">Mitchell </w:t>
      </w:r>
      <w:r>
        <w:rPr>
          <w:rFonts w:ascii="Arial" w:cs="Arial" w:eastAsia="Arial" w:hAnsi="Arial"/>
          <w:sz w:val="20"/>
          <w:szCs w:val="20"/>
          <w:color w:val="000000"/>
        </w:rPr>
        <w:t>(collectively, the “Defendants”) asserting (among other claims) trade secret misappropriation, tortious interference with</w:t>
      </w:r>
      <w:r>
        <w:rPr>
          <w:rFonts w:ascii="Arial" w:cs="Arial" w:eastAsia="Arial" w:hAnsi="Arial"/>
          <w:sz w:val="20"/>
          <w:szCs w:val="20"/>
          <w:color w:val="0A0A0A"/>
        </w:rPr>
        <w:t xml:space="preserve"> </w:t>
      </w:r>
      <w:r>
        <w:rPr>
          <w:rFonts w:ascii="Arial" w:cs="Arial" w:eastAsia="Arial" w:hAnsi="Arial"/>
          <w:sz w:val="20"/>
          <w:szCs w:val="20"/>
          <w:color w:val="000000"/>
        </w:rPr>
        <w:t>contract, fraud, and breach of contract (the “Nextracker Litigation”).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On July 15, 2022, the Company settled its claims against Defendants for $42.8 million and received payment on August 4, 2022.</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20"/>
          <w:szCs w:val="20"/>
          <w:color w:val="auto"/>
        </w:rPr>
        <w:t>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August 17, 2022, the Court in the Plymouth Action set a briefing schedule for any motion to dismiss with the opening motion and supporting memorandum to be filed on or before October 17, 2022, any opposition to be filed on or before December 16, 2022, and any reply in support of the motion to be filed on or before January 16, 2023. The Company and the other defendants in the Plymouth Action filed a join motion to dismiss the Consolidated Amended Complaint on October 17, 2022.</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On August 3, 2022, a verified derivative complaint was filed </w:t>
      </w:r>
      <w:r>
        <w:rPr>
          <w:rFonts w:ascii="Arial" w:cs="Arial" w:eastAsia="Arial" w:hAnsi="Arial"/>
          <w:sz w:val="21"/>
          <w:szCs w:val="21"/>
          <w:color w:val="auto"/>
        </w:rPr>
        <w:t>in the Court of Chancery of the State of Delaware (the “Court</w:t>
      </w:r>
      <w:r>
        <w:rPr>
          <w:rFonts w:ascii="Arial" w:cs="Arial" w:eastAsia="Arial" w:hAnsi="Arial"/>
          <w:sz w:val="20"/>
          <w:szCs w:val="20"/>
          <w:color w:val="auto"/>
        </w:rPr>
        <w:t xml:space="preserve"> </w:t>
      </w:r>
      <w:r>
        <w:rPr>
          <w:rFonts w:ascii="Arial" w:cs="Arial" w:eastAsia="Arial" w:hAnsi="Arial"/>
          <w:sz w:val="21"/>
          <w:szCs w:val="21"/>
          <w:color w:val="auto"/>
        </w:rPr>
        <w:t xml:space="preserve">of Chancery”) </w:t>
      </w:r>
      <w:r>
        <w:rPr>
          <w:rFonts w:ascii="Arial" w:cs="Arial" w:eastAsia="Arial" w:hAnsi="Arial"/>
          <w:sz w:val="19"/>
          <w:szCs w:val="19"/>
          <w:color w:val="auto"/>
        </w:rPr>
        <w:t>against certain officers and directors of the Company asserting claims for: (1) breach of fiduciary duty and (2)</w:t>
      </w:r>
      <w:r>
        <w:rPr>
          <w:rFonts w:ascii="Arial" w:cs="Arial" w:eastAsia="Arial" w:hAnsi="Arial"/>
          <w:sz w:val="21"/>
          <w:szCs w:val="21"/>
          <w:color w:val="auto"/>
        </w:rPr>
        <w:t xml:space="preserve"> </w:t>
      </w:r>
      <w:r>
        <w:rPr>
          <w:rFonts w:ascii="Arial" w:cs="Arial" w:eastAsia="Arial" w:hAnsi="Arial"/>
          <w:sz w:val="19"/>
          <w:szCs w:val="19"/>
          <w:color w:val="auto"/>
        </w:rPr>
        <w:t>unjust enrichment (“First Delaware Derivative Action”).</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11, 2022, a second verified derivative complaint was filed against certain officers and directors of the Company in the Court of Chancery asserting claims for: (1) breach of fiduciary duty; (2) aiding and abetting breaches of fiduciary duty; (3) waste of corporate assets; (4) unjust enrichment; (5) insider selling; and (6) aiding and abetting insider selling (“Second Delaware Derivative Action”).</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w:t>
      </w:r>
      <w:r>
        <w:rPr>
          <w:rFonts w:ascii="Arial" w:cs="Arial" w:eastAsia="Arial" w:hAnsi="Arial"/>
          <w:sz w:val="21"/>
          <w:szCs w:val="21"/>
          <w:color w:val="auto"/>
        </w:rPr>
        <w:t>Consolidated Amended Complaint in the</w:t>
      </w:r>
      <w:r>
        <w:rPr>
          <w:rFonts w:ascii="Arial" w:cs="Arial" w:eastAsia="Arial" w:hAnsi="Arial"/>
          <w:sz w:val="20"/>
          <w:szCs w:val="20"/>
          <w:color w:val="auto"/>
        </w:rPr>
        <w:t xml:space="preserve"> Plymouth Action, (b) to the extent the </w:t>
      </w:r>
      <w:r>
        <w:rPr>
          <w:rFonts w:ascii="Arial" w:cs="Arial" w:eastAsia="Arial" w:hAnsi="Arial"/>
          <w:sz w:val="21"/>
          <w:szCs w:val="21"/>
          <w:color w:val="auto"/>
        </w:rPr>
        <w:t>Consolidated Amended Complaint</w:t>
      </w:r>
      <w:r>
        <w:rPr>
          <w:rFonts w:ascii="Arial" w:cs="Arial" w:eastAsia="Arial" w:hAnsi="Arial"/>
          <w:sz w:val="20"/>
          <w:szCs w:val="20"/>
          <w:color w:val="auto"/>
        </w:rPr>
        <w:t xml:space="preserve"> in the Plymouth Action is further amended, the entry of an order on any motions to dismiss any such amended complaints in the Plymouth Action, or (c) the public announcement of a settlement of the Plymouth Action.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jc w:val="both"/>
        <w:spacing w:after="0" w:line="260" w:lineRule="auto"/>
        <w:rPr>
          <w:rFonts w:ascii="Arial" w:cs="Arial" w:eastAsia="Arial" w:hAnsi="Arial"/>
          <w:sz w:val="20"/>
          <w:szCs w:val="20"/>
          <w:color w:val="0000FF"/>
        </w:rPr>
      </w:pPr>
      <w:r>
        <w:rPr>
          <w:rFonts w:ascii="Arial" w:cs="Arial" w:eastAsia="Arial" w:hAnsi="Arial"/>
          <w:sz w:val="20"/>
          <w:szCs w:val="20"/>
          <w:color w:val="auto"/>
        </w:rPr>
        <w:t xml:space="preserve">Except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 Financial</w:t>
      </w:r>
      <w:r>
        <w:rPr>
          <w:rFonts w:ascii="Arial" w:cs="Arial" w:eastAsia="Arial" w:hAnsi="Arial"/>
          <w:sz w:val="20"/>
          <w:szCs w:val="20"/>
          <w:color w:val="auto"/>
        </w:rPr>
        <w:t xml:space="preserve"> </w:t>
      </w:r>
      <w:hyperlink r:id="rId81">
        <w:r>
          <w:rPr>
            <w:rFonts w:ascii="Arial" w:cs="Arial" w:eastAsia="Arial" w:hAnsi="Arial"/>
            <w:sz w:val="20"/>
            <w:szCs w:val="20"/>
            <w:u w:val="single" w:color="auto"/>
            <w:color w:val="0000FF"/>
          </w:rPr>
          <w:t>Condition and Results of Operations”</w:t>
        </w:r>
        <w:r>
          <w:rPr>
            <w:rFonts w:ascii="Arial" w:cs="Arial" w:eastAsia="Arial" w:hAnsi="Arial"/>
            <w:sz w:val="20"/>
            <w:szCs w:val="20"/>
            <w:color w:val="000000"/>
            <w:highlight w:val="white"/>
          </w:rPr>
          <w:t>) there were no material changes to the risk factors disclosed in Part I, Item 1A, in our</w:t>
        </w:r>
        <w:r>
          <w:rPr>
            <w:rFonts w:ascii="Arial" w:cs="Arial" w:eastAsia="Arial" w:hAnsi="Arial"/>
            <w:sz w:val="20"/>
            <w:szCs w:val="20"/>
            <w:color w:val="0000FF"/>
          </w:rPr>
          <w:t xml:space="preserve"> </w:t>
        </w:r>
        <w:r>
          <w:rPr>
            <w:rFonts w:ascii="Arial" w:cs="Arial" w:eastAsia="Arial" w:hAnsi="Arial"/>
            <w:sz w:val="20"/>
            <w:szCs w:val="20"/>
            <w:u w:val="single" w:color="auto"/>
            <w:color w:val="0000FF"/>
            <w:highlight w:val="white"/>
          </w:rPr>
          <w:t>2021</w:t>
        </w:r>
      </w:hyperlink>
      <w:r>
        <w:rPr>
          <w:rFonts w:ascii="Arial" w:cs="Arial" w:eastAsia="Arial" w:hAnsi="Arial"/>
          <w:sz w:val="20"/>
          <w:szCs w:val="20"/>
          <w:color w:val="0000FF"/>
        </w:rPr>
        <w:t xml:space="preserve"> </w:t>
      </w:r>
      <w:hyperlink r:id="rId81">
        <w:r>
          <w:rPr>
            <w:rFonts w:ascii="Arial" w:cs="Arial" w:eastAsia="Arial" w:hAnsi="Arial"/>
            <w:sz w:val="20"/>
            <w:szCs w:val="20"/>
            <w:u w:val="single" w:color="auto"/>
            <w:color w:val="0000FF"/>
          </w:rPr>
          <w:t>Annual Report</w:t>
        </w:r>
        <w:r>
          <w:rPr>
            <w:rFonts w:ascii="Arial" w:cs="Arial" w:eastAsia="Arial" w:hAnsi="Arial"/>
            <w:sz w:val="20"/>
            <w:szCs w:val="20"/>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8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 xml:space="preserve">Information regarding our unregistered sales of equity securities can be found in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to the accompanying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60" w:type="dxa"/>
            <w:vAlign w:val="bottom"/>
            <w:gridSpan w:val="2"/>
          </w:tcPr>
          <w:p>
            <w:pPr>
              <w:spacing w:after="0"/>
              <w:rPr>
                <w:sz w:val="20"/>
                <w:szCs w:val="20"/>
                <w:color w:val="auto"/>
              </w:rPr>
            </w:pPr>
            <w:r>
              <w:rPr>
                <w:rFonts w:ascii="Arial" w:cs="Arial" w:eastAsia="Arial" w:hAnsi="Arial"/>
                <w:sz w:val="20"/>
                <w:szCs w:val="20"/>
                <w:color w:val="auto"/>
              </w:rPr>
              <w:t>None.</w:t>
            </w: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8"/>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Number</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4"/>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01"/>
        </w:trPr>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20"/>
                <w:szCs w:val="20"/>
                <w:color w:val="auto"/>
              </w:rPr>
              <w:t>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5"/>
            <w:shd w:val="clear" w:color="auto" w:fill="CCEEFF"/>
          </w:tcPr>
          <w:p>
            <w:pPr>
              <w:spacing w:after="0" w:line="201" w:lineRule="exact"/>
              <w:rPr>
                <w:rFonts w:ascii="Arial" w:cs="Arial" w:eastAsia="Arial" w:hAnsi="Arial"/>
                <w:sz w:val="20"/>
                <w:szCs w:val="20"/>
                <w:color w:val="0000FF"/>
              </w:rPr>
            </w:pPr>
            <w:hyperlink r:id="rId83">
              <w:r>
                <w:rPr>
                  <w:rFonts w:ascii="Arial" w:cs="Arial" w:eastAsia="Arial" w:hAnsi="Arial"/>
                  <w:sz w:val="20"/>
                  <w:szCs w:val="20"/>
                  <w:color w:val="0000FF"/>
                </w:rPr>
                <w:t>Amended and Restated Certificate of Incorporation of Array</w:t>
              </w:r>
            </w:hyperlink>
          </w:p>
        </w:tc>
        <w:tc>
          <w:tcPr>
            <w:tcW w:w="102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20"/>
                <w:szCs w:val="20"/>
                <w:color w:val="auto"/>
                <w:w w:val="96"/>
              </w:rPr>
              <w:t>8-K</w:t>
            </w: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201"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3"/>
            <w:shd w:val="clear" w:color="auto" w:fill="CCEEFF"/>
          </w:tcPr>
          <w:p>
            <w:pPr>
              <w:spacing w:after="0" w:line="183" w:lineRule="exact"/>
              <w:rPr>
                <w:rFonts w:ascii="Arial" w:cs="Arial" w:eastAsia="Arial" w:hAnsi="Arial"/>
                <w:sz w:val="20"/>
                <w:szCs w:val="20"/>
                <w:color w:val="0000FF"/>
              </w:rPr>
            </w:pPr>
            <w:hyperlink r:id="rId83">
              <w:r>
                <w:rPr>
                  <w:rFonts w:ascii="Arial" w:cs="Arial" w:eastAsia="Arial" w:hAnsi="Arial"/>
                  <w:sz w:val="20"/>
                  <w:szCs w:val="20"/>
                  <w:color w:val="0000FF"/>
                </w:rPr>
                <w:t>Technologies, Inc., dated October 19, 2020</w:t>
              </w:r>
            </w:hyperlink>
          </w:p>
        </w:tc>
        <w:tc>
          <w:tcPr>
            <w:tcW w:w="64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80" w:type="dxa"/>
            <w:vAlign w:val="bottom"/>
            <w:tcBorders>
              <w:top w:val="single" w:sz="8" w:color="0000FF"/>
            </w:tcBorders>
            <w:shd w:val="clear" w:color="auto" w:fill="CCEEFF"/>
          </w:tcPr>
          <w:p>
            <w:pPr>
              <w:spacing w:after="0"/>
              <w:rPr>
                <w:sz w:val="22"/>
                <w:szCs w:val="22"/>
                <w:color w:val="auto"/>
              </w:rPr>
            </w:pPr>
          </w:p>
        </w:tc>
        <w:tc>
          <w:tcPr>
            <w:tcW w:w="168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5"/>
          </w:tcPr>
          <w:p>
            <w:pPr>
              <w:spacing w:after="0" w:line="203" w:lineRule="exact"/>
              <w:rPr>
                <w:rFonts w:ascii="Arial" w:cs="Arial" w:eastAsia="Arial" w:hAnsi="Arial"/>
                <w:sz w:val="20"/>
                <w:szCs w:val="20"/>
                <w:color w:val="0000FF"/>
              </w:rPr>
            </w:pPr>
            <w:hyperlink r:id="rId84">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98"/>
              </w:rPr>
            </w:pPr>
            <w:hyperlink r:id="rId84">
              <w:r>
                <w:rPr>
                  <w:rFonts w:ascii="Arial" w:cs="Arial" w:eastAsia="Arial" w:hAnsi="Arial"/>
                  <w:sz w:val="20"/>
                  <w:szCs w:val="20"/>
                  <w:color w:val="0000FF"/>
                  <w:w w:val="98"/>
                </w:rPr>
                <w:t>dated October 19, 2020</w:t>
              </w:r>
            </w:hyperlink>
          </w:p>
        </w:tc>
        <w:tc>
          <w:tcPr>
            <w:tcW w:w="3120" w:type="dxa"/>
            <w:vAlign w:val="bottom"/>
            <w:tcBorders>
              <w:top w:val="single" w:sz="8" w:color="0000FF"/>
            </w:tcBorders>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p>
      <w:pPr>
        <w:spacing w:after="0" w:line="28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3.3</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10.3</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10.17</w:t>
      </w:r>
    </w:p>
    <w:p>
      <w:pPr>
        <w:spacing w:after="0" w:line="28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31.1*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rFonts w:ascii="Arial" w:cs="Arial" w:eastAsia="Arial" w:hAnsi="Arial"/>
          <w:sz w:val="19"/>
          <w:szCs w:val="19"/>
          <w:u w:val="single" w:color="auto"/>
          <w:color w:val="0000FF"/>
        </w:rPr>
      </w:pPr>
      <w:hyperlink r:id="rId86">
        <w:r>
          <w:rPr>
            <w:rFonts w:ascii="Arial" w:cs="Arial" w:eastAsia="Arial" w:hAnsi="Arial"/>
            <w:sz w:val="19"/>
            <w:szCs w:val="19"/>
            <w:u w:val="single" w:color="auto"/>
            <w:color w:val="0000FF"/>
          </w:rPr>
          <w:t>Certificate of Designations of Series A Perpetual Preferred Stock</w:t>
        </w:r>
      </w:hyperlink>
    </w:p>
    <w:p>
      <w:pPr>
        <w:spacing w:after="0" w:line="308" w:lineRule="exact"/>
        <w:rPr>
          <w:sz w:val="20"/>
          <w:szCs w:val="20"/>
          <w:color w:val="auto"/>
        </w:rPr>
      </w:pPr>
    </w:p>
    <w:p>
      <w:pPr>
        <w:ind w:right="20"/>
        <w:spacing w:after="0" w:line="272" w:lineRule="auto"/>
        <w:rPr>
          <w:rFonts w:ascii="Arial" w:cs="Arial" w:eastAsia="Arial" w:hAnsi="Arial"/>
          <w:sz w:val="19"/>
          <w:szCs w:val="19"/>
          <w:u w:val="single" w:color="auto"/>
          <w:color w:val="0000FF"/>
        </w:rPr>
      </w:pPr>
      <w:hyperlink r:id="rId87">
        <w:r>
          <w:rPr>
            <w:rFonts w:ascii="Arial" w:cs="Arial" w:eastAsia="Arial" w:hAnsi="Arial"/>
            <w:sz w:val="19"/>
            <w:szCs w:val="19"/>
            <w:u w:val="single" w:color="auto"/>
            <w:color w:val="0000FF"/>
          </w:rPr>
          <w:t>Registration Rights Agreement, dated January 11, 2022, by and</w:t>
        </w:r>
      </w:hyperlink>
      <w:r>
        <w:rPr>
          <w:rFonts w:ascii="Arial" w:cs="Arial" w:eastAsia="Arial" w:hAnsi="Arial"/>
          <w:sz w:val="19"/>
          <w:szCs w:val="19"/>
          <w:u w:val="single" w:color="auto"/>
          <w:color w:val="0000FF"/>
        </w:rPr>
        <w:t xml:space="preserve"> </w:t>
      </w:r>
      <w:hyperlink r:id="rId87">
        <w:r>
          <w:rPr>
            <w:rFonts w:ascii="Arial" w:cs="Arial" w:eastAsia="Arial" w:hAnsi="Arial"/>
            <w:sz w:val="19"/>
            <w:szCs w:val="19"/>
            <w:u w:val="single" w:color="auto"/>
            <w:color w:val="0000FF"/>
          </w:rPr>
          <w:t>among Array Technologies, Inc. and the holders identified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-11430</wp:posOffset>
            </wp:positionV>
            <wp:extent cx="7132320"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right="520"/>
        <w:spacing w:after="0" w:line="246" w:lineRule="auto"/>
        <w:rPr>
          <w:rFonts w:ascii="Arial" w:cs="Arial" w:eastAsia="Arial" w:hAnsi="Arial"/>
          <w:sz w:val="20"/>
          <w:szCs w:val="20"/>
          <w:u w:val="single" w:color="auto"/>
          <w:color w:val="0000FF"/>
        </w:rPr>
      </w:pPr>
      <w:hyperlink r:id="rId89">
        <w:r>
          <w:rPr>
            <w:rFonts w:ascii="Arial" w:cs="Arial" w:eastAsia="Arial" w:hAnsi="Arial"/>
            <w:sz w:val="20"/>
            <w:szCs w:val="20"/>
            <w:u w:val="single" w:color="auto"/>
            <w:color w:val="0000FF"/>
          </w:rPr>
          <w:t>Separation Agreement, dated as of March 31, 2022, by and</w:t>
        </w:r>
      </w:hyperlink>
      <w:r>
        <w:rPr>
          <w:rFonts w:ascii="Arial" w:cs="Arial" w:eastAsia="Arial" w:hAnsi="Arial"/>
          <w:sz w:val="20"/>
          <w:szCs w:val="20"/>
          <w:u w:val="single" w:color="auto"/>
          <w:color w:val="0000FF"/>
        </w:rPr>
        <w:t xml:space="preserve"> </w:t>
      </w:r>
      <w:hyperlink r:id="rId89">
        <w:r>
          <w:rPr>
            <w:rFonts w:ascii="Arial" w:cs="Arial" w:eastAsia="Arial" w:hAnsi="Arial"/>
            <w:sz w:val="20"/>
            <w:szCs w:val="20"/>
            <w:u w:val="single" w:color="auto"/>
            <w:color w:val="0000FF"/>
          </w:rPr>
          <w:t>between Array Technologies, Inc. and Jim Fusaro</w:t>
        </w:r>
      </w:hyperlink>
    </w:p>
    <w:p>
      <w:pPr>
        <w:spacing w:after="0" w:line="15" w:lineRule="exact"/>
        <w:rPr>
          <w:sz w:val="20"/>
          <w:szCs w:val="20"/>
          <w:color w:val="auto"/>
        </w:rPr>
      </w:pPr>
    </w:p>
    <w:p>
      <w:pPr>
        <w:spacing w:after="0" w:line="242" w:lineRule="auto"/>
        <w:rPr>
          <w:sz w:val="20"/>
          <w:szCs w:val="20"/>
          <w:color w:val="auto"/>
        </w:rPr>
      </w:pPr>
      <w:r>
        <w:rPr>
          <w:rFonts w:ascii="Arial" w:cs="Arial" w:eastAsia="Arial" w:hAnsi="Arial"/>
          <w:sz w:val="19"/>
          <w:szCs w:val="19"/>
          <w:u w:val="single" w:color="auto"/>
          <w:color w:val="0000FF"/>
        </w:rPr>
        <w:t>Certification of the Chief Executive Officer, as required by Section 302 of the Sarbanes- Oxley Act of 2002 (18 U.S.C. 1350)</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8"/>
              </w:rPr>
              <w:t>8/11/2021</w:t>
            </w:r>
          </w:p>
        </w:tc>
        <w:tc>
          <w:tcPr>
            <w:tcW w:w="740" w:type="dxa"/>
            <w:vAlign w:val="bottom"/>
          </w:tcPr>
          <w:p>
            <w:pPr>
              <w:jc w:val="center"/>
              <w:ind w:left="281"/>
              <w:spacing w:after="0"/>
              <w:rPr>
                <w:sz w:val="20"/>
                <w:szCs w:val="20"/>
                <w:color w:val="auto"/>
              </w:rPr>
            </w:pPr>
            <w:r>
              <w:rPr>
                <w:rFonts w:ascii="Arial" w:cs="Arial" w:eastAsia="Arial" w:hAnsi="Arial"/>
                <w:sz w:val="20"/>
                <w:szCs w:val="20"/>
                <w:color w:val="auto"/>
              </w:rPr>
              <w:t>3.1</w:t>
            </w:r>
          </w:p>
        </w:tc>
      </w:tr>
      <w:tr>
        <w:trPr>
          <w:trHeight w:val="526"/>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01/11/2022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10.1</w:t>
            </w:r>
          </w:p>
        </w:tc>
      </w:tr>
      <w:tr>
        <w:trPr>
          <w:trHeight w:val="500"/>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10.3</w:t>
            </w:r>
          </w:p>
        </w:tc>
      </w:tr>
    </w:tbl>
    <w:p>
      <w:pPr>
        <w:spacing w:after="0" w:line="903" w:lineRule="exact"/>
        <w:rPr>
          <w:sz w:val="20"/>
          <w:szCs w:val="20"/>
          <w:color w:val="auto"/>
        </w:rPr>
      </w:pPr>
    </w:p>
    <w:p>
      <w:pPr>
        <w:sectPr>
          <w:pgSz w:w="11900" w:h="16838" w:orient="portrait"/>
          <w:cols w:equalWidth="0" w:num="3">
            <w:col w:w="1020" w:space="660"/>
            <w:col w:w="5720" w:space="440"/>
            <w:col w:w="3400"/>
          </w:cols>
          <w:pgMar w:left="320" w:top="1313"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shd w:val="clear" w:color="auto" w:fill="CCEEFF"/>
          </w:tcPr>
          <w:p>
            <w:pPr>
              <w:jc w:val="center"/>
              <w:ind w:right="41"/>
              <w:spacing w:after="0"/>
              <w:rPr>
                <w:sz w:val="20"/>
                <w:szCs w:val="20"/>
                <w:color w:val="auto"/>
              </w:rPr>
            </w:pPr>
            <w:r>
              <w:rPr>
                <w:rFonts w:ascii="Arial" w:cs="Arial" w:eastAsia="Arial" w:hAnsi="Arial"/>
                <w:sz w:val="20"/>
                <w:szCs w:val="20"/>
                <w:color w:val="auto"/>
                <w:w w:val="98"/>
              </w:rPr>
              <w:t>31.2*</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0000FF"/>
              </w:rPr>
              <w:t>Certification of the Chief Financial Officer, as required by Section</w:t>
            </w:r>
          </w:p>
        </w:tc>
      </w:tr>
      <w:tr>
        <w:trPr>
          <w:trHeight w:val="183"/>
        </w:trPr>
        <w:tc>
          <w:tcPr>
            <w:tcW w:w="168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60" w:type="dxa"/>
            <w:vAlign w:val="bottom"/>
            <w:tcBorders>
              <w:top w:val="single" w:sz="8" w:color="CCEEFF"/>
            </w:tcBorders>
            <w:shd w:val="clear" w:color="auto" w:fill="CCEEFF"/>
          </w:tcPr>
          <w:p>
            <w:pPr>
              <w:spacing w:after="0"/>
              <w:rPr>
                <w:sz w:val="15"/>
                <w:szCs w:val="15"/>
                <w:color w:val="auto"/>
              </w:rPr>
            </w:pPr>
          </w:p>
        </w:tc>
        <w:tc>
          <w:tcPr>
            <w:tcW w:w="3840" w:type="dxa"/>
            <w:vAlign w:val="bottom"/>
            <w:tcBorders>
              <w:top w:val="single" w:sz="8" w:color="CCEEFF"/>
            </w:tcBorders>
            <w:shd w:val="clear" w:color="auto" w:fill="CCEEFF"/>
          </w:tcPr>
          <w:p>
            <w:pPr>
              <w:spacing w:after="0"/>
              <w:rPr>
                <w:sz w:val="15"/>
                <w:szCs w:val="15"/>
                <w:color w:val="auto"/>
              </w:rPr>
            </w:pPr>
          </w:p>
        </w:tc>
      </w:tr>
      <w:tr>
        <w:trPr>
          <w:trHeight w:val="264"/>
        </w:trPr>
        <w:tc>
          <w:tcPr>
            <w:tcW w:w="1680" w:type="dxa"/>
            <w:vAlign w:val="bottom"/>
            <w:tcBorders>
              <w:top w:val="single" w:sz="8" w:color="CCEEFF"/>
            </w:tcBorders>
            <w:shd w:val="clear" w:color="auto" w:fill="CCEEFF"/>
          </w:tcPr>
          <w:p>
            <w:pPr>
              <w:spacing w:after="0"/>
              <w:rPr>
                <w:sz w:val="22"/>
                <w:szCs w:val="22"/>
                <w:color w:val="auto"/>
              </w:rPr>
            </w:pPr>
          </w:p>
        </w:tc>
        <w:tc>
          <w:tcPr>
            <w:tcW w:w="49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840" w:type="dxa"/>
            <w:vAlign w:val="bottom"/>
            <w:tcBorders>
              <w:top w:val="single" w:sz="8" w:color="CCEEFF"/>
            </w:tcBorders>
            <w:shd w:val="clear" w:color="auto" w:fill="CCEEFF"/>
          </w:tcPr>
          <w:p>
            <w:pPr>
              <w:spacing w:after="0"/>
              <w:rPr>
                <w:sz w:val="22"/>
                <w:szCs w:val="22"/>
                <w:color w:val="auto"/>
              </w:rPr>
            </w:pPr>
          </w:p>
        </w:tc>
      </w:tr>
      <w:tr>
        <w:trPr>
          <w:trHeight w:val="202"/>
        </w:trPr>
        <w:tc>
          <w:tcPr>
            <w:tcW w:w="1680" w:type="dxa"/>
            <w:vAlign w:val="bottom"/>
          </w:tcPr>
          <w:p>
            <w:pPr>
              <w:jc w:val="center"/>
              <w:ind w:right="41"/>
              <w:spacing w:after="0" w:line="203" w:lineRule="exact"/>
              <w:rPr>
                <w:sz w:val="20"/>
                <w:szCs w:val="20"/>
                <w:color w:val="auto"/>
              </w:rPr>
            </w:pPr>
            <w:r>
              <w:rPr>
                <w:rFonts w:ascii="Arial" w:cs="Arial" w:eastAsia="Arial" w:hAnsi="Arial"/>
                <w:sz w:val="20"/>
                <w:szCs w:val="20"/>
                <w:color w:val="auto"/>
                <w:w w:val="99"/>
              </w:rPr>
              <w:t>32.1**</w:t>
            </w:r>
          </w:p>
        </w:tc>
        <w:tc>
          <w:tcPr>
            <w:tcW w:w="9560" w:type="dxa"/>
            <w:vAlign w:val="bottom"/>
            <w:gridSpan w:val="5"/>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r>
      <w:tr>
        <w:trPr>
          <w:trHeight w:val="183"/>
        </w:trPr>
        <w:tc>
          <w:tcPr>
            <w:tcW w:w="1680" w:type="dxa"/>
            <w:vAlign w:val="bottom"/>
          </w:tcPr>
          <w:p>
            <w:pPr>
              <w:spacing w:after="0"/>
              <w:rPr>
                <w:sz w:val="15"/>
                <w:szCs w:val="15"/>
                <w:color w:val="auto"/>
              </w:rPr>
            </w:pPr>
          </w:p>
        </w:tc>
        <w:tc>
          <w:tcPr>
            <w:tcW w:w="5720" w:type="dxa"/>
            <w:vAlign w:val="bottom"/>
            <w:tcBorders>
              <w:top w:val="single" w:sz="8" w:color="0000FF"/>
            </w:tcBorders>
            <w:gridSpan w:val="4"/>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3840" w:type="dxa"/>
            <w:vAlign w:val="bottom"/>
          </w:tcPr>
          <w:p>
            <w:pPr>
              <w:spacing w:after="0"/>
              <w:rPr>
                <w:sz w:val="15"/>
                <w:szCs w:val="15"/>
                <w:color w:val="auto"/>
              </w:rPr>
            </w:pPr>
          </w:p>
        </w:tc>
      </w:tr>
      <w:tr>
        <w:trPr>
          <w:trHeight w:val="264"/>
        </w:trPr>
        <w:tc>
          <w:tcPr>
            <w:tcW w:w="1680" w:type="dxa"/>
            <w:vAlign w:val="bottom"/>
          </w:tcPr>
          <w:p>
            <w:pPr>
              <w:spacing w:after="0"/>
              <w:rPr>
                <w:sz w:val="22"/>
                <w:szCs w:val="22"/>
                <w:color w:val="auto"/>
              </w:rPr>
            </w:pPr>
          </w:p>
        </w:tc>
        <w:tc>
          <w:tcPr>
            <w:tcW w:w="494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03"/>
        </w:trPr>
        <w:tc>
          <w:tcPr>
            <w:tcW w:w="1680" w:type="dxa"/>
            <w:vAlign w:val="bottom"/>
            <w:shd w:val="clear" w:color="auto" w:fill="CCEEFF"/>
          </w:tcPr>
          <w:p>
            <w:pPr>
              <w:jc w:val="center"/>
              <w:ind w:right="41"/>
              <w:spacing w:after="0" w:line="203" w:lineRule="exact"/>
              <w:rPr>
                <w:sz w:val="20"/>
                <w:szCs w:val="20"/>
                <w:color w:val="auto"/>
              </w:rPr>
            </w:pPr>
            <w:r>
              <w:rPr>
                <w:rFonts w:ascii="Arial" w:cs="Arial" w:eastAsia="Arial" w:hAnsi="Arial"/>
                <w:sz w:val="20"/>
                <w:szCs w:val="20"/>
                <w:color w:val="auto"/>
                <w:w w:val="99"/>
              </w:rPr>
              <w:t>32.2**</w:t>
            </w:r>
          </w:p>
        </w:tc>
        <w:tc>
          <w:tcPr>
            <w:tcW w:w="9560" w:type="dxa"/>
            <w:vAlign w:val="bottom"/>
            <w:gridSpan w:val="5"/>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r>
      <w:tr>
        <w:trPr>
          <w:trHeight w:val="183"/>
        </w:trPr>
        <w:tc>
          <w:tcPr>
            <w:tcW w:w="168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3900" w:type="dxa"/>
            <w:vAlign w:val="bottom"/>
            <w:tcBorders>
              <w:top w:val="single" w:sz="8" w:color="CCEEFF"/>
            </w:tcBorders>
            <w:gridSpan w:val="2"/>
            <w:shd w:val="clear" w:color="auto" w:fill="CCEEFF"/>
          </w:tcPr>
          <w:p>
            <w:pPr>
              <w:spacing w:after="0"/>
              <w:rPr>
                <w:sz w:val="15"/>
                <w:szCs w:val="15"/>
                <w:color w:val="auto"/>
              </w:rPr>
            </w:pPr>
          </w:p>
        </w:tc>
      </w:tr>
      <w:tr>
        <w:trPr>
          <w:trHeight w:val="263"/>
        </w:trPr>
        <w:tc>
          <w:tcPr>
            <w:tcW w:w="1680" w:type="dxa"/>
            <w:vAlign w:val="bottom"/>
            <w:tcBorders>
              <w:top w:val="single" w:sz="8" w:color="CCEEFF"/>
            </w:tcBorders>
            <w:shd w:val="clear" w:color="auto" w:fill="CCEEFF"/>
          </w:tcPr>
          <w:p>
            <w:pPr>
              <w:spacing w:after="0"/>
              <w:rPr>
                <w:sz w:val="22"/>
                <w:szCs w:val="22"/>
                <w:color w:val="auto"/>
              </w:rPr>
            </w:pPr>
          </w:p>
        </w:tc>
        <w:tc>
          <w:tcPr>
            <w:tcW w:w="49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840" w:type="dxa"/>
            <w:vAlign w:val="bottom"/>
            <w:tcBorders>
              <w:top w:val="single" w:sz="8" w:color="CCEEFF"/>
            </w:tcBorders>
            <w:shd w:val="clear" w:color="auto" w:fill="CCEEFF"/>
          </w:tcPr>
          <w:p>
            <w:pPr>
              <w:spacing w:after="0"/>
              <w:rPr>
                <w:sz w:val="22"/>
                <w:szCs w:val="22"/>
                <w:color w:val="auto"/>
              </w:rPr>
            </w:pPr>
          </w:p>
        </w:tc>
      </w:tr>
      <w:tr>
        <w:trPr>
          <w:trHeight w:val="212"/>
        </w:trPr>
        <w:tc>
          <w:tcPr>
            <w:tcW w:w="1680" w:type="dxa"/>
            <w:vAlign w:val="bottom"/>
          </w:tcPr>
          <w:p>
            <w:pPr>
              <w:jc w:val="center"/>
              <w:ind w:right="21"/>
              <w:spacing w:after="0" w:line="212" w:lineRule="exact"/>
              <w:rPr>
                <w:sz w:val="20"/>
                <w:szCs w:val="20"/>
                <w:color w:val="auto"/>
              </w:rPr>
            </w:pPr>
            <w:r>
              <w:rPr>
                <w:rFonts w:ascii="Arial" w:cs="Arial" w:eastAsia="Arial" w:hAnsi="Arial"/>
                <w:sz w:val="20"/>
                <w:szCs w:val="20"/>
                <w:color w:val="auto"/>
                <w:w w:val="99"/>
              </w:rPr>
              <w:t>101.INS</w:t>
            </w:r>
          </w:p>
        </w:tc>
        <w:tc>
          <w:tcPr>
            <w:tcW w:w="9560" w:type="dxa"/>
            <w:vAlign w:val="bottom"/>
            <w:gridSpan w:val="5"/>
          </w:tcPr>
          <w:p>
            <w:pPr>
              <w:spacing w:after="0" w:line="212" w:lineRule="exact"/>
              <w:rPr>
                <w:sz w:val="20"/>
                <w:szCs w:val="20"/>
                <w:color w:val="auto"/>
              </w:rPr>
            </w:pPr>
            <w:r>
              <w:rPr>
                <w:rFonts w:ascii="Arial" w:cs="Arial" w:eastAsia="Arial" w:hAnsi="Arial"/>
                <w:sz w:val="20"/>
                <w:szCs w:val="20"/>
                <w:color w:val="auto"/>
              </w:rPr>
              <w:t>XBRL Instance Document – the instance document does not</w:t>
            </w:r>
          </w:p>
        </w:tc>
      </w:tr>
      <w:tr>
        <w:trPr>
          <w:trHeight w:val="203"/>
        </w:trPr>
        <w:tc>
          <w:tcPr>
            <w:tcW w:w="1680" w:type="dxa"/>
            <w:vAlign w:val="bottom"/>
          </w:tcPr>
          <w:p>
            <w:pPr>
              <w:spacing w:after="0"/>
              <w:rPr>
                <w:sz w:val="17"/>
                <w:szCs w:val="17"/>
                <w:color w:val="auto"/>
              </w:rPr>
            </w:pPr>
          </w:p>
        </w:tc>
        <w:tc>
          <w:tcPr>
            <w:tcW w:w="9560" w:type="dxa"/>
            <w:vAlign w:val="bottom"/>
            <w:gridSpan w:val="5"/>
          </w:tcPr>
          <w:p>
            <w:pPr>
              <w:spacing w:after="0" w:line="203" w:lineRule="exact"/>
              <w:rPr>
                <w:sz w:val="20"/>
                <w:szCs w:val="20"/>
                <w:color w:val="auto"/>
              </w:rPr>
            </w:pPr>
            <w:r>
              <w:rPr>
                <w:rFonts w:ascii="Arial" w:cs="Arial" w:eastAsia="Arial" w:hAnsi="Arial"/>
                <w:sz w:val="20"/>
                <w:szCs w:val="20"/>
                <w:color w:val="auto"/>
              </w:rPr>
              <w:t>appear in the Interactive Data file because its XBRL tags are</w:t>
            </w:r>
          </w:p>
        </w:tc>
      </w:tr>
      <w:tr>
        <w:trPr>
          <w:trHeight w:val="233"/>
        </w:trPr>
        <w:tc>
          <w:tcPr>
            <w:tcW w:w="16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20"/>
                <w:szCs w:val="20"/>
                <w:color w:val="auto"/>
              </w:rPr>
              <w:t>embedded within the Inline XBRL document</w:t>
            </w:r>
          </w:p>
        </w:tc>
      </w:tr>
      <w:tr>
        <w:trPr>
          <w:trHeight w:val="256"/>
        </w:trPr>
        <w:tc>
          <w:tcPr>
            <w:tcW w:w="1680" w:type="dxa"/>
            <w:vAlign w:val="bottom"/>
            <w:shd w:val="clear" w:color="auto" w:fill="CCEEFF"/>
          </w:tcPr>
          <w:p>
            <w:pPr>
              <w:jc w:val="center"/>
              <w:ind w:right="21"/>
              <w:spacing w:after="0"/>
              <w:rPr>
                <w:sz w:val="20"/>
                <w:szCs w:val="20"/>
                <w:color w:val="auto"/>
              </w:rPr>
            </w:pPr>
            <w:r>
              <w:rPr>
                <w:rFonts w:ascii="Arial" w:cs="Arial" w:eastAsia="Arial" w:hAnsi="Arial"/>
                <w:sz w:val="20"/>
                <w:szCs w:val="20"/>
                <w:color w:val="auto"/>
                <w:w w:val="98"/>
              </w:rPr>
              <w:t>101.SCH</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r>
      <w:tr>
        <w:trPr>
          <w:trHeight w:val="247"/>
        </w:trPr>
        <w:tc>
          <w:tcPr>
            <w:tcW w:w="1680" w:type="dxa"/>
            <w:vAlign w:val="bottom"/>
          </w:tcPr>
          <w:p>
            <w:pPr>
              <w:jc w:val="center"/>
              <w:ind w:right="21"/>
              <w:spacing w:after="0"/>
              <w:rPr>
                <w:sz w:val="20"/>
                <w:szCs w:val="20"/>
                <w:color w:val="auto"/>
              </w:rPr>
            </w:pPr>
            <w:r>
              <w:rPr>
                <w:rFonts w:ascii="Arial" w:cs="Arial" w:eastAsia="Arial" w:hAnsi="Arial"/>
                <w:sz w:val="20"/>
                <w:szCs w:val="20"/>
                <w:color w:val="auto"/>
                <w:w w:val="97"/>
              </w:rPr>
              <w:t>101.CAL</w:t>
            </w:r>
          </w:p>
        </w:tc>
        <w:tc>
          <w:tcPr>
            <w:tcW w:w="9560" w:type="dxa"/>
            <w:vAlign w:val="bottom"/>
            <w:gridSpan w:val="5"/>
          </w:tcPr>
          <w:p>
            <w:pPr>
              <w:spacing w:after="0"/>
              <w:rPr>
                <w:sz w:val="20"/>
                <w:szCs w:val="20"/>
                <w:color w:val="auto"/>
              </w:rPr>
            </w:pPr>
            <w:r>
              <w:rPr>
                <w:rFonts w:ascii="Arial" w:cs="Arial" w:eastAsia="Arial" w:hAnsi="Arial"/>
                <w:sz w:val="20"/>
                <w:szCs w:val="20"/>
                <w:color w:val="auto"/>
              </w:rPr>
              <w:t>XBRL Taxonomy Extension Calculation Linkbase Document</w:t>
            </w:r>
          </w:p>
        </w:tc>
      </w:tr>
    </w:tbl>
    <w:p>
      <w:pPr>
        <w:spacing w:after="0" w:line="200" w:lineRule="exact"/>
        <w:rPr>
          <w:sz w:val="20"/>
          <w:szCs w:val="20"/>
          <w:color w:val="auto"/>
        </w:rPr>
      </w:pPr>
    </w:p>
    <w:p>
      <w:pPr>
        <w:sectPr>
          <w:pgSz w:w="11900" w:h="16838" w:orient="portrait"/>
          <w:cols w:equalWidth="0" w:num="1">
            <w:col w:w="11240"/>
          </w:cols>
          <w:pgMar w:left="320" w:top="13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66"/>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120" w:type="dxa"/>
            <w:vAlign w:val="bottom"/>
            <w:tcBorders>
              <w:bottom w:val="single" w:sz="8" w:color="CCEEFF"/>
            </w:tcBorders>
          </w:tcPr>
          <w:p>
            <w:pPr>
              <w:spacing w:after="0"/>
              <w:rPr>
                <w:sz w:val="23"/>
                <w:szCs w:val="23"/>
                <w:color w:val="auto"/>
              </w:rPr>
            </w:pPr>
          </w:p>
        </w:tc>
        <w:tc>
          <w:tcPr>
            <w:tcW w:w="5780" w:type="dxa"/>
            <w:vAlign w:val="bottom"/>
            <w:tcBorders>
              <w:bottom w:val="single" w:sz="8" w:color="auto"/>
            </w:tcBorders>
          </w:tcPr>
          <w:p>
            <w:pPr>
              <w:ind w:left="198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Form</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ind w:left="560"/>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55"/>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XBRL Taxonomy Extension Definition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2"/>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101.LAB</w:t>
            </w: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spacing w:after="0" w:line="10" w:lineRule="exact"/>
        <w:rPr>
          <w:sz w:val="20"/>
          <w:szCs w:val="20"/>
          <w:color w:val="auto"/>
        </w:rPr>
      </w:pPr>
    </w:p>
    <w:p>
      <w:pPr>
        <w:ind w:left="1680" w:hanging="1068"/>
        <w:spacing w:after="0"/>
        <w:tabs>
          <w:tab w:leader="none" w:pos="16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6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ind w:left="220" w:hanging="212"/>
        <w:spacing w:after="0"/>
        <w:tabs>
          <w:tab w:leader="none" w:pos="2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1" w:name="page62"/>
    <w:bookmarkEnd w:id="61"/>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8, 2022</w:t>
            </w:r>
          </w:p>
        </w:tc>
      </w:tr>
      <w:tr>
        <w:trPr>
          <w:trHeight w:val="245"/>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7"/>
        </w:trPr>
        <w:tc>
          <w:tcPr>
            <w:tcW w:w="8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53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Nipul Patel</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8, 2022</w:t>
            </w:r>
          </w:p>
        </w:tc>
      </w:tr>
      <w:tr>
        <w:trPr>
          <w:trHeight w:val="245"/>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Nipul Patel</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7"/>
        </w:trPr>
        <w:tc>
          <w:tcPr>
            <w:tcW w:w="8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120"/>
          </w:cols>
          <w:pgMar w:left="320" w:top="1313"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52"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hanging="320"/>
        <w:spacing w:after="0" w:line="261"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76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52"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55" w:lineRule="exact"/>
        <w:rPr>
          <w:rFonts w:ascii="Arial" w:cs="Arial" w:eastAsia="Arial" w:hAnsi="Arial"/>
          <w:sz w:val="20"/>
          <w:szCs w:val="20"/>
          <w:color w:val="auto"/>
        </w:rPr>
      </w:pPr>
    </w:p>
    <w:p>
      <w:pPr>
        <w:jc w:val="both"/>
        <w:ind w:left="660" w:hanging="328"/>
        <w:spacing w:after="0" w:line="25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hanging="320"/>
        <w:spacing w:after="0" w:line="256"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hanging="320"/>
        <w:spacing w:after="0" w:line="261"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7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2022,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ectPr>
          <w:pgSz w:w="11900" w:h="16838" w:orient="portrait"/>
          <w:cols w:equalWidth="0" w:num="1">
            <w:col w:w="11240"/>
          </w:cols>
          <w:pgMar w:left="320" w:top="7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2022,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decimal"/>
      <w:start w:val="10"/>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decimal"/>
      <w:start w:val="14"/>
    </w:lvl>
  </w:abstractNum>
  <w:abstractNum w:abstractNumId="17">
    <w:nsid w:val="189A769B"/>
    <w:multiLevelType w:val="hybridMultilevel"/>
    <w:lvl w:ilvl="0">
      <w:lvlJc w:val="left"/>
      <w:lvlText w:val="%1."/>
      <w:numFmt w:val="decimal"/>
      <w:start w:val="15"/>
    </w:lvl>
  </w:abstractNum>
  <w:abstractNum w:abstractNumId="18">
    <w:nsid w:val="54E49EB4"/>
    <w:multiLevelType w:val="hybridMultilevel"/>
    <w:lvl w:ilvl="0">
      <w:lvlJc w:val="left"/>
      <w:lvlText w:val="%1."/>
      <w:numFmt w:val="decimal"/>
      <w:start w:val="16"/>
    </w:lvl>
  </w:abstractNum>
  <w:abstractNum w:abstractNumId="19">
    <w:nsid w:val="71F32454"/>
    <w:multiLevelType w:val="hybridMultilevel"/>
    <w:lvl w:ilvl="0">
      <w:lvlJc w:val="left"/>
      <w:lvlText w:val="%1."/>
      <w:numFmt w:val="decimal"/>
      <w:start w:val="17"/>
    </w:lvl>
  </w:abstractNum>
  <w:abstractNum w:abstractNumId="20">
    <w:nsid w:val="2CA88611"/>
    <w:multiLevelType w:val="hybridMultilevel"/>
    <w:lvl w:ilvl="0">
      <w:lvlJc w:val="left"/>
      <w:lvlText w:val="%1."/>
      <w:numFmt w:val="decimal"/>
      <w:start w:val="18"/>
    </w:lvl>
  </w:abstractNum>
  <w:abstractNum w:abstractNumId="21">
    <w:nsid w:val="836C40E"/>
    <w:multiLevelType w:val="hybridMultilevel"/>
    <w:lvl w:ilvl="0">
      <w:lvlJc w:val="left"/>
      <w:lvlText w:val="%1."/>
      <w:numFmt w:val="decimal"/>
      <w:start w:val="19"/>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5" Type="http://schemas.openxmlformats.org/officeDocument/2006/relationships/image" Target="media/image75.png"/><Relationship Id="rId88"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81" Type="http://schemas.openxmlformats.org/officeDocument/2006/relationships/hyperlink" Target="https://www.sec.gov/ix?doc=/Archives/edgar/data/1820721/000182072122000033/arry-20211231.htm#icfe32c6b4ab54bfe857c57aaba5fa86c_22" TargetMode="External"/><Relationship Id="rId83" Type="http://schemas.openxmlformats.org/officeDocument/2006/relationships/hyperlink" Target="http://www.sec.gov/Archives/edgar/data/1820721/000119312520272092/d50569dex31.htm" TargetMode="External"/><Relationship Id="rId84" Type="http://schemas.openxmlformats.org/officeDocument/2006/relationships/hyperlink" Target="http://www.sec.gov/Archives/edgar/data/1820721/000119312520272092/d50569dex32.htm" TargetMode="External"/><Relationship Id="rId86" Type="http://schemas.openxmlformats.org/officeDocument/2006/relationships/hyperlink" Target="https://www.sec.gov/Archives/edgar/data/0001820721/000182072121000057/helios-certificateofdesign.htm" TargetMode="External"/><Relationship Id="rId87" Type="http://schemas.openxmlformats.org/officeDocument/2006/relationships/hyperlink" Target="https://www.sec.gov/Archives/edgar/data/0001820721/000119312522007674/d276474dex101.htm" TargetMode="External"/><Relationship Id="rId89" Type="http://schemas.openxmlformats.org/officeDocument/2006/relationships/hyperlink" Target="https://www.sec.gov/Archives/edgar/data/0001820721/000182072122000030/exhibit103fusarosepa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2022-11-09T05:29:17Z</dcterms:created>
  <dcterms:modified xsi:type="dcterms:W3CDTF">2022-11-09T05:29:17Z</dcterms:modified>
</cp:coreProperties>
</file>