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07871.xml.htm"/>
      <w:bookmarkStart w:id="1" w:name="kswkform4_17906078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Hostetler Kevin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3901 MIDWAY PLACE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ALBUQUERQUE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Array Technologies, Inc.</w:t>
              </w:r>
            </w:hyperlink>
            <w:r>
              <w:rPr/>
              <w:t xml:space="preserve"> [ </w:t>
            </w:r>
            <w:r>
              <w:rPr>
                <w:rFonts w:ascii="Times;serif" w:hAnsi="Times;serif"/>
                <w:color w:val="0000FF"/>
                <w:sz w:val="24"/>
                <w:shd w:fill="FFFFFF" w:val="clear"/>
              </w:rPr>
              <w:t>ARRY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213,070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537,336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89,170</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448,166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213,070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213,070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109,764</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upon vesting, one share of the Issuer's common stock in accordance with the Issuer's Amended and Restated 2020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in connection with the vesting and settlement of restricted stock units. The number of shares withheld is based on the closing price of the Issuer's common stock on September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24, 2024, the reporting person was granted 322,834 restricted stock units, vesting 66% on the second anniversary of the grant date and 34% on the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Does not include 559,589 unvested restricted stock units held by the reporting person in connection with grants made on separate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Gina Gunning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5466" TargetMode="External"/><Relationship Id="rId5" Type="http://schemas.openxmlformats.org/officeDocument/2006/relationships/hyperlink" Target="http://www.sec.gov/cgi-bin/browse-edgar?action=getcompany&amp;CIK=0001820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3954</Characters>
  <CharactersWithSpaces>4597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