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5_1771017367.xml.htm"/>
      <w:bookmarkStart w:id="1" w:name="kswkform5_1771017367"/>
      <w:bookmarkEnd w:id="0"/>
      <w:bookmarkEnd w:id="1"/>
      <w:r>
        <w:rPr/>
        <w:t xml:space="preserve">SEC Form 5 </w:t>
      </w:r>
    </w:p>
    <w:tbl>
      <w:tblPr>
        <w:tblW w:w="5000" w:type="pct"/>
        <w:jc w:val="left"/>
        <w:tblInd w:w="0" w:type="dxa"/>
        <w:tblLayout w:type="fixed"/>
        <w:tblCellMar>
          <w:top w:w="60" w:type="dxa"/>
          <w:left w:w="60" w:type="dxa"/>
          <w:bottom w:w="60" w:type="dxa"/>
          <w:right w:w="60" w:type="dxa"/>
        </w:tblCellMar>
      </w:tblPr>
      <w:tblGrid>
        <w:gridCol w:w="345"/>
        <w:gridCol w:w="1892"/>
        <w:gridCol w:w="5976"/>
        <w:gridCol w:w="1992"/>
      </w:tblGrid>
      <w:tr>
        <w:trPr/>
        <w:tc>
          <w:tcPr>
            <w:tcW w:w="2237"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5</w:t>
            </w:r>
          </w:p>
        </w:tc>
        <w:tc>
          <w:tcPr>
            <w:tcW w:w="5976"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ANNUAL 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3235-0362</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1.0</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2"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6"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2"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Form 3 Holdings Reported.</w:t>
            </w:r>
          </w:p>
        </w:tc>
        <w:tc>
          <w:tcPr>
            <w:tcW w:w="5976"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892"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Form 4 Transactions Reported.</w:t>
            </w:r>
          </w:p>
        </w:tc>
        <w:tc>
          <w:tcPr>
            <w:tcW w:w="5976"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892"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8"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6">
                    <w:r>
                      <w:rPr>
                        <w:rStyle w:val="InternetLink"/>
                      </w:rPr>
                      <w:t>Hostetler Kevin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3901 MIDWAY PLACE NE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ALBUQUERQUE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NM</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87109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7">
              <w:r>
                <w:rPr>
                  <w:rStyle w:val="InternetLink"/>
                </w:rPr>
                <w:t>Array Technologies, Inc.</w:t>
              </w:r>
            </w:hyperlink>
            <w:r>
              <w:rPr/>
              <w:t xml:space="preserve"> [ </w:t>
            </w:r>
            <w:r>
              <w:rPr>
                <w:rFonts w:ascii="Times;serif" w:hAnsi="Times;serif"/>
                <w:color w:val="0000FF"/>
                <w:sz w:val="24"/>
                <w:shd w:fill="FFFFFF" w:val="clear"/>
              </w:rPr>
              <w:t>ARRY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Statement for Issuer's Fiscal Year Ended (Month/Day/Year)</w:t>
            </w:r>
            <w:r>
              <w:rPr/>
              <w:br/>
            </w:r>
            <w:r>
              <w:rPr>
                <w:rFonts w:ascii="Times;serif" w:hAnsi="Times;serif"/>
                <w:color w:val="0000FF"/>
                <w:sz w:val="24"/>
                <w:shd w:fill="FFFFFF" w:val="clear"/>
              </w:rPr>
              <w:t>12/31/2025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14"/>
        <w:gridCol w:w="957"/>
        <w:gridCol w:w="826"/>
        <w:gridCol w:w="912"/>
        <w:gridCol w:w="942"/>
        <w:gridCol w:w="456"/>
        <w:gridCol w:w="810"/>
        <w:gridCol w:w="1160"/>
        <w:gridCol w:w="959"/>
        <w:gridCol w:w="1004"/>
        <w:gridCol w:w="16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1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Security (Instr. 3) </w:t>
            </w:r>
          </w:p>
        </w:tc>
        <w:tc>
          <w:tcPr>
            <w:tcW w:w="9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at end of Issuer's Fiscal Year (Instr. 3 and 4) </w:t>
            </w:r>
          </w:p>
        </w:tc>
        <w:tc>
          <w:tcPr>
            <w:tcW w:w="9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c>
          <w:tcPr>
            <w:tcW w:w="165"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blHeader w:val="true"/>
        </w:trPr>
        <w:tc>
          <w:tcPr>
            <w:tcW w:w="201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5"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201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06/30/2025</w:t>
            </w:r>
          </w:p>
        </w:tc>
        <w:tc>
          <w:tcPr>
            <w:tcW w:w="8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A</w:t>
            </w:r>
            <w:r>
              <w:rPr>
                <w:rFonts w:ascii="Times;serif" w:hAnsi="Times;serif"/>
                <w:color w:val="008000"/>
                <w:position w:val="7"/>
                <w:sz w:val="16"/>
                <w:sz w:val="20"/>
                <w:shd w:fill="FFFFFF" w:val="clear"/>
              </w:rPr>
              <w:t>(1)</w:t>
            </w:r>
            <w:r>
              <w:rPr/>
              <w:t xml:space="preserve"> </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5.02</w:t>
            </w:r>
            <w:r>
              <w:rPr/>
              <w:t xml:space="preserve"> </w:t>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188,919</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65"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201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12/31/2025</w:t>
            </w:r>
          </w:p>
        </w:tc>
        <w:tc>
          <w:tcPr>
            <w:tcW w:w="8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A</w:t>
            </w:r>
            <w:r>
              <w:rPr>
                <w:rFonts w:ascii="Times;serif" w:hAnsi="Times;serif"/>
                <w:color w:val="008000"/>
                <w:position w:val="7"/>
                <w:sz w:val="16"/>
                <w:sz w:val="20"/>
                <w:shd w:fill="FFFFFF" w:val="clear"/>
              </w:rPr>
              <w:t>(2)</w:t>
            </w:r>
            <w:r>
              <w:rPr/>
              <w:t xml:space="preserve"> </w:t>
            </w:r>
          </w:p>
        </w:tc>
        <w:tc>
          <w:tcPr>
            <w:tcW w:w="9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1,227</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5.64</w:t>
            </w:r>
            <w:r>
              <w:rPr/>
              <w:t xml:space="preserve"> </w:t>
            </w:r>
          </w:p>
        </w:tc>
        <w:tc>
          <w:tcPr>
            <w:tcW w:w="11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190,146</w:t>
            </w:r>
          </w:p>
        </w:tc>
        <w:tc>
          <w:tcPr>
            <w:tcW w:w="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65" w:type="dxa"/>
            <w:tcBorders>
              <w:left w:val="single" w:sz="2" w:space="0" w:color="808080"/>
              <w:bottom w:val="single" w:sz="6" w:space="0" w:color="808080"/>
              <w:right w:val="single" w:sz="6" w:space="0" w:color="808080"/>
            </w:tcBorders>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891"/>
        <w:gridCol w:w="400"/>
        <w:gridCol w:w="401"/>
        <w:gridCol w:w="906"/>
        <w:gridCol w:w="801"/>
        <w:gridCol w:w="426"/>
        <w:gridCol w:w="636"/>
        <w:gridCol w:w="801"/>
        <w:gridCol w:w="936"/>
        <w:gridCol w:w="831"/>
        <w:gridCol w:w="846"/>
      </w:tblGrid>
      <w:tr>
        <w:trPr>
          <w:tblHeader w:val="true"/>
        </w:trPr>
        <w:tc>
          <w:tcPr>
            <w:tcW w:w="11213" w:type="dxa"/>
            <w:gridSpan w:val="15"/>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is voluntarily reporting the acquisition of the Issuer's common stock pursuant to the Array Technologies, Inc. 2021 Employee Stock Purchase Program ("ESPP") for the ESPP purchase period of January 1, 2025 through June 30, 2025. This transaction is exempt from Rule 16b-3.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is voluntarily reporting the acquisition of the Issuer's common stock pursuant to the Array Technologies, Inc. ESPP for the ESPP purchase period of July 1, 2025 through December 31, 2025. This transaction is exempt from Rule 16b-3.</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Ashton Wiebe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poaforsection16filingsho.htm"/>
      <w:bookmarkStart w:id="3" w:name="kspoaforsection16filingsho"/>
      <w:bookmarkEnd w:id="2"/>
      <w:bookmarkEnd w:id="3"/>
      <w:r>
        <w:rPr/>
        <w:drawing>
          <wp:inline distT="0" distB="0" distL="0" distR="0">
            <wp:extent cx="10048875" cy="130016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arraytechinc.com POWER OF ATTORNEY KNOW ALL BY THESE PRESENTS, that the undersigned hereby makes, constitutes and appoints each of Gina Gunning, Lindsey Pohlmann, and Ashton Wiebe, with full power to act singly, as the undersigned’s true and lawful attorneys-in-fact, with full power of substitution to: (i) execute for and on behalf of the undersigned, in the undersigned’s capacity as a director, director nominee, officer or beneficial owner of shares of common stock (the “Shares”) of Array Technologies, Inc., a Delaware corporation (the “Company”), any: (a) Schedule 13D or Schedule 13G, and any amendments, supplements or exhibits thereto (including any joint filing agreements) required to be filed by the undersigned under Section 13 of the Securities Exchange Act of 1934, as amended, and the rules and regulations promulgated thereunder (the “Exchange Act”); and (b) any Forms 3, 4, and 5 and any amendments, supplements or exhibits thereto required to be filed by the undersigned under Section 16(a) of the Exchange Act; (ii) do and perform any and all acts for and on behalf of the undersigned which may be necessary or desirable to complete and execute any such Schedule 13D, Schedule 13G, or Forms 3, 4, or 5 and timely file such forms with the United States Securities and Exchange Commission and any stock exchange or similar authority; and (iii) 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 fact’s discretion. The undersigned hereby grants to the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This Power of Attorney shall remain in full force and effect until the undersigned is no longer required to file reports or schedules under Section 13 or Section 16 of the Exchange Act with respect to the undersigned’s holdings of and transactions in securities issued by the Company, unless earlier revoked by the undersigned in a signed writing delivered to the foregoing attorneys-in-fact.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D&amp;O Power of Attorney (Section 16 Filings)] IN WITNESS WHEREOF, the undersigned has caused this Power of Attorney to be executed as of January 30, 2026. /s/ Kevin G. Hostetler Name: Kevin G. Hostetler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hyperlink" Target="http://www.sec.gov/cgi-bin/browse-edgar?action=getcompany&amp;CIK=0001485466" TargetMode="External"/><Relationship Id="rId7" Type="http://schemas.openxmlformats.org/officeDocument/2006/relationships/hyperlink" Target="http://www.sec.gov/cgi-bin/browse-edgar?action=getcompany&amp;CIK=0001820721"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checked.jpg" TargetMode="External"/><Relationship Id="rId11" Type="http://schemas.openxmlformats.org/officeDocument/2006/relationships/image" Target="media/image1.jpeg"/><Relationship Id="rId12" Type="http://schemas.openxmlformats.org/officeDocument/2006/relationships/image" Target="media/image2.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1228</Words>
  <Characters>6524</Characters>
  <CharactersWithSpaces>7690</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poaforsection16filingsho</dc:title>
</cp:coreProperties>
</file>