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82" w:lineRule="exact"/>
        <w:rPr>
          <w:sz w:val="24"/>
          <w:szCs w:val="24"/>
          <w:color w:val="auto"/>
        </w:rPr>
      </w:pPr>
    </w:p>
    <w:p>
      <w:pPr>
        <w:jc w:val="center"/>
        <w:ind w:left="3580" w:right="920" w:hanging="2645"/>
        <w:spacing w:after="0" w:line="261" w:lineRule="auto"/>
        <w:tabs>
          <w:tab w:leader="none" w:pos="11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2021</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48" w:lineRule="exact"/>
        <w:rPr>
          <w:sz w:val="24"/>
          <w:szCs w:val="24"/>
          <w:color w:val="auto"/>
        </w:rPr>
      </w:pPr>
    </w:p>
    <w:p>
      <w:pPr>
        <w:jc w:val="center"/>
        <w:ind w:left="3640" w:right="1400" w:hanging="2242"/>
        <w:spacing w:after="0" w:line="260" w:lineRule="auto"/>
        <w:tabs>
          <w:tab w:leader="none" w:pos="159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 to _________</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001-39613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160655</wp:posOffset>
            </wp:positionV>
            <wp:extent cx="1722755" cy="1036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ARRAY TECHNOLOGIES,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59" w:lineRule="exact"/>
        <w:rPr>
          <w:sz w:val="24"/>
          <w:szCs w:val="24"/>
          <w:color w:val="auto"/>
        </w:rPr>
      </w:pPr>
    </w:p>
    <w:tbl>
      <w:tblPr>
        <w:tblLayout w:type="fixed"/>
        <w:tblInd w:w="380" w:type="dxa"/>
        <w:tblCellMar>
          <w:top w:w="0" w:type="dxa"/>
          <w:left w:w="0" w:type="dxa"/>
          <w:bottom w:w="0" w:type="dxa"/>
          <w:right w:w="0" w:type="dxa"/>
        </w:tblCellMar>
      </w:tblPr>
      <w:tr>
        <w:trPr>
          <w:trHeight w:val="257"/>
        </w:trPr>
        <w:tc>
          <w:tcPr>
            <w:tcW w:w="50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rPr>
              <w:t>Delaware</w:t>
            </w:r>
          </w:p>
        </w:tc>
        <w:tc>
          <w:tcPr>
            <w:tcW w:w="100" w:type="dxa"/>
            <w:vAlign w:val="bottom"/>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20"/>
                <w:szCs w:val="20"/>
                <w:b w:val="1"/>
                <w:bCs w:val="1"/>
                <w:color w:val="auto"/>
              </w:rPr>
              <w:t>83-2747826</w:t>
            </w:r>
          </w:p>
        </w:tc>
      </w:tr>
      <w:tr>
        <w:trPr>
          <w:trHeight w:val="203"/>
        </w:trPr>
        <w:tc>
          <w:tcPr>
            <w:tcW w:w="5140" w:type="dxa"/>
            <w:vAlign w:val="bottom"/>
            <w:gridSpan w:val="3"/>
          </w:tcPr>
          <w:p>
            <w:pPr>
              <w:jc w:val="center"/>
              <w:ind w:right="120"/>
              <w:spacing w:after="0"/>
              <w:rPr>
                <w:sz w:val="20"/>
                <w:szCs w:val="20"/>
                <w:color w:val="auto"/>
              </w:rPr>
            </w:pPr>
            <w:r>
              <w:rPr>
                <w:rFonts w:ascii="Arial" w:cs="Arial" w:eastAsia="Arial" w:hAnsi="Arial"/>
                <w:sz w:val="16"/>
                <w:szCs w:val="16"/>
                <w:color w:val="auto"/>
              </w:rPr>
              <w:t>(State or Other Jurisdiction)</w:t>
            </w:r>
          </w:p>
        </w:tc>
        <w:tc>
          <w:tcPr>
            <w:tcW w:w="5360" w:type="dxa"/>
            <w:vAlign w:val="bottom"/>
            <w:gridSpan w:val="4"/>
          </w:tcPr>
          <w:p>
            <w:pPr>
              <w:jc w:val="right"/>
              <w:ind w:right="1359"/>
              <w:spacing w:after="0"/>
              <w:rPr>
                <w:sz w:val="20"/>
                <w:szCs w:val="20"/>
                <w:color w:val="auto"/>
              </w:rPr>
            </w:pPr>
            <w:r>
              <w:rPr>
                <w:rFonts w:ascii="Arial" w:cs="Arial" w:eastAsia="Arial" w:hAnsi="Arial"/>
                <w:sz w:val="16"/>
                <w:szCs w:val="16"/>
                <w:color w:val="auto"/>
              </w:rPr>
              <w:t>(I.R.S. Employer Identification No.)</w:t>
            </w:r>
          </w:p>
        </w:tc>
      </w:tr>
      <w:tr>
        <w:trPr>
          <w:trHeight w:val="519"/>
        </w:trPr>
        <w:tc>
          <w:tcPr>
            <w:tcW w:w="2540" w:type="dxa"/>
            <w:vAlign w:val="bottom"/>
          </w:tcPr>
          <w:p>
            <w:pPr>
              <w:ind w:left="320"/>
              <w:spacing w:after="0"/>
              <w:rPr>
                <w:sz w:val="20"/>
                <w:szCs w:val="20"/>
                <w:color w:val="auto"/>
              </w:rPr>
            </w:pPr>
            <w:r>
              <w:rPr>
                <w:rFonts w:ascii="Arial" w:cs="Arial" w:eastAsia="Arial" w:hAnsi="Arial"/>
                <w:sz w:val="20"/>
                <w:szCs w:val="20"/>
                <w:b w:val="1"/>
                <w:bCs w:val="1"/>
                <w:color w:val="auto"/>
              </w:rPr>
              <w:t>3901 Midway Place NE</w:t>
            </w:r>
          </w:p>
        </w:tc>
        <w:tc>
          <w:tcPr>
            <w:tcW w:w="2600" w:type="dxa"/>
            <w:vAlign w:val="bottom"/>
            <w:gridSpan w:val="2"/>
          </w:tcPr>
          <w:p>
            <w:pPr>
              <w:ind w:left="760"/>
              <w:spacing w:after="0"/>
              <w:rPr>
                <w:sz w:val="20"/>
                <w:szCs w:val="20"/>
                <w:color w:val="auto"/>
              </w:rPr>
            </w:pPr>
            <w:r>
              <w:rPr>
                <w:rFonts w:ascii="Arial" w:cs="Arial" w:eastAsia="Arial" w:hAnsi="Arial"/>
                <w:sz w:val="20"/>
                <w:szCs w:val="20"/>
                <w:b w:val="1"/>
                <w:bCs w:val="1"/>
                <w:color w:val="auto"/>
              </w:rPr>
              <w:t>Albuquerque</w:t>
            </w:r>
          </w:p>
        </w:tc>
        <w:tc>
          <w:tcPr>
            <w:tcW w:w="1780" w:type="dxa"/>
            <w:vAlign w:val="bottom"/>
          </w:tcPr>
          <w:p>
            <w:pPr>
              <w:ind w:left="580"/>
              <w:spacing w:after="0"/>
              <w:rPr>
                <w:sz w:val="20"/>
                <w:szCs w:val="20"/>
                <w:color w:val="auto"/>
              </w:rPr>
            </w:pPr>
            <w:r>
              <w:rPr>
                <w:rFonts w:ascii="Arial" w:cs="Arial" w:eastAsia="Arial" w:hAnsi="Arial"/>
                <w:sz w:val="20"/>
                <w:szCs w:val="20"/>
                <w:b w:val="1"/>
                <w:bCs w:val="1"/>
                <w:color w:val="auto"/>
              </w:rPr>
              <w:t>New Mexico</w:t>
            </w:r>
          </w:p>
        </w:tc>
        <w:tc>
          <w:tcPr>
            <w:tcW w:w="3580" w:type="dxa"/>
            <w:vAlign w:val="bottom"/>
            <w:gridSpan w:val="3"/>
          </w:tcPr>
          <w:p>
            <w:pPr>
              <w:jc w:val="right"/>
              <w:ind w:right="1139"/>
              <w:spacing w:after="0"/>
              <w:rPr>
                <w:sz w:val="20"/>
                <w:szCs w:val="20"/>
                <w:color w:val="auto"/>
              </w:rPr>
            </w:pPr>
            <w:r>
              <w:rPr>
                <w:rFonts w:ascii="Arial" w:cs="Arial" w:eastAsia="Arial" w:hAnsi="Arial"/>
                <w:sz w:val="20"/>
                <w:szCs w:val="20"/>
                <w:b w:val="1"/>
                <w:bCs w:val="1"/>
                <w:color w:val="auto"/>
              </w:rPr>
              <w:t>87109</w:t>
            </w:r>
          </w:p>
        </w:tc>
      </w:tr>
      <w:tr>
        <w:trPr>
          <w:trHeight w:val="203"/>
        </w:trPr>
        <w:tc>
          <w:tcPr>
            <w:tcW w:w="5140" w:type="dxa"/>
            <w:vAlign w:val="bottom"/>
            <w:tcBorders>
              <w:top w:val="single" w:sz="8" w:color="auto"/>
            </w:tcBorders>
            <w:gridSpan w:val="3"/>
          </w:tcPr>
          <w:p>
            <w:pPr>
              <w:ind w:left="2320"/>
              <w:spacing w:after="0"/>
              <w:rPr>
                <w:sz w:val="20"/>
                <w:szCs w:val="20"/>
                <w:color w:val="auto"/>
              </w:rPr>
            </w:pPr>
            <w:r>
              <w:rPr>
                <w:rFonts w:ascii="Arial" w:cs="Arial" w:eastAsia="Arial" w:hAnsi="Arial"/>
                <w:sz w:val="16"/>
                <w:szCs w:val="16"/>
                <w:color w:val="auto"/>
              </w:rPr>
              <w:t>(Address of principal executive offices)</w:t>
            </w:r>
          </w:p>
        </w:tc>
        <w:tc>
          <w:tcPr>
            <w:tcW w:w="17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Borders>
              <w:top w:val="single" w:sz="8" w:color="auto"/>
            </w:tcBorders>
          </w:tcPr>
          <w:p>
            <w:pPr>
              <w:jc w:val="right"/>
              <w:ind w:right="1039"/>
              <w:spacing w:after="0"/>
              <w:rPr>
                <w:sz w:val="20"/>
                <w:szCs w:val="20"/>
                <w:color w:val="auto"/>
              </w:rPr>
            </w:pPr>
            <w:r>
              <w:rPr>
                <w:rFonts w:ascii="Arial" w:cs="Arial" w:eastAsia="Arial" w:hAnsi="Arial"/>
                <w:sz w:val="16"/>
                <w:szCs w:val="16"/>
                <w:color w:val="auto"/>
              </w:rPr>
              <w:t>(Zip Code)</w:t>
            </w:r>
          </w:p>
        </w:tc>
      </w:tr>
      <w:tr>
        <w:trPr>
          <w:trHeight w:val="604"/>
        </w:trPr>
        <w:tc>
          <w:tcPr>
            <w:tcW w:w="2540" w:type="dxa"/>
            <w:vAlign w:val="bottom"/>
          </w:tcPr>
          <w:p>
            <w:pPr>
              <w:spacing w:after="0"/>
              <w:rPr>
                <w:sz w:val="24"/>
                <w:szCs w:val="24"/>
                <w:color w:val="auto"/>
              </w:rPr>
            </w:pPr>
          </w:p>
        </w:tc>
        <w:tc>
          <w:tcPr>
            <w:tcW w:w="4380" w:type="dxa"/>
            <w:vAlign w:val="bottom"/>
            <w:gridSpan w:val="3"/>
          </w:tcPr>
          <w:p>
            <w:pPr>
              <w:ind w:left="120"/>
              <w:spacing w:after="0"/>
              <w:rPr>
                <w:sz w:val="20"/>
                <w:szCs w:val="20"/>
                <w:color w:val="auto"/>
              </w:rPr>
            </w:pPr>
            <w:r>
              <w:rPr>
                <w:rFonts w:ascii="Arial" w:cs="Arial" w:eastAsia="Arial" w:hAnsi="Arial"/>
                <w:sz w:val="16"/>
                <w:szCs w:val="16"/>
                <w:color w:val="auto"/>
              </w:rPr>
              <w:t>(Registrant’s telephone number, including area code)</w:t>
            </w:r>
          </w:p>
        </w:tc>
        <w:tc>
          <w:tcPr>
            <w:tcW w:w="3580" w:type="dxa"/>
            <w:vAlign w:val="bottom"/>
            <w:gridSpan w:val="3"/>
          </w:tcPr>
          <w:p>
            <w:pPr>
              <w:jc w:val="right"/>
              <w:ind w:right="2079"/>
              <w:spacing w:after="0"/>
              <w:rPr>
                <w:sz w:val="20"/>
                <w:szCs w:val="20"/>
                <w:color w:val="auto"/>
              </w:rPr>
            </w:pPr>
            <w:r>
              <w:rPr>
                <w:rFonts w:ascii="Arial" w:cs="Arial" w:eastAsia="Arial" w:hAnsi="Arial"/>
                <w:sz w:val="20"/>
                <w:szCs w:val="20"/>
                <w:b w:val="1"/>
                <w:bCs w:val="1"/>
                <w:color w:val="auto"/>
              </w:rPr>
              <w:t>(505) 881-7567</w:t>
            </w:r>
          </w:p>
        </w:tc>
      </w:tr>
    </w:tbl>
    <w:p>
      <w:pPr>
        <w:spacing w:after="0" w:line="30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9"/>
          <w:szCs w:val="19"/>
          <w:b w:val="1"/>
          <w:bCs w:val="1"/>
          <w:color w:val="auto"/>
        </w:rPr>
        <w:t>N/A</w:t>
      </w: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7800" w:type="dxa"/>
            <w:vAlign w:val="bottom"/>
            <w:gridSpan w:val="5"/>
          </w:tcPr>
          <w:p>
            <w:pPr>
              <w:ind w:left="12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33"/>
        </w:trPr>
        <w:tc>
          <w:tcPr>
            <w:tcW w:w="3440" w:type="dxa"/>
            <w:vAlign w:val="bottom"/>
            <w:tcBorders>
              <w:bottom w:val="single" w:sz="8" w:color="auto"/>
            </w:tcBorders>
          </w:tcPr>
          <w:p>
            <w:pPr>
              <w:jc w:val="center"/>
              <w:ind w:left="170"/>
              <w:spacing w:after="0"/>
              <w:rPr>
                <w:sz w:val="20"/>
                <w:szCs w:val="20"/>
                <w:color w:val="auto"/>
              </w:rPr>
            </w:pPr>
            <w:r>
              <w:rPr>
                <w:rFonts w:ascii="Arial" w:cs="Arial" w:eastAsia="Arial" w:hAnsi="Arial"/>
                <w:sz w:val="16"/>
                <w:szCs w:val="16"/>
                <w:color w:val="auto"/>
              </w:rPr>
              <w:t>Title of each class</w:t>
            </w:r>
          </w:p>
        </w:tc>
        <w:tc>
          <w:tcPr>
            <w:tcW w:w="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8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43"/>
        </w:trPr>
        <w:tc>
          <w:tcPr>
            <w:tcW w:w="3440" w:type="dxa"/>
            <w:vAlign w:val="bottom"/>
          </w:tcPr>
          <w:p>
            <w:pPr>
              <w:jc w:val="center"/>
              <w:ind w:left="170"/>
              <w:spacing w:after="0"/>
              <w:rPr>
                <w:sz w:val="20"/>
                <w:szCs w:val="20"/>
                <w:color w:val="auto"/>
              </w:rPr>
            </w:pPr>
            <w:r>
              <w:rPr>
                <w:rFonts w:ascii="Arial" w:cs="Arial" w:eastAsia="Arial" w:hAnsi="Arial"/>
                <w:sz w:val="20"/>
                <w:szCs w:val="20"/>
                <w:color w:val="auto"/>
                <w:w w:val="98"/>
              </w:rPr>
              <w:t>Common stock, $0.001 par value</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20"/>
                <w:szCs w:val="20"/>
                <w:color w:val="auto"/>
                <w:w w:val="97"/>
              </w:rPr>
              <w:t>ARRY</w:t>
            </w:r>
          </w:p>
        </w:tc>
        <w:tc>
          <w:tcPr>
            <w:tcW w:w="5040" w:type="dxa"/>
            <w:vAlign w:val="bottom"/>
          </w:tcPr>
          <w:p>
            <w:pPr>
              <w:jc w:val="center"/>
              <w:spacing w:after="0"/>
              <w:rPr>
                <w:sz w:val="20"/>
                <w:szCs w:val="20"/>
                <w:color w:val="auto"/>
              </w:rPr>
            </w:pPr>
            <w:r>
              <w:rPr>
                <w:rFonts w:ascii="Arial" w:cs="Arial" w:eastAsia="Arial" w:hAnsi="Arial"/>
                <w:sz w:val="20"/>
                <w:szCs w:val="20"/>
                <w:color w:val="auto"/>
                <w:w w:val="98"/>
              </w:rPr>
              <w:t>Nasdaq Global Market</w:t>
            </w:r>
          </w:p>
        </w:tc>
      </w:tr>
    </w:tbl>
    <w:p>
      <w:pPr>
        <w:spacing w:after="0" w:line="335" w:lineRule="exact"/>
        <w:rPr>
          <w:sz w:val="24"/>
          <w:szCs w:val="24"/>
          <w:color w:val="auto"/>
        </w:rPr>
      </w:pPr>
    </w:p>
    <w:p>
      <w:pPr>
        <w:ind w:right="460"/>
        <w:spacing w:after="0" w:line="24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84" w:lineRule="exact"/>
        <w:tabs>
          <w:tab w:leader="none" w:pos="3400" w:val="left"/>
        </w:tabs>
        <w:rPr>
          <w:sz w:val="20"/>
          <w:szCs w:val="20"/>
          <w:color w:val="auto"/>
        </w:rPr>
      </w:pPr>
      <w:r>
        <w:rPr>
          <w:rFonts w:ascii="Arial" w:cs="Arial" w:eastAsia="Arial" w:hAnsi="Arial"/>
          <w:sz w:val="16"/>
          <w:szCs w:val="16"/>
          <w:color w:val="auto"/>
        </w:rPr>
        <w:t>requirements for the past 90 days.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52" w:lineRule="exact"/>
        <w:rPr>
          <w:sz w:val="24"/>
          <w:szCs w:val="24"/>
          <w:color w:val="auto"/>
        </w:rPr>
      </w:pPr>
    </w:p>
    <w:p>
      <w:pPr>
        <w:ind w:right="220"/>
        <w:spacing w:after="0" w:line="24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00" w:hanging="192"/>
        <w:spacing w:after="0" w:line="184" w:lineRule="exact"/>
        <w:tabs>
          <w:tab w:leader="none" w:pos="20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52" w:lineRule="exact"/>
        <w:rPr>
          <w:sz w:val="24"/>
          <w:szCs w:val="24"/>
          <w:color w:val="auto"/>
        </w:rPr>
      </w:pPr>
    </w:p>
    <w:p>
      <w:pPr>
        <w:ind w:right="20"/>
        <w:spacing w:after="0" w:line="24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780" w:type="dxa"/>
            <w:vAlign w:val="bottom"/>
          </w:tcPr>
          <w:p>
            <w:pPr>
              <w:ind w:left="900"/>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Accelerated filer</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16"/>
        </w:trPr>
        <w:tc>
          <w:tcPr>
            <w:tcW w:w="2780" w:type="dxa"/>
            <w:vAlign w:val="bottom"/>
          </w:tcPr>
          <w:p>
            <w:pPr>
              <w:ind w:left="900"/>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Smaller reporting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54"/>
        </w:trPr>
        <w:tc>
          <w:tcPr>
            <w:tcW w:w="27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940" w:type="dxa"/>
            <w:vAlign w:val="bottom"/>
          </w:tcPr>
          <w:p>
            <w:pPr>
              <w:ind w:left="700"/>
              <w:spacing w:after="0"/>
              <w:rPr>
                <w:sz w:val="20"/>
                <w:szCs w:val="20"/>
                <w:color w:val="auto"/>
              </w:rPr>
            </w:pPr>
            <w:r>
              <w:rPr>
                <w:rFonts w:ascii="Arial" w:cs="Arial" w:eastAsia="Arial" w:hAnsi="Arial"/>
                <w:sz w:val="16"/>
                <w:szCs w:val="16"/>
                <w:color w:val="auto"/>
              </w:rPr>
              <w:t>Emerging growth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1075"/>
        </w:trPr>
        <w:tc>
          <w:tcPr>
            <w:tcW w:w="2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 w:name="page2"/>
    <w:bookmarkEnd w:id="1"/>
    <w:p>
      <w:pPr>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0"/>
          <w:szCs w:val="20"/>
          <w:color w:val="auto"/>
        </w:rPr>
      </w:pPr>
    </w:p>
    <w:p>
      <w:pPr>
        <w:spacing w:after="0" w:line="184" w:lineRule="exact"/>
        <w:tabs>
          <w:tab w:leader="none" w:pos="83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5, 2021, there were 135,026,940 shares of common stock, par value $0.001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89"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Form 10-Q</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40" w:type="dxa"/>
            <w:vAlign w:val="bottom"/>
          </w:tcPr>
          <w:p>
            <w:pPr>
              <w:spacing w:after="0"/>
              <w:rPr>
                <w:sz w:val="20"/>
                <w:szCs w:val="20"/>
                <w:color w:val="auto"/>
              </w:rPr>
            </w:pPr>
          </w:p>
        </w:tc>
        <w:tc>
          <w:tcPr>
            <w:tcW w:w="9240" w:type="dxa"/>
            <w:vAlign w:val="bottom"/>
          </w:tcPr>
          <w:p>
            <w:pPr>
              <w:ind w:left="2960"/>
              <w:spacing w:after="0"/>
              <w:rPr>
                <w:sz w:val="20"/>
                <w:szCs w:val="20"/>
                <w:color w:val="auto"/>
              </w:rPr>
            </w:pPr>
            <w:r>
              <w:rPr>
                <w:rFonts w:ascii="Arial" w:cs="Arial" w:eastAsia="Arial" w:hAnsi="Arial"/>
                <w:sz w:val="18"/>
                <w:szCs w:val="18"/>
                <w:b w:val="1"/>
                <w:bCs w:val="1"/>
                <w:color w:val="auto"/>
              </w:rPr>
              <w:t>PART I - FINANCIAL INFORMATION</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48"/>
        </w:trPr>
        <w:tc>
          <w:tcPr>
            <w:tcW w:w="104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w:t>
            </w:r>
          </w:p>
        </w:tc>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Unaudited Condensed Consolidated Financial Statements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189"/>
        </w:trPr>
        <w:tc>
          <w:tcPr>
            <w:tcW w:w="1040" w:type="dxa"/>
            <w:vAlign w:val="bottom"/>
          </w:tcPr>
          <w:p>
            <w:pPr>
              <w:spacing w:after="0"/>
              <w:rPr>
                <w:sz w:val="16"/>
                <w:szCs w:val="16"/>
                <w:color w:val="auto"/>
              </w:rPr>
            </w:pPr>
          </w:p>
        </w:tc>
        <w:tc>
          <w:tcPr>
            <w:tcW w:w="9240" w:type="dxa"/>
            <w:vAlign w:val="bottom"/>
          </w:tcPr>
          <w:p>
            <w:pPr>
              <w:ind w:left="660"/>
              <w:spacing w:after="0" w:line="189" w:lineRule="exact"/>
              <w:rPr>
                <w:sz w:val="20"/>
                <w:szCs w:val="20"/>
                <w:color w:val="auto"/>
              </w:rPr>
            </w:pPr>
            <w:r>
              <w:rPr>
                <w:rFonts w:ascii="Arial" w:cs="Arial" w:eastAsia="Arial" w:hAnsi="Arial"/>
                <w:sz w:val="18"/>
                <w:szCs w:val="18"/>
                <w:color w:val="auto"/>
              </w:rPr>
              <w:t>Condensed Consolidated Balance Sheets</w:t>
            </w:r>
          </w:p>
        </w:tc>
        <w:tc>
          <w:tcPr>
            <w:tcW w:w="200" w:type="dxa"/>
            <w:vAlign w:val="bottom"/>
            <w:gridSpan w:val="3"/>
          </w:tcPr>
          <w:p>
            <w:pPr>
              <w:jc w:val="center"/>
              <w:ind w:right="20"/>
              <w:spacing w:after="0" w:line="189"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5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spacing w:after="0"/>
              <w:rPr>
                <w:sz w:val="16"/>
                <w:szCs w:val="16"/>
                <w:color w:val="auto"/>
              </w:rPr>
            </w:pPr>
          </w:p>
        </w:tc>
        <w:tc>
          <w:tcPr>
            <w:tcW w:w="9240" w:type="dxa"/>
            <w:vAlign w:val="bottom"/>
            <w:shd w:val="clear" w:color="auto" w:fill="CCEEFF"/>
          </w:tcPr>
          <w:p>
            <w:pPr>
              <w:ind w:left="660"/>
              <w:spacing w:after="0" w:line="189" w:lineRule="exact"/>
              <w:rPr>
                <w:sz w:val="20"/>
                <w:szCs w:val="20"/>
                <w:color w:val="auto"/>
              </w:rPr>
            </w:pPr>
            <w:r>
              <w:rPr>
                <w:rFonts w:ascii="Arial" w:cs="Arial" w:eastAsia="Arial" w:hAnsi="Arial"/>
                <w:sz w:val="18"/>
                <w:szCs w:val="18"/>
                <w:color w:val="auto"/>
              </w:rPr>
              <w:t>Condensed Consolidated Statements of Operations</w:t>
            </w: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center"/>
              <w:ind w:right="60"/>
              <w:spacing w:after="0" w:line="189"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3</w:t>
              </w:r>
            </w:hyperlink>
          </w:p>
        </w:tc>
        <w:tc>
          <w:tcPr>
            <w:tcW w:w="5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9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40" w:type="dxa"/>
            <w:vAlign w:val="bottom"/>
          </w:tcPr>
          <w:p>
            <w:pPr>
              <w:spacing w:after="0"/>
              <w:rPr>
                <w:sz w:val="16"/>
                <w:szCs w:val="16"/>
                <w:color w:val="auto"/>
              </w:rPr>
            </w:pPr>
          </w:p>
        </w:tc>
        <w:tc>
          <w:tcPr>
            <w:tcW w:w="9240" w:type="dxa"/>
            <w:vAlign w:val="bottom"/>
          </w:tcPr>
          <w:p>
            <w:pPr>
              <w:ind w:left="660"/>
              <w:spacing w:after="0" w:line="189" w:lineRule="exact"/>
              <w:rPr>
                <w:sz w:val="20"/>
                <w:szCs w:val="20"/>
                <w:color w:val="auto"/>
              </w:rPr>
            </w:pPr>
            <w:r>
              <w:rPr>
                <w:rFonts w:ascii="Arial" w:cs="Arial" w:eastAsia="Arial" w:hAnsi="Arial"/>
                <w:sz w:val="18"/>
                <w:szCs w:val="18"/>
                <w:color w:val="auto"/>
              </w:rPr>
              <w:t>Condensed Consolidated Statements of Changes in Member’s Equity/Stockholders’ Equity</w:t>
            </w:r>
          </w:p>
        </w:tc>
        <w:tc>
          <w:tcPr>
            <w:tcW w:w="40" w:type="dxa"/>
            <w:vAlign w:val="bottom"/>
          </w:tcPr>
          <w:p>
            <w:pPr>
              <w:spacing w:after="0"/>
              <w:rPr>
                <w:sz w:val="16"/>
                <w:szCs w:val="16"/>
                <w:color w:val="auto"/>
              </w:rPr>
            </w:pPr>
          </w:p>
        </w:tc>
        <w:tc>
          <w:tcPr>
            <w:tcW w:w="160" w:type="dxa"/>
            <w:vAlign w:val="bottom"/>
            <w:gridSpan w:val="2"/>
          </w:tcPr>
          <w:p>
            <w:pPr>
              <w:jc w:val="center"/>
              <w:ind w:right="60"/>
              <w:spacing w:after="0" w:line="189"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4</w:t>
              </w:r>
            </w:hyperlink>
          </w:p>
        </w:tc>
        <w:tc>
          <w:tcPr>
            <w:tcW w:w="5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spacing w:after="0"/>
              <w:rPr>
                <w:sz w:val="16"/>
                <w:szCs w:val="16"/>
                <w:color w:val="auto"/>
              </w:rPr>
            </w:pPr>
          </w:p>
        </w:tc>
        <w:tc>
          <w:tcPr>
            <w:tcW w:w="9240" w:type="dxa"/>
            <w:vAlign w:val="bottom"/>
            <w:shd w:val="clear" w:color="auto" w:fill="CCEEFF"/>
          </w:tcPr>
          <w:p>
            <w:pPr>
              <w:ind w:left="660"/>
              <w:spacing w:after="0" w:line="189" w:lineRule="exact"/>
              <w:rPr>
                <w:sz w:val="20"/>
                <w:szCs w:val="20"/>
                <w:color w:val="auto"/>
              </w:rPr>
            </w:pPr>
            <w:r>
              <w:rPr>
                <w:rFonts w:ascii="Arial" w:cs="Arial" w:eastAsia="Arial" w:hAnsi="Arial"/>
                <w:sz w:val="18"/>
                <w:szCs w:val="18"/>
                <w:color w:val="auto"/>
              </w:rPr>
              <w:t>Condensed Consolidated Statements of Cash Flows</w:t>
            </w: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center"/>
              <w:ind w:right="60"/>
              <w:spacing w:after="0" w:line="189" w:lineRule="exact"/>
              <w:rPr>
                <w:rFonts w:ascii="Arial" w:cs="Arial" w:eastAsia="Arial" w:hAnsi="Arial"/>
                <w:sz w:val="18"/>
                <w:szCs w:val="18"/>
                <w:color w:val="0000FF"/>
                <w:w w:val="99"/>
              </w:rPr>
            </w:pPr>
            <w:hyperlink w:anchor="page9">
              <w:r>
                <w:rPr>
                  <w:rFonts w:ascii="Arial" w:cs="Arial" w:eastAsia="Arial" w:hAnsi="Arial"/>
                  <w:sz w:val="18"/>
                  <w:szCs w:val="18"/>
                  <w:color w:val="0000FF"/>
                  <w:w w:val="99"/>
                </w:rPr>
                <w:t>7</w:t>
              </w:r>
            </w:hyperlink>
          </w:p>
        </w:tc>
        <w:tc>
          <w:tcPr>
            <w:tcW w:w="520" w:type="dxa"/>
            <w:vAlign w:val="bottom"/>
            <w:shd w:val="clear" w:color="auto" w:fill="CCEEFF"/>
          </w:tcPr>
          <w:p>
            <w:pPr>
              <w:spacing w:after="0"/>
              <w:rPr>
                <w:sz w:val="16"/>
                <w:szCs w:val="16"/>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9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40" w:type="dxa"/>
            <w:vAlign w:val="bottom"/>
          </w:tcPr>
          <w:p>
            <w:pPr>
              <w:spacing w:after="0"/>
              <w:rPr>
                <w:sz w:val="16"/>
                <w:szCs w:val="16"/>
                <w:color w:val="auto"/>
              </w:rPr>
            </w:pPr>
          </w:p>
        </w:tc>
        <w:tc>
          <w:tcPr>
            <w:tcW w:w="9240" w:type="dxa"/>
            <w:vAlign w:val="bottom"/>
          </w:tcPr>
          <w:p>
            <w:pPr>
              <w:ind w:left="660"/>
              <w:spacing w:after="0" w:line="189" w:lineRule="exact"/>
              <w:rPr>
                <w:sz w:val="20"/>
                <w:szCs w:val="20"/>
                <w:color w:val="auto"/>
              </w:rPr>
            </w:pPr>
            <w:r>
              <w:rPr>
                <w:rFonts w:ascii="Arial" w:cs="Arial" w:eastAsia="Arial" w:hAnsi="Arial"/>
                <w:sz w:val="18"/>
                <w:szCs w:val="18"/>
                <w:color w:val="auto"/>
              </w:rPr>
              <w:t>Notes to Condensed Consolidated Financial Statements</w:t>
            </w:r>
          </w:p>
        </w:tc>
        <w:tc>
          <w:tcPr>
            <w:tcW w:w="40" w:type="dxa"/>
            <w:vAlign w:val="bottom"/>
          </w:tcPr>
          <w:p>
            <w:pPr>
              <w:spacing w:after="0"/>
              <w:rPr>
                <w:sz w:val="16"/>
                <w:szCs w:val="16"/>
                <w:color w:val="auto"/>
              </w:rPr>
            </w:pPr>
          </w:p>
        </w:tc>
        <w:tc>
          <w:tcPr>
            <w:tcW w:w="160" w:type="dxa"/>
            <w:vAlign w:val="bottom"/>
            <w:gridSpan w:val="2"/>
          </w:tcPr>
          <w:p>
            <w:pPr>
              <w:jc w:val="center"/>
              <w:ind w:right="60"/>
              <w:spacing w:after="0" w:line="189" w:lineRule="exact"/>
              <w:rPr>
                <w:rFonts w:ascii="Arial" w:cs="Arial" w:eastAsia="Arial" w:hAnsi="Arial"/>
                <w:sz w:val="18"/>
                <w:szCs w:val="18"/>
                <w:color w:val="0000FF"/>
                <w:w w:val="99"/>
              </w:rPr>
            </w:pPr>
            <w:hyperlink w:anchor="page11">
              <w:r>
                <w:rPr>
                  <w:rFonts w:ascii="Arial" w:cs="Arial" w:eastAsia="Arial" w:hAnsi="Arial"/>
                  <w:sz w:val="18"/>
                  <w:szCs w:val="18"/>
                  <w:color w:val="0000FF"/>
                  <w:w w:val="99"/>
                </w:rPr>
                <w:t>9</w:t>
              </w:r>
            </w:hyperlink>
          </w:p>
        </w:tc>
        <w:tc>
          <w:tcPr>
            <w:tcW w:w="520" w:type="dxa"/>
            <w:vAlign w:val="bottom"/>
          </w:tcPr>
          <w:p>
            <w:pPr>
              <w:spacing w:after="0"/>
              <w:rPr>
                <w:sz w:val="16"/>
                <w:szCs w:val="16"/>
                <w:color w:val="auto"/>
              </w:rPr>
            </w:pPr>
          </w:p>
        </w:tc>
      </w:tr>
      <w:tr>
        <w:trPr>
          <w:trHeight w:val="21"/>
        </w:trPr>
        <w:tc>
          <w:tcPr>
            <w:tcW w:w="104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0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9240" w:type="dxa"/>
            <w:vAlign w:val="bottom"/>
            <w:tcBorders>
              <w:bottom w:val="single" w:sz="8" w:color="CCEEFF"/>
            </w:tcBorders>
            <w:shd w:val="clear" w:color="auto" w:fill="CCEEFF"/>
          </w:tcPr>
          <w:p>
            <w:pPr>
              <w:ind w:left="44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99"/>
              </w:rPr>
            </w:pPr>
            <w:hyperlink w:anchor="page30">
              <w:r>
                <w:rPr>
                  <w:rFonts w:ascii="Arial" w:cs="Arial" w:eastAsia="Arial" w:hAnsi="Arial"/>
                  <w:sz w:val="18"/>
                  <w:szCs w:val="18"/>
                  <w:color w:val="0000FF"/>
                  <w:w w:val="99"/>
                </w:rPr>
                <w:t>28</w:t>
              </w:r>
            </w:hyperlink>
          </w:p>
        </w:tc>
        <w:tc>
          <w:tcPr>
            <w:tcW w:w="520" w:type="dxa"/>
            <w:vAlign w:val="bottom"/>
            <w:tcBorders>
              <w:bottom w:val="single" w:sz="8" w:color="CCEEFF"/>
            </w:tcBorders>
            <w:shd w:val="clear" w:color="auto" w:fill="CCEEFF"/>
          </w:tcPr>
          <w:p>
            <w:pPr>
              <w:spacing w:after="0"/>
              <w:rPr>
                <w:sz w:val="18"/>
                <w:szCs w:val="18"/>
                <w:color w:val="auto"/>
              </w:rPr>
            </w:pPr>
          </w:p>
        </w:tc>
      </w:tr>
      <w:tr>
        <w:trPr>
          <w:trHeight w:val="189"/>
        </w:trPr>
        <w:tc>
          <w:tcPr>
            <w:tcW w:w="1040" w:type="dxa"/>
            <w:vAlign w:val="bottom"/>
          </w:tcPr>
          <w:p>
            <w:pPr>
              <w:ind w:left="20"/>
              <w:spacing w:after="0" w:line="189" w:lineRule="exact"/>
              <w:rPr>
                <w:sz w:val="20"/>
                <w:szCs w:val="20"/>
                <w:color w:val="auto"/>
              </w:rPr>
            </w:pPr>
            <w:r>
              <w:rPr>
                <w:rFonts w:ascii="Arial" w:cs="Arial" w:eastAsia="Arial" w:hAnsi="Arial"/>
                <w:sz w:val="18"/>
                <w:szCs w:val="18"/>
                <w:color w:val="auto"/>
              </w:rPr>
              <w:t>Item 3.</w:t>
            </w:r>
          </w:p>
        </w:tc>
        <w:tc>
          <w:tcPr>
            <w:tcW w:w="9240" w:type="dxa"/>
            <w:vAlign w:val="bottom"/>
          </w:tcPr>
          <w:p>
            <w:pPr>
              <w:ind w:left="44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720" w:type="dxa"/>
            <w:vAlign w:val="bottom"/>
            <w:gridSpan w:val="4"/>
          </w:tcPr>
          <w:p>
            <w:pPr>
              <w:jc w:val="center"/>
              <w:ind w:right="520"/>
              <w:spacing w:after="0" w:line="189" w:lineRule="exact"/>
              <w:rPr>
                <w:rFonts w:ascii="Arial" w:cs="Arial" w:eastAsia="Arial" w:hAnsi="Arial"/>
                <w:sz w:val="18"/>
                <w:szCs w:val="18"/>
                <w:color w:val="0000FF"/>
                <w:w w:val="99"/>
              </w:rPr>
            </w:pPr>
            <w:hyperlink w:anchor="page44">
              <w:r>
                <w:rPr>
                  <w:rFonts w:ascii="Arial" w:cs="Arial" w:eastAsia="Arial" w:hAnsi="Arial"/>
                  <w:sz w:val="18"/>
                  <w:szCs w:val="18"/>
                  <w:color w:val="0000FF"/>
                  <w:w w:val="99"/>
                </w:rPr>
                <w:t>41</w:t>
              </w:r>
            </w:hyperlink>
          </w:p>
        </w:tc>
      </w:tr>
      <w:tr>
        <w:trPr>
          <w:trHeight w:val="20"/>
        </w:trPr>
        <w:tc>
          <w:tcPr>
            <w:tcW w:w="104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924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Controls and Procedures</w:t>
            </w:r>
          </w:p>
        </w:tc>
        <w:tc>
          <w:tcPr>
            <w:tcW w:w="720" w:type="dxa"/>
            <w:vAlign w:val="bottom"/>
            <w:gridSpan w:val="4"/>
            <w:shd w:val="clear" w:color="auto" w:fill="CCEEFF"/>
          </w:tcPr>
          <w:p>
            <w:pPr>
              <w:jc w:val="center"/>
              <w:ind w:right="520"/>
              <w:spacing w:after="0" w:line="189" w:lineRule="exact"/>
              <w:rPr>
                <w:rFonts w:ascii="Arial" w:cs="Arial" w:eastAsia="Arial" w:hAnsi="Arial"/>
                <w:sz w:val="18"/>
                <w:szCs w:val="18"/>
                <w:color w:val="0000FF"/>
                <w:w w:val="99"/>
              </w:rPr>
            </w:pPr>
            <w:hyperlink w:anchor="page44">
              <w:r>
                <w:rPr>
                  <w:rFonts w:ascii="Arial" w:cs="Arial" w:eastAsia="Arial" w:hAnsi="Arial"/>
                  <w:sz w:val="18"/>
                  <w:szCs w:val="18"/>
                  <w:color w:val="0000FF"/>
                  <w:w w:val="99"/>
                </w:rPr>
                <w:t>41</w:t>
              </w:r>
            </w:hyperlink>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9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00" w:type="dxa"/>
            <w:vAlign w:val="bottom"/>
          </w:tcPr>
          <w:p>
            <w:pPr>
              <w:spacing w:after="0"/>
              <w:rPr>
                <w:sz w:val="20"/>
                <w:szCs w:val="20"/>
                <w:color w:val="auto"/>
              </w:rPr>
            </w:pPr>
          </w:p>
        </w:tc>
        <w:tc>
          <w:tcPr>
            <w:tcW w:w="9180" w:type="dxa"/>
            <w:vAlign w:val="bottom"/>
          </w:tcPr>
          <w:p>
            <w:pPr>
              <w:ind w:left="3040"/>
              <w:spacing w:after="0"/>
              <w:rPr>
                <w:sz w:val="20"/>
                <w:szCs w:val="20"/>
                <w:color w:val="auto"/>
              </w:rPr>
            </w:pPr>
            <w:r>
              <w:rPr>
                <w:rFonts w:ascii="Arial" w:cs="Arial" w:eastAsia="Arial" w:hAnsi="Arial"/>
                <w:sz w:val="18"/>
                <w:szCs w:val="18"/>
                <w:b w:val="1"/>
                <w:bCs w:val="1"/>
                <w:color w:val="auto"/>
              </w:rPr>
              <w:t>PART II - OTHER INFORMATION</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48"/>
        </w:trPr>
        <w:tc>
          <w:tcPr>
            <w:tcW w:w="110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10"/>
        </w:trPr>
        <w:tc>
          <w:tcPr>
            <w:tcW w:w="11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180" w:type="dxa"/>
            <w:vAlign w:val="bottom"/>
            <w:tcBorders>
              <w:bottom w:val="single" w:sz="8" w:color="CCEEFF"/>
            </w:tcBorders>
            <w:shd w:val="clear" w:color="auto" w:fill="CCEEFF"/>
          </w:tcPr>
          <w:p>
            <w:pPr>
              <w:ind w:left="380"/>
              <w:spacing w:after="0" w:line="189" w:lineRule="exact"/>
              <w:rPr>
                <w:sz w:val="20"/>
                <w:szCs w:val="20"/>
                <w:color w:val="auto"/>
              </w:rPr>
            </w:pPr>
            <w:r>
              <w:rPr>
                <w:rFonts w:ascii="Arial" w:cs="Arial" w:eastAsia="Arial" w:hAnsi="Arial"/>
                <w:sz w:val="18"/>
                <w:szCs w:val="18"/>
                <w:color w:val="auto"/>
              </w:rPr>
              <w:t>Legal Proceedings</w:t>
            </w:r>
          </w:p>
        </w:tc>
        <w:tc>
          <w:tcPr>
            <w:tcW w:w="20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42</w:t>
              </w:r>
            </w:hyperlink>
          </w:p>
        </w:tc>
        <w:tc>
          <w:tcPr>
            <w:tcW w:w="5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Item 1A.</w:t>
            </w:r>
          </w:p>
        </w:tc>
        <w:tc>
          <w:tcPr>
            <w:tcW w:w="9180" w:type="dxa"/>
            <w:vAlign w:val="bottom"/>
          </w:tcPr>
          <w:p>
            <w:pPr>
              <w:ind w:left="380"/>
              <w:spacing w:after="0" w:line="189" w:lineRule="exact"/>
              <w:rPr>
                <w:sz w:val="20"/>
                <w:szCs w:val="20"/>
                <w:color w:val="auto"/>
              </w:rPr>
            </w:pPr>
            <w:r>
              <w:rPr>
                <w:rFonts w:ascii="Arial" w:cs="Arial" w:eastAsia="Arial" w:hAnsi="Arial"/>
                <w:sz w:val="18"/>
                <w:szCs w:val="18"/>
                <w:color w:val="auto"/>
              </w:rPr>
              <w:t>Risk Factors</w:t>
            </w:r>
          </w:p>
        </w:tc>
        <w:tc>
          <w:tcPr>
            <w:tcW w:w="720" w:type="dxa"/>
            <w:vAlign w:val="bottom"/>
            <w:gridSpan w:val="2"/>
          </w:tcPr>
          <w:p>
            <w:pPr>
              <w:jc w:val="right"/>
              <w:ind w:right="520"/>
              <w:spacing w:after="0" w:line="189"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44</w:t>
              </w:r>
            </w:hyperlink>
          </w:p>
        </w:tc>
      </w:tr>
      <w:tr>
        <w:trPr>
          <w:trHeight w:val="21"/>
        </w:trPr>
        <w:tc>
          <w:tcPr>
            <w:tcW w:w="110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1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9180" w:type="dxa"/>
            <w:vAlign w:val="bottom"/>
            <w:tcBorders>
              <w:bottom w:val="single" w:sz="8" w:color="CCEEFF"/>
            </w:tcBorders>
            <w:shd w:val="clear" w:color="auto" w:fill="CCEEFF"/>
          </w:tcPr>
          <w:p>
            <w:pPr>
              <w:ind w:left="380"/>
              <w:spacing w:after="0" w:line="189" w:lineRule="exact"/>
              <w:rPr>
                <w:sz w:val="20"/>
                <w:szCs w:val="20"/>
                <w:color w:val="auto"/>
              </w:rPr>
            </w:pPr>
            <w:r>
              <w:rPr>
                <w:rFonts w:ascii="Arial" w:cs="Arial" w:eastAsia="Arial" w:hAnsi="Arial"/>
                <w:sz w:val="18"/>
                <w:szCs w:val="18"/>
                <w:color w:val="auto"/>
              </w:rPr>
              <w:t>Unregistered Sales of Equity Securities and Use of Proceeds</w:t>
            </w:r>
          </w:p>
        </w:tc>
        <w:tc>
          <w:tcPr>
            <w:tcW w:w="20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44</w:t>
              </w:r>
            </w:hyperlink>
          </w:p>
        </w:tc>
        <w:tc>
          <w:tcPr>
            <w:tcW w:w="5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Item 3.</w:t>
            </w:r>
          </w:p>
        </w:tc>
        <w:tc>
          <w:tcPr>
            <w:tcW w:w="9180" w:type="dxa"/>
            <w:vAlign w:val="bottom"/>
          </w:tcPr>
          <w:p>
            <w:pPr>
              <w:ind w:left="380"/>
              <w:spacing w:after="0" w:line="189" w:lineRule="exact"/>
              <w:rPr>
                <w:sz w:val="20"/>
                <w:szCs w:val="20"/>
                <w:color w:val="auto"/>
              </w:rPr>
            </w:pPr>
            <w:r>
              <w:rPr>
                <w:rFonts w:ascii="Arial" w:cs="Arial" w:eastAsia="Arial" w:hAnsi="Arial"/>
                <w:sz w:val="18"/>
                <w:szCs w:val="18"/>
                <w:color w:val="auto"/>
              </w:rPr>
              <w:t>Defaults Upon Senior Securities</w:t>
            </w:r>
          </w:p>
        </w:tc>
        <w:tc>
          <w:tcPr>
            <w:tcW w:w="720" w:type="dxa"/>
            <w:vAlign w:val="bottom"/>
            <w:gridSpan w:val="2"/>
          </w:tcPr>
          <w:p>
            <w:pPr>
              <w:jc w:val="right"/>
              <w:ind w:right="520"/>
              <w:spacing w:after="0" w:line="189"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44</w:t>
              </w:r>
            </w:hyperlink>
          </w:p>
        </w:tc>
      </w:tr>
      <w:tr>
        <w:trPr>
          <w:trHeight w:val="21"/>
        </w:trPr>
        <w:tc>
          <w:tcPr>
            <w:tcW w:w="110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11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9180" w:type="dxa"/>
            <w:vAlign w:val="bottom"/>
            <w:tcBorders>
              <w:bottom w:val="single" w:sz="8" w:color="CCEEFF"/>
            </w:tcBorders>
            <w:shd w:val="clear" w:color="auto" w:fill="CCEEFF"/>
          </w:tcPr>
          <w:p>
            <w:pPr>
              <w:ind w:left="380"/>
              <w:spacing w:after="0" w:line="189" w:lineRule="exact"/>
              <w:rPr>
                <w:sz w:val="20"/>
                <w:szCs w:val="20"/>
                <w:color w:val="auto"/>
              </w:rPr>
            </w:pPr>
            <w:r>
              <w:rPr>
                <w:rFonts w:ascii="Arial" w:cs="Arial" w:eastAsia="Arial" w:hAnsi="Arial"/>
                <w:sz w:val="18"/>
                <w:szCs w:val="18"/>
                <w:color w:val="auto"/>
              </w:rPr>
              <w:t>Mine Safety Disclosures</w:t>
            </w:r>
          </w:p>
        </w:tc>
        <w:tc>
          <w:tcPr>
            <w:tcW w:w="20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44</w:t>
              </w:r>
            </w:hyperlink>
          </w:p>
        </w:tc>
        <w:tc>
          <w:tcPr>
            <w:tcW w:w="5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Item 5.</w:t>
            </w:r>
          </w:p>
        </w:tc>
        <w:tc>
          <w:tcPr>
            <w:tcW w:w="9180" w:type="dxa"/>
            <w:vAlign w:val="bottom"/>
          </w:tcPr>
          <w:p>
            <w:pPr>
              <w:ind w:left="380"/>
              <w:spacing w:after="0" w:line="189" w:lineRule="exact"/>
              <w:rPr>
                <w:sz w:val="20"/>
                <w:szCs w:val="20"/>
                <w:color w:val="auto"/>
              </w:rPr>
            </w:pPr>
            <w:r>
              <w:rPr>
                <w:rFonts w:ascii="Arial" w:cs="Arial" w:eastAsia="Arial" w:hAnsi="Arial"/>
                <w:sz w:val="18"/>
                <w:szCs w:val="18"/>
                <w:color w:val="auto"/>
              </w:rPr>
              <w:t>Other Information</w:t>
            </w:r>
          </w:p>
        </w:tc>
        <w:tc>
          <w:tcPr>
            <w:tcW w:w="720" w:type="dxa"/>
            <w:vAlign w:val="bottom"/>
            <w:gridSpan w:val="2"/>
          </w:tcPr>
          <w:p>
            <w:pPr>
              <w:jc w:val="right"/>
              <w:ind w:right="520"/>
              <w:spacing w:after="0" w:line="189"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44</w:t>
              </w:r>
            </w:hyperlink>
          </w:p>
        </w:tc>
      </w:tr>
      <w:tr>
        <w:trPr>
          <w:trHeight w:val="20"/>
        </w:trPr>
        <w:tc>
          <w:tcPr>
            <w:tcW w:w="110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6.</w:t>
            </w:r>
          </w:p>
        </w:tc>
        <w:tc>
          <w:tcPr>
            <w:tcW w:w="9180" w:type="dxa"/>
            <w:vAlign w:val="bottom"/>
            <w:shd w:val="clear" w:color="auto" w:fill="CCEEFF"/>
          </w:tcPr>
          <w:p>
            <w:pPr>
              <w:ind w:left="380"/>
              <w:spacing w:after="0" w:line="189" w:lineRule="exact"/>
              <w:rPr>
                <w:sz w:val="20"/>
                <w:szCs w:val="20"/>
                <w:color w:val="auto"/>
              </w:rPr>
            </w:pPr>
            <w:r>
              <w:rPr>
                <w:rFonts w:ascii="Arial" w:cs="Arial" w:eastAsia="Arial" w:hAnsi="Arial"/>
                <w:sz w:val="18"/>
                <w:szCs w:val="18"/>
                <w:color w:val="auto"/>
              </w:rPr>
              <w:t>Exhibits</w:t>
            </w:r>
          </w:p>
        </w:tc>
        <w:tc>
          <w:tcPr>
            <w:tcW w:w="720" w:type="dxa"/>
            <w:vAlign w:val="bottom"/>
            <w:gridSpan w:val="2"/>
            <w:shd w:val="clear" w:color="auto" w:fill="CCEEFF"/>
          </w:tcPr>
          <w:p>
            <w:pPr>
              <w:jc w:val="right"/>
              <w:ind w:right="520"/>
              <w:spacing w:after="0" w:line="189"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44</w:t>
              </w:r>
            </w:hyperlink>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9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53975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097"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61"/>
        </w:trPr>
        <w:tc>
          <w:tcPr>
            <w:tcW w:w="7980" w:type="dxa"/>
            <w:vAlign w:val="bottom"/>
            <w:gridSpan w:val="2"/>
          </w:tcPr>
          <w:p>
            <w:pPr>
              <w:jc w:val="center"/>
              <w:ind w:left="3181"/>
              <w:spacing w:after="0"/>
              <w:rPr>
                <w:sz w:val="20"/>
                <w:szCs w:val="20"/>
                <w:color w:val="auto"/>
              </w:rPr>
            </w:pPr>
            <w:r>
              <w:rPr>
                <w:rFonts w:ascii="Arial" w:cs="Arial" w:eastAsia="Arial" w:hAnsi="Arial"/>
                <w:sz w:val="20"/>
                <w:szCs w:val="20"/>
                <w:b w:val="1"/>
                <w:bCs w:val="1"/>
                <w:color w:val="auto"/>
                <w:w w:val="98"/>
              </w:rPr>
              <w:t>PART I—FINANCIAL INFORMATION</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6520" w:type="dxa"/>
            <w:vAlign w:val="bottom"/>
          </w:tcPr>
          <w:p>
            <w:pPr>
              <w:spacing w:after="0"/>
              <w:rPr>
                <w:sz w:val="20"/>
                <w:szCs w:val="20"/>
                <w:color w:val="auto"/>
              </w:rPr>
            </w:pPr>
            <w:r>
              <w:rPr>
                <w:rFonts w:ascii="Arial" w:cs="Arial" w:eastAsia="Arial" w:hAnsi="Arial"/>
                <w:sz w:val="20"/>
                <w:szCs w:val="20"/>
                <w:b w:val="1"/>
                <w:bCs w:val="1"/>
                <w:color w:val="auto"/>
              </w:rPr>
              <w:t>Item 1. Financial Statements.</w:t>
            </w: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980" w:type="dxa"/>
            <w:vAlign w:val="bottom"/>
            <w:gridSpan w:val="2"/>
          </w:tcPr>
          <w:p>
            <w:pPr>
              <w:jc w:val="center"/>
              <w:ind w:left="3161"/>
              <w:spacing w:after="0"/>
              <w:rPr>
                <w:sz w:val="20"/>
                <w:szCs w:val="20"/>
                <w:color w:val="auto"/>
              </w:rPr>
            </w:pPr>
            <w:r>
              <w:rPr>
                <w:rFonts w:ascii="Arial" w:cs="Arial" w:eastAsia="Arial" w:hAnsi="Arial"/>
                <w:sz w:val="20"/>
                <w:szCs w:val="20"/>
                <w:b w:val="1"/>
                <w:bCs w:val="1"/>
                <w:color w:val="auto"/>
                <w:w w:val="98"/>
              </w:rPr>
              <w:t>Array Technologies, Inc. and Subsidiaries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940" w:type="dxa"/>
            <w:vAlign w:val="bottom"/>
            <w:gridSpan w:val="4"/>
          </w:tcPr>
          <w:p>
            <w:pPr>
              <w:jc w:val="center"/>
              <w:ind w:left="2201"/>
              <w:spacing w:after="0"/>
              <w:rPr>
                <w:sz w:val="20"/>
                <w:szCs w:val="20"/>
                <w:color w:val="auto"/>
              </w:rPr>
            </w:pPr>
            <w:r>
              <w:rPr>
                <w:rFonts w:ascii="Arial" w:cs="Arial" w:eastAsia="Arial" w:hAnsi="Arial"/>
                <w:sz w:val="20"/>
                <w:szCs w:val="20"/>
                <w:b w:val="1"/>
                <w:bCs w:val="1"/>
                <w:color w:val="auto"/>
                <w:w w:val="99"/>
              </w:rPr>
              <w:t>Condensed Consolidated Balance Sheets (unaudited)</w:t>
            </w: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980" w:type="dxa"/>
            <w:vAlign w:val="bottom"/>
            <w:gridSpan w:val="2"/>
          </w:tcPr>
          <w:p>
            <w:pPr>
              <w:jc w:val="center"/>
              <w:ind w:left="3181"/>
              <w:spacing w:after="0"/>
              <w:rPr>
                <w:sz w:val="20"/>
                <w:szCs w:val="20"/>
                <w:color w:val="auto"/>
              </w:rPr>
            </w:pPr>
            <w:r>
              <w:rPr>
                <w:rFonts w:ascii="Arial" w:cs="Arial" w:eastAsia="Arial" w:hAnsi="Arial"/>
                <w:sz w:val="20"/>
                <w:szCs w:val="20"/>
                <w:i w:val="1"/>
                <w:iCs w:val="1"/>
                <w:color w:val="auto"/>
                <w:w w:val="98"/>
              </w:rPr>
              <w:t>(in thousands, except per share and share amounts)</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520" w:type="dxa"/>
            <w:vAlign w:val="bottom"/>
          </w:tcPr>
          <w:p>
            <w:pPr>
              <w:spacing w:after="0"/>
              <w:rPr>
                <w:sz w:val="23"/>
                <w:szCs w:val="23"/>
                <w:color w:val="auto"/>
              </w:rPr>
            </w:pPr>
          </w:p>
        </w:tc>
        <w:tc>
          <w:tcPr>
            <w:tcW w:w="2420" w:type="dxa"/>
            <w:vAlign w:val="bottom"/>
            <w:gridSpan w:val="3"/>
          </w:tcPr>
          <w:p>
            <w:pPr>
              <w:ind w:left="240"/>
              <w:spacing w:after="0"/>
              <w:rPr>
                <w:sz w:val="20"/>
                <w:szCs w:val="20"/>
                <w:color w:val="auto"/>
              </w:rPr>
            </w:pPr>
            <w:r>
              <w:rPr>
                <w:rFonts w:ascii="Arial" w:cs="Arial" w:eastAsia="Arial" w:hAnsi="Arial"/>
                <w:sz w:val="20"/>
                <w:szCs w:val="20"/>
                <w:b w:val="1"/>
                <w:bCs w:val="1"/>
                <w:color w:val="auto"/>
              </w:rPr>
              <w:t>September 30, 2021</w:t>
            </w:r>
          </w:p>
        </w:tc>
        <w:tc>
          <w:tcPr>
            <w:tcW w:w="180" w:type="dxa"/>
            <w:vAlign w:val="bottom"/>
          </w:tcPr>
          <w:p>
            <w:pPr>
              <w:spacing w:after="0"/>
              <w:rPr>
                <w:sz w:val="23"/>
                <w:szCs w:val="23"/>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2020</w:t>
            </w:r>
          </w:p>
        </w:tc>
        <w:tc>
          <w:tcPr>
            <w:tcW w:w="0" w:type="dxa"/>
            <w:vAlign w:val="bottom"/>
          </w:tcPr>
          <w:p>
            <w:pPr>
              <w:spacing w:after="0"/>
              <w:rPr>
                <w:sz w:val="1"/>
                <w:szCs w:val="1"/>
                <w:color w:val="auto"/>
              </w:rPr>
            </w:pPr>
          </w:p>
        </w:tc>
      </w:tr>
      <w:tr>
        <w:trPr>
          <w:trHeight w:val="228"/>
        </w:trPr>
        <w:tc>
          <w:tcPr>
            <w:tcW w:w="6520" w:type="dxa"/>
            <w:vAlign w:val="bottom"/>
            <w:tcBorders>
              <w:top w:val="single" w:sz="8" w:color="CCEEFF"/>
            </w:tcBorders>
            <w:shd w:val="clear" w:color="auto" w:fill="CCEEFF"/>
          </w:tcPr>
          <w:p>
            <w:pPr>
              <w:ind w:left="20"/>
              <w:spacing w:after="0" w:line="228" w:lineRule="exact"/>
              <w:rPr>
                <w:sz w:val="20"/>
                <w:szCs w:val="20"/>
                <w:color w:val="auto"/>
              </w:rPr>
            </w:pPr>
            <w:r>
              <w:rPr>
                <w:rFonts w:ascii="Arial" w:cs="Arial" w:eastAsia="Arial" w:hAnsi="Arial"/>
                <w:sz w:val="20"/>
                <w:szCs w:val="20"/>
                <w:color w:val="auto"/>
              </w:rPr>
              <w:t>ASSETS</w:t>
            </w:r>
          </w:p>
        </w:tc>
        <w:tc>
          <w:tcPr>
            <w:tcW w:w="14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20"/>
                <w:szCs w:val="20"/>
                <w:color w:val="auto"/>
              </w:rPr>
              <w:t>Current assets</w:t>
            </w:r>
          </w:p>
        </w:tc>
        <w:tc>
          <w:tcPr>
            <w:tcW w:w="1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Cash and cash equivalents</w:t>
            </w:r>
          </w:p>
        </w:tc>
        <w:tc>
          <w:tcPr>
            <w:tcW w:w="1460" w:type="dxa"/>
            <w:vAlign w:val="bottom"/>
            <w:shd w:val="clear" w:color="auto" w:fill="CCEEFF"/>
          </w:tcPr>
          <w:p>
            <w:pPr>
              <w:jc w:val="right"/>
              <w:ind w:right="1221"/>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116,391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108,441</w:t>
            </w: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Accounts receivable, net</w:t>
            </w:r>
          </w:p>
        </w:tc>
        <w:tc>
          <w:tcPr>
            <w:tcW w:w="146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177,462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118,694</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Inventories, net</w:t>
            </w:r>
          </w:p>
        </w:tc>
        <w:tc>
          <w:tcPr>
            <w:tcW w:w="14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173,126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118,459</w:t>
            </w: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Income tax receivables</w:t>
            </w:r>
          </w:p>
        </w:tc>
        <w:tc>
          <w:tcPr>
            <w:tcW w:w="146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6,453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17,158</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Prepaid expenses and other</w:t>
            </w:r>
          </w:p>
        </w:tc>
        <w:tc>
          <w:tcPr>
            <w:tcW w:w="14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18,193</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12,423</w:t>
            </w:r>
          </w:p>
        </w:tc>
        <w:tc>
          <w:tcPr>
            <w:tcW w:w="0" w:type="dxa"/>
            <w:vAlign w:val="bottom"/>
          </w:tcPr>
          <w:p>
            <w:pPr>
              <w:spacing w:after="0"/>
              <w:rPr>
                <w:sz w:val="1"/>
                <w:szCs w:val="1"/>
                <w:color w:val="auto"/>
              </w:rPr>
            </w:pPr>
          </w:p>
        </w:tc>
      </w:tr>
      <w:tr>
        <w:trPr>
          <w:trHeight w:val="237"/>
        </w:trPr>
        <w:tc>
          <w:tcPr>
            <w:tcW w:w="6520" w:type="dxa"/>
            <w:vAlign w:val="bottom"/>
          </w:tcPr>
          <w:p>
            <w:pPr>
              <w:ind w:left="460"/>
              <w:spacing w:after="0"/>
              <w:rPr>
                <w:sz w:val="20"/>
                <w:szCs w:val="20"/>
                <w:color w:val="auto"/>
              </w:rPr>
            </w:pPr>
            <w:r>
              <w:rPr>
                <w:rFonts w:ascii="Arial" w:cs="Arial" w:eastAsia="Arial" w:hAnsi="Arial"/>
                <w:sz w:val="20"/>
                <w:szCs w:val="20"/>
                <w:color w:val="auto"/>
              </w:rPr>
              <w:t>Total current assets</w:t>
            </w:r>
          </w:p>
        </w:tc>
        <w:tc>
          <w:tcPr>
            <w:tcW w:w="14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491,625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375,175</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Property, plant and equipment, net</w:t>
            </w:r>
          </w:p>
        </w:tc>
        <w:tc>
          <w:tcPr>
            <w:tcW w:w="14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10,202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9,774</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20"/>
                <w:szCs w:val="20"/>
                <w:color w:val="auto"/>
              </w:rPr>
              <w:t>Goodwill</w:t>
            </w:r>
          </w:p>
        </w:tc>
        <w:tc>
          <w:tcPr>
            <w:tcW w:w="146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69,727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69,727</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intangible assets, net</w:t>
            </w:r>
          </w:p>
        </w:tc>
        <w:tc>
          <w:tcPr>
            <w:tcW w:w="14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180,630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198,260</w:t>
            </w:r>
          </w:p>
        </w:tc>
        <w:tc>
          <w:tcPr>
            <w:tcW w:w="0" w:type="dxa"/>
            <w:vAlign w:val="bottom"/>
          </w:tcPr>
          <w:p>
            <w:pPr>
              <w:spacing w:after="0"/>
              <w:rPr>
                <w:sz w:val="1"/>
                <w:szCs w:val="1"/>
                <w:color w:val="auto"/>
              </w:rPr>
            </w:pPr>
          </w:p>
        </w:tc>
      </w:tr>
      <w:tr>
        <w:trPr>
          <w:trHeight w:val="24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Other assets</w:t>
            </w:r>
          </w:p>
        </w:tc>
        <w:tc>
          <w:tcPr>
            <w:tcW w:w="1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24,405</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3,088</w:t>
            </w:r>
          </w:p>
        </w:tc>
        <w:tc>
          <w:tcPr>
            <w:tcW w:w="0" w:type="dxa"/>
            <w:vAlign w:val="bottom"/>
          </w:tcPr>
          <w:p>
            <w:pPr>
              <w:spacing w:after="0"/>
              <w:rPr>
                <w:sz w:val="1"/>
                <w:szCs w:val="1"/>
                <w:color w:val="auto"/>
              </w:rPr>
            </w:pPr>
          </w:p>
        </w:tc>
      </w:tr>
      <w:tr>
        <w:trPr>
          <w:trHeight w:val="262"/>
        </w:trPr>
        <w:tc>
          <w:tcPr>
            <w:tcW w:w="6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20"/>
                <w:szCs w:val="20"/>
                <w:color w:val="auto"/>
              </w:rPr>
              <w:t>Total assets</w:t>
            </w:r>
          </w:p>
        </w:tc>
        <w:tc>
          <w:tcPr>
            <w:tcW w:w="1460" w:type="dxa"/>
            <w:vAlign w:val="bottom"/>
            <w:tcBorders>
              <w:bottom w:val="single" w:sz="8" w:color="auto"/>
            </w:tcBorders>
            <w:shd w:val="clear" w:color="auto" w:fill="CCEEFF"/>
          </w:tcPr>
          <w:p>
            <w:pPr>
              <w:jc w:val="right"/>
              <w:ind w:right="122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776,589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656,024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65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LIABILITIES AND STOCKHOLDERS' EQUITY/(DEFICIT)</w:t>
            </w:r>
          </w:p>
        </w:tc>
        <w:tc>
          <w:tcPr>
            <w:tcW w:w="14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20"/>
                <w:szCs w:val="20"/>
                <w:color w:val="auto"/>
              </w:rPr>
              <w:t>Current Liabilities</w:t>
            </w:r>
          </w:p>
        </w:tc>
        <w:tc>
          <w:tcPr>
            <w:tcW w:w="1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Accounts payable</w:t>
            </w:r>
          </w:p>
        </w:tc>
        <w:tc>
          <w:tcPr>
            <w:tcW w:w="1460" w:type="dxa"/>
            <w:vAlign w:val="bottom"/>
            <w:shd w:val="clear" w:color="auto" w:fill="CCEEFF"/>
          </w:tcPr>
          <w:p>
            <w:pPr>
              <w:jc w:val="right"/>
              <w:ind w:right="1221"/>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84,703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82,755</w:t>
            </w: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Accounts payable - related party</w:t>
            </w:r>
          </w:p>
        </w:tc>
        <w:tc>
          <w:tcPr>
            <w:tcW w:w="146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610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2,232</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Accrued expenses and other</w:t>
            </w:r>
          </w:p>
        </w:tc>
        <w:tc>
          <w:tcPr>
            <w:tcW w:w="14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31,256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29,164</w:t>
            </w: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Accrued warranty reserve</w:t>
            </w:r>
          </w:p>
        </w:tc>
        <w:tc>
          <w:tcPr>
            <w:tcW w:w="146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3,025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3,049</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payable</w:t>
            </w:r>
          </w:p>
        </w:tc>
        <w:tc>
          <w:tcPr>
            <w:tcW w:w="14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629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8,814</w:t>
            </w: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Deferred revenue</w:t>
            </w:r>
          </w:p>
        </w:tc>
        <w:tc>
          <w:tcPr>
            <w:tcW w:w="146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81,347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149,821</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contingent consideration</w:t>
            </w:r>
          </w:p>
        </w:tc>
        <w:tc>
          <w:tcPr>
            <w:tcW w:w="14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2,168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8,955</w:t>
            </w: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Current portion of term loan</w:t>
            </w:r>
          </w:p>
        </w:tc>
        <w:tc>
          <w:tcPr>
            <w:tcW w:w="146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4,300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4,313</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current liabilities</w:t>
            </w:r>
          </w:p>
        </w:tc>
        <w:tc>
          <w:tcPr>
            <w:tcW w:w="14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6,457</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6"/>
        </w:trPr>
        <w:tc>
          <w:tcPr>
            <w:tcW w:w="652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current liabilities</w:t>
            </w:r>
          </w:p>
        </w:tc>
        <w:tc>
          <w:tcPr>
            <w:tcW w:w="1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214,495</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289,103</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color w:val="auto"/>
              </w:rPr>
              <w:t>Long-term liabilities</w:t>
            </w:r>
          </w:p>
        </w:tc>
        <w:tc>
          <w:tcPr>
            <w:tcW w:w="1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Deferred tax liability</w:t>
            </w:r>
          </w:p>
        </w:tc>
        <w:tc>
          <w:tcPr>
            <w:tcW w:w="146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6,583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13,114</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Contingent consideration, net of current portion</w:t>
            </w:r>
          </w:p>
        </w:tc>
        <w:tc>
          <w:tcPr>
            <w:tcW w:w="14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10,784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10,736</w:t>
            </w: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Other long-term liabilities</w:t>
            </w:r>
          </w:p>
        </w:tc>
        <w:tc>
          <w:tcPr>
            <w:tcW w:w="146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20"/>
                <w:szCs w:val="20"/>
                <w:color w:val="auto"/>
              </w:rPr>
              <w:t>2,953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9"/>
        </w:trPr>
        <w:tc>
          <w:tcPr>
            <w:tcW w:w="6520" w:type="dxa"/>
            <w:vAlign w:val="bottom"/>
            <w:shd w:val="clear" w:color="auto" w:fill="CCEEFF"/>
          </w:tcPr>
          <w:p>
            <w:pPr>
              <w:ind w:left="240"/>
              <w:spacing w:after="0" w:line="199" w:lineRule="exact"/>
              <w:rPr>
                <w:sz w:val="20"/>
                <w:szCs w:val="20"/>
                <w:color w:val="auto"/>
              </w:rPr>
            </w:pPr>
            <w:r>
              <w:rPr>
                <w:rFonts w:ascii="Arial" w:cs="Arial" w:eastAsia="Arial" w:hAnsi="Arial"/>
                <w:sz w:val="20"/>
                <w:szCs w:val="20"/>
                <w:color w:val="auto"/>
              </w:rPr>
              <w:t>Long-term debt, net of current portion, debt discount and issuance</w:t>
            </w:r>
          </w:p>
        </w:tc>
        <w:tc>
          <w:tcPr>
            <w:tcW w:w="14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299,212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423,970</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costs</w:t>
            </w:r>
          </w:p>
        </w:tc>
        <w:tc>
          <w:tcPr>
            <w:tcW w:w="14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20" w:type="dxa"/>
            <w:vAlign w:val="bottom"/>
            <w:tcBorders>
              <w:bottom w:val="single" w:sz="8" w:color="CCEEFF"/>
            </w:tcBorders>
          </w:tcPr>
          <w:p>
            <w:pPr>
              <w:ind w:left="460"/>
              <w:spacing w:after="0"/>
              <w:rPr>
                <w:sz w:val="20"/>
                <w:szCs w:val="20"/>
                <w:color w:val="auto"/>
              </w:rPr>
            </w:pPr>
            <w:r>
              <w:rPr>
                <w:rFonts w:ascii="Arial" w:cs="Arial" w:eastAsia="Arial" w:hAnsi="Arial"/>
                <w:sz w:val="20"/>
                <w:szCs w:val="20"/>
                <w:color w:val="auto"/>
              </w:rPr>
              <w:t>Total long-term liabilities</w:t>
            </w:r>
          </w:p>
        </w:tc>
        <w:tc>
          <w:tcPr>
            <w:tcW w:w="1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319,532</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447,820</w:t>
            </w:r>
          </w:p>
        </w:tc>
        <w:tc>
          <w:tcPr>
            <w:tcW w:w="0" w:type="dxa"/>
            <w:vAlign w:val="bottom"/>
          </w:tcPr>
          <w:p>
            <w:pPr>
              <w:spacing w:after="0"/>
              <w:rPr>
                <w:sz w:val="1"/>
                <w:szCs w:val="1"/>
                <w:color w:val="auto"/>
              </w:rPr>
            </w:pPr>
          </w:p>
        </w:tc>
      </w:tr>
      <w:tr>
        <w:trPr>
          <w:trHeight w:val="237"/>
        </w:trPr>
        <w:tc>
          <w:tcPr>
            <w:tcW w:w="6520" w:type="dxa"/>
            <w:vAlign w:val="bottom"/>
            <w:shd w:val="clear" w:color="auto" w:fill="CCEEFF"/>
          </w:tcPr>
          <w:p>
            <w:pPr>
              <w:ind w:left="460"/>
              <w:spacing w:after="0"/>
              <w:rPr>
                <w:sz w:val="20"/>
                <w:szCs w:val="20"/>
                <w:color w:val="auto"/>
              </w:rPr>
            </w:pPr>
            <w:r>
              <w:rPr>
                <w:rFonts w:ascii="Arial" w:cs="Arial" w:eastAsia="Arial" w:hAnsi="Arial"/>
                <w:sz w:val="20"/>
                <w:szCs w:val="20"/>
                <w:color w:val="auto"/>
              </w:rPr>
              <w:t>Total liabilities</w:t>
            </w:r>
          </w:p>
        </w:tc>
        <w:tc>
          <w:tcPr>
            <w:tcW w:w="14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534,027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736,923</w:t>
            </w:r>
          </w:p>
        </w:tc>
        <w:tc>
          <w:tcPr>
            <w:tcW w:w="0" w:type="dxa"/>
            <w:vAlign w:val="bottom"/>
          </w:tcPr>
          <w:p>
            <w:pPr>
              <w:spacing w:after="0"/>
              <w:rPr>
                <w:sz w:val="1"/>
                <w:szCs w:val="1"/>
                <w:color w:val="auto"/>
              </w:rPr>
            </w:pPr>
          </w:p>
        </w:tc>
      </w:tr>
      <w:tr>
        <w:trPr>
          <w:trHeight w:val="247"/>
        </w:trPr>
        <w:tc>
          <w:tcPr>
            <w:tcW w:w="6520" w:type="dxa"/>
            <w:vAlign w:val="bottom"/>
          </w:tcPr>
          <w:p>
            <w:pPr>
              <w:ind w:left="20"/>
              <w:spacing w:after="0"/>
              <w:rPr>
                <w:sz w:val="20"/>
                <w:szCs w:val="20"/>
                <w:color w:val="auto"/>
              </w:rPr>
            </w:pPr>
            <w:r>
              <w:rPr>
                <w:rFonts w:ascii="Arial" w:cs="Arial" w:eastAsia="Arial" w:hAnsi="Arial"/>
                <w:sz w:val="20"/>
                <w:szCs w:val="20"/>
                <w:color w:val="auto"/>
              </w:rPr>
              <w:t>Commitments and contingencies (Note 13)</w:t>
            </w:r>
          </w:p>
        </w:tc>
        <w:tc>
          <w:tcPr>
            <w:tcW w:w="1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66"/>
        </w:trPr>
        <w:tc>
          <w:tcPr>
            <w:tcW w:w="6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2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30, 2021</w:t>
            </w:r>
          </w:p>
        </w:tc>
        <w:tc>
          <w:tcPr>
            <w:tcW w:w="200" w:type="dxa"/>
            <w:vAlign w:val="bottom"/>
          </w:tcPr>
          <w:p>
            <w:pPr>
              <w:spacing w:after="0"/>
              <w:rPr>
                <w:sz w:val="23"/>
                <w:szCs w:val="23"/>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2020</w:t>
            </w:r>
          </w:p>
        </w:tc>
        <w:tc>
          <w:tcPr>
            <w:tcW w:w="0" w:type="dxa"/>
            <w:vAlign w:val="bottom"/>
          </w:tcPr>
          <w:p>
            <w:pPr>
              <w:spacing w:after="0"/>
              <w:rPr>
                <w:sz w:val="1"/>
                <w:szCs w:val="1"/>
                <w:color w:val="auto"/>
              </w:rPr>
            </w:pPr>
          </w:p>
        </w:tc>
      </w:tr>
      <w:tr>
        <w:trPr>
          <w:trHeight w:val="184"/>
        </w:trPr>
        <w:tc>
          <w:tcPr>
            <w:tcW w:w="6520" w:type="dxa"/>
            <w:vAlign w:val="bottom"/>
            <w:tcBorders>
              <w:top w:val="single" w:sz="8" w:color="CCEEFF"/>
            </w:tcBorders>
            <w:shd w:val="clear" w:color="auto" w:fill="CCEEFF"/>
          </w:tcPr>
          <w:p>
            <w:pPr>
              <w:ind w:left="20"/>
              <w:spacing w:after="0" w:line="184" w:lineRule="exact"/>
              <w:rPr>
                <w:sz w:val="20"/>
                <w:szCs w:val="20"/>
                <w:color w:val="auto"/>
              </w:rPr>
            </w:pPr>
            <w:r>
              <w:rPr>
                <w:rFonts w:ascii="Arial" w:cs="Arial" w:eastAsia="Arial" w:hAnsi="Arial"/>
                <w:sz w:val="20"/>
                <w:szCs w:val="20"/>
                <w:color w:val="auto"/>
              </w:rPr>
              <w:t>Series A Redeemable Perpetual Preferred Stock of $0.001 par value -</w:t>
            </w:r>
          </w:p>
        </w:tc>
        <w:tc>
          <w:tcPr>
            <w:tcW w:w="180" w:type="dxa"/>
            <w:vAlign w:val="bottom"/>
            <w:tcBorders>
              <w:top w:val="single" w:sz="8" w:color="auto"/>
            </w:tcBorders>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1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500,000 authorized; 350,000 and none issued as of September 30, 2021</w:t>
            </w:r>
          </w:p>
        </w:tc>
        <w:tc>
          <w:tcPr>
            <w:tcW w:w="18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w w:val="99"/>
              </w:rPr>
              <w:t>and December 31, 2020; liquidation preference of $352.8 million and zero</w:t>
            </w:r>
          </w:p>
        </w:tc>
        <w:tc>
          <w:tcPr>
            <w:tcW w:w="180" w:type="dxa"/>
            <w:vAlign w:val="bottom"/>
            <w:shd w:val="clear" w:color="auto" w:fill="CCEEFF"/>
          </w:tcPr>
          <w:p>
            <w:pPr>
              <w:spacing w:after="0"/>
              <w:rPr>
                <w:sz w:val="16"/>
                <w:szCs w:val="16"/>
                <w:color w:val="auto"/>
              </w:rPr>
            </w:pPr>
          </w:p>
        </w:tc>
        <w:tc>
          <w:tcPr>
            <w:tcW w:w="2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235,278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at September 30, 2021 and December 31, 2020</w:t>
            </w:r>
          </w:p>
        </w:tc>
        <w:tc>
          <w:tcPr>
            <w:tcW w:w="180" w:type="dxa"/>
            <w:vAlign w:val="bottom"/>
            <w:shd w:val="clear" w:color="auto" w:fill="CCEEFF"/>
          </w:tcPr>
          <w:p>
            <w:pPr>
              <w:spacing w:after="0"/>
              <w:rPr>
                <w:sz w:val="20"/>
                <w:szCs w:val="20"/>
                <w:color w:val="auto"/>
              </w:rPr>
            </w:pPr>
          </w:p>
        </w:tc>
        <w:tc>
          <w:tcPr>
            <w:tcW w:w="21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20"/>
                <w:szCs w:val="20"/>
                <w:color w:val="auto"/>
              </w:rPr>
              <w:t>Stockholders’ equity/(deficit)</w:t>
            </w:r>
          </w:p>
        </w:tc>
        <w:tc>
          <w:tcPr>
            <w:tcW w:w="1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652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Preferred stock of $0.001 par value - 4,500,000 shares authorized; zero</w:t>
            </w:r>
          </w:p>
        </w:tc>
        <w:tc>
          <w:tcPr>
            <w:tcW w:w="180" w:type="dxa"/>
            <w:vAlign w:val="bottom"/>
            <w:shd w:val="clear" w:color="auto" w:fill="CCEEFF"/>
          </w:tcPr>
          <w:p>
            <w:pPr>
              <w:spacing w:after="0"/>
              <w:rPr>
                <w:sz w:val="17"/>
                <w:szCs w:val="17"/>
                <w:color w:val="auto"/>
              </w:rPr>
            </w:pPr>
          </w:p>
        </w:tc>
        <w:tc>
          <w:tcPr>
            <w:tcW w:w="2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7"/>
                <w:szCs w:val="17"/>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issued as of September 30, 2021 and December 31, 2020</w:t>
            </w:r>
          </w:p>
        </w:tc>
        <w:tc>
          <w:tcPr>
            <w:tcW w:w="180" w:type="dxa"/>
            <w:vAlign w:val="bottom"/>
            <w:shd w:val="clear" w:color="auto" w:fill="CCEEFF"/>
          </w:tcPr>
          <w:p>
            <w:pPr>
              <w:spacing w:after="0"/>
              <w:rPr>
                <w:sz w:val="20"/>
                <w:szCs w:val="20"/>
                <w:color w:val="auto"/>
              </w:rPr>
            </w:pPr>
          </w:p>
        </w:tc>
        <w:tc>
          <w:tcPr>
            <w:tcW w:w="222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6520" w:type="dxa"/>
            <w:vAlign w:val="bottom"/>
          </w:tcPr>
          <w:p>
            <w:pPr>
              <w:ind w:left="20"/>
              <w:spacing w:after="0" w:line="199" w:lineRule="exact"/>
              <w:rPr>
                <w:sz w:val="20"/>
                <w:szCs w:val="20"/>
                <w:color w:val="auto"/>
              </w:rPr>
            </w:pPr>
            <w:r>
              <w:rPr>
                <w:rFonts w:ascii="Arial" w:cs="Arial" w:eastAsia="Arial" w:hAnsi="Arial"/>
                <w:sz w:val="20"/>
                <w:szCs w:val="20"/>
                <w:color w:val="auto"/>
              </w:rPr>
              <w:t>Common stock of $0.001 par value - 1,000,000,000 shares authorized;</w:t>
            </w:r>
          </w:p>
        </w:tc>
        <w:tc>
          <w:tcPr>
            <w:tcW w:w="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520" w:type="dxa"/>
            <w:vAlign w:val="bottom"/>
          </w:tcPr>
          <w:p>
            <w:pPr>
              <w:ind w:left="20"/>
              <w:spacing w:after="0" w:line="189" w:lineRule="exact"/>
              <w:rPr>
                <w:sz w:val="20"/>
                <w:szCs w:val="20"/>
                <w:color w:val="auto"/>
              </w:rPr>
            </w:pPr>
            <w:r>
              <w:rPr>
                <w:rFonts w:ascii="Arial" w:cs="Arial" w:eastAsia="Arial" w:hAnsi="Arial"/>
                <w:sz w:val="20"/>
                <w:szCs w:val="20"/>
                <w:color w:val="auto"/>
              </w:rPr>
              <w:t>134,869,467 and 126,994,467 shares issued as of September 30, 2021</w:t>
            </w:r>
          </w:p>
        </w:tc>
        <w:tc>
          <w:tcPr>
            <w:tcW w:w="180" w:type="dxa"/>
            <w:vAlign w:val="bottom"/>
          </w:tcPr>
          <w:p>
            <w:pPr>
              <w:spacing w:after="0"/>
              <w:rPr>
                <w:sz w:val="16"/>
                <w:szCs w:val="16"/>
                <w:color w:val="auto"/>
              </w:rPr>
            </w:pPr>
          </w:p>
        </w:tc>
        <w:tc>
          <w:tcPr>
            <w:tcW w:w="2140" w:type="dxa"/>
            <w:vAlign w:val="bottom"/>
            <w:vMerge w:val="restart"/>
          </w:tcPr>
          <w:p>
            <w:pPr>
              <w:jc w:val="right"/>
              <w:spacing w:after="0"/>
              <w:rPr>
                <w:sz w:val="20"/>
                <w:szCs w:val="20"/>
                <w:color w:val="auto"/>
              </w:rPr>
            </w:pPr>
            <w:r>
              <w:rPr>
                <w:rFonts w:ascii="Arial" w:cs="Arial" w:eastAsia="Arial" w:hAnsi="Arial"/>
                <w:sz w:val="20"/>
                <w:szCs w:val="20"/>
                <w:color w:val="auto"/>
              </w:rPr>
              <w:t>135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127</w:t>
            </w:r>
          </w:p>
        </w:tc>
        <w:tc>
          <w:tcPr>
            <w:tcW w:w="0" w:type="dxa"/>
            <w:vAlign w:val="bottom"/>
          </w:tcPr>
          <w:p>
            <w:pPr>
              <w:spacing w:after="0"/>
              <w:rPr>
                <w:sz w:val="1"/>
                <w:szCs w:val="1"/>
                <w:color w:val="auto"/>
              </w:rPr>
            </w:pPr>
          </w:p>
        </w:tc>
      </w:tr>
      <w:tr>
        <w:trPr>
          <w:trHeight w:val="233"/>
        </w:trPr>
        <w:tc>
          <w:tcPr>
            <w:tcW w:w="6520" w:type="dxa"/>
            <w:vAlign w:val="bottom"/>
          </w:tcPr>
          <w:p>
            <w:pPr>
              <w:ind w:left="20"/>
              <w:spacing w:after="0"/>
              <w:rPr>
                <w:sz w:val="20"/>
                <w:szCs w:val="20"/>
                <w:color w:val="auto"/>
              </w:rPr>
            </w:pPr>
            <w:r>
              <w:rPr>
                <w:rFonts w:ascii="Arial" w:cs="Arial" w:eastAsia="Arial" w:hAnsi="Arial"/>
                <w:sz w:val="20"/>
                <w:szCs w:val="20"/>
                <w:color w:val="auto"/>
              </w:rPr>
              <w:t>and December 31, 2020</w:t>
            </w:r>
          </w:p>
        </w:tc>
        <w:tc>
          <w:tcPr>
            <w:tcW w:w="180" w:type="dxa"/>
            <w:vAlign w:val="bottom"/>
          </w:tcPr>
          <w:p>
            <w:pPr>
              <w:spacing w:after="0"/>
              <w:rPr>
                <w:sz w:val="20"/>
                <w:szCs w:val="20"/>
                <w:color w:val="auto"/>
              </w:rPr>
            </w:pPr>
          </w:p>
        </w:tc>
        <w:tc>
          <w:tcPr>
            <w:tcW w:w="2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Additional paid-in capital</w:t>
            </w:r>
          </w:p>
        </w:tc>
        <w:tc>
          <w:tcPr>
            <w:tcW w:w="180" w:type="dxa"/>
            <w:vAlign w:val="bottom"/>
            <w:shd w:val="clear" w:color="auto" w:fill="CCEEFF"/>
          </w:tcPr>
          <w:p>
            <w:pPr>
              <w:spacing w:after="0"/>
              <w:rPr>
                <w:sz w:val="21"/>
                <w:szCs w:val="21"/>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251,330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140,473</w:t>
            </w:r>
          </w:p>
        </w:tc>
        <w:tc>
          <w:tcPr>
            <w:tcW w:w="0" w:type="dxa"/>
            <w:vAlign w:val="bottom"/>
          </w:tcPr>
          <w:p>
            <w:pPr>
              <w:spacing w:after="0"/>
              <w:rPr>
                <w:sz w:val="1"/>
                <w:szCs w:val="1"/>
                <w:color w:val="auto"/>
              </w:rPr>
            </w:pPr>
          </w:p>
        </w:tc>
      </w:tr>
      <w:tr>
        <w:trPr>
          <w:trHeight w:val="24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Accumulated deficit</w:t>
            </w:r>
          </w:p>
        </w:tc>
        <w:tc>
          <w:tcPr>
            <w:tcW w:w="1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(244,181)</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(221,499)</w:t>
            </w:r>
          </w:p>
        </w:tc>
        <w:tc>
          <w:tcPr>
            <w:tcW w:w="0" w:type="dxa"/>
            <w:vAlign w:val="bottom"/>
          </w:tcPr>
          <w:p>
            <w:pPr>
              <w:spacing w:after="0"/>
              <w:rPr>
                <w:sz w:val="1"/>
                <w:szCs w:val="1"/>
                <w:color w:val="auto"/>
              </w:rPr>
            </w:pPr>
          </w:p>
        </w:tc>
      </w:tr>
      <w:tr>
        <w:trPr>
          <w:trHeight w:val="23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stockholders’ equity/(deficit)</w:t>
            </w:r>
          </w:p>
        </w:tc>
        <w:tc>
          <w:tcPr>
            <w:tcW w:w="180" w:type="dxa"/>
            <w:vAlign w:val="bottom"/>
            <w:tcBorders>
              <w:bottom w:val="single" w:sz="8" w:color="auto"/>
            </w:tcBorders>
            <w:shd w:val="clear" w:color="auto" w:fill="CCEEFF"/>
          </w:tcPr>
          <w:p>
            <w:pPr>
              <w:spacing w:after="0"/>
              <w:rPr>
                <w:sz w:val="20"/>
                <w:szCs w:val="20"/>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7,284</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(80,899)</w:t>
            </w:r>
          </w:p>
        </w:tc>
        <w:tc>
          <w:tcPr>
            <w:tcW w:w="0" w:type="dxa"/>
            <w:vAlign w:val="bottom"/>
          </w:tcPr>
          <w:p>
            <w:pPr>
              <w:spacing w:after="0"/>
              <w:rPr>
                <w:sz w:val="1"/>
                <w:szCs w:val="1"/>
                <w:color w:val="auto"/>
              </w:rPr>
            </w:pPr>
          </w:p>
        </w:tc>
      </w:tr>
      <w:tr>
        <w:trPr>
          <w:trHeight w:val="179"/>
        </w:trPr>
        <w:tc>
          <w:tcPr>
            <w:tcW w:w="6520" w:type="dxa"/>
            <w:vAlign w:val="bottom"/>
          </w:tcPr>
          <w:p>
            <w:pPr>
              <w:ind w:left="20"/>
              <w:spacing w:after="0" w:line="179" w:lineRule="exact"/>
              <w:rPr>
                <w:sz w:val="20"/>
                <w:szCs w:val="20"/>
                <w:color w:val="auto"/>
              </w:rPr>
            </w:pPr>
            <w:r>
              <w:rPr>
                <w:rFonts w:ascii="Arial" w:cs="Arial" w:eastAsia="Arial" w:hAnsi="Arial"/>
                <w:sz w:val="20"/>
                <w:szCs w:val="20"/>
                <w:color w:val="auto"/>
              </w:rPr>
              <w:t>Total liabilities, redeemable perpetual preferred stock and stockholders’</w:t>
            </w: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140" w:type="dxa"/>
            <w:vAlign w:val="bottom"/>
            <w:vMerge w:val="restart"/>
          </w:tcPr>
          <w:p>
            <w:pPr>
              <w:jc w:val="right"/>
              <w:spacing w:after="0"/>
              <w:rPr>
                <w:sz w:val="20"/>
                <w:szCs w:val="20"/>
                <w:color w:val="auto"/>
              </w:rPr>
            </w:pPr>
            <w:r>
              <w:rPr>
                <w:rFonts w:ascii="Arial" w:cs="Arial" w:eastAsia="Arial" w:hAnsi="Arial"/>
                <w:sz w:val="20"/>
                <w:szCs w:val="20"/>
                <w:color w:val="auto"/>
              </w:rPr>
              <w:t>776,589</w:t>
            </w: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656,024</w:t>
            </w: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line="207" w:lineRule="exact"/>
              <w:rPr>
                <w:sz w:val="20"/>
                <w:szCs w:val="20"/>
                <w:color w:val="auto"/>
              </w:rPr>
            </w:pPr>
            <w:r>
              <w:rPr>
                <w:rFonts w:ascii="Arial" w:cs="Arial" w:eastAsia="Arial" w:hAnsi="Arial"/>
                <w:sz w:val="20"/>
                <w:szCs w:val="20"/>
                <w:color w:val="auto"/>
              </w:rPr>
              <w:t>equity/(deficit)</w:t>
            </w:r>
          </w:p>
        </w:tc>
        <w:tc>
          <w:tcPr>
            <w:tcW w:w="180" w:type="dxa"/>
            <w:vAlign w:val="bottom"/>
            <w:tcBorders>
              <w:bottom w:val="single" w:sz="8" w:color="auto"/>
            </w:tcBorders>
            <w:vMerge w:val="continue"/>
          </w:tcPr>
          <w:p>
            <w:pPr>
              <w:spacing w:after="0"/>
              <w:rPr>
                <w:sz w:val="17"/>
                <w:szCs w:val="17"/>
                <w:color w:val="auto"/>
              </w:rPr>
            </w:pPr>
          </w:p>
        </w:tc>
        <w:tc>
          <w:tcPr>
            <w:tcW w:w="21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2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 w:name="page6"/>
    <w:bookmarkEnd w:id="5"/>
    <w:p>
      <w:pPr>
        <w:jc w:val="center"/>
        <w:spacing w:after="0" w:line="255" w:lineRule="auto"/>
        <w:rPr>
          <w:sz w:val="20"/>
          <w:szCs w:val="20"/>
          <w:color w:val="auto"/>
        </w:rPr>
      </w:pPr>
      <w:r>
        <w:rPr>
          <w:rFonts w:ascii="Arial" w:cs="Arial" w:eastAsia="Arial" w:hAnsi="Arial"/>
          <w:sz w:val="20"/>
          <w:szCs w:val="20"/>
          <w:b w:val="1"/>
          <w:bCs w:val="1"/>
          <w:color w:val="auto"/>
        </w:rPr>
        <w:t xml:space="preserve">Array Technologies, Inc. and Subsidiaries Condensed Consolidated Statements of Operations </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(in thousands, except per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0" w:type="dxa"/>
            <w:vAlign w:val="bottom"/>
            <w:gridSpan w:val="5"/>
          </w:tcPr>
          <w:p>
            <w:pPr>
              <w:jc w:val="center"/>
              <w:ind w:right="520"/>
              <w:spacing w:after="0"/>
              <w:rPr>
                <w:sz w:val="20"/>
                <w:szCs w:val="20"/>
                <w:color w:val="auto"/>
              </w:rPr>
            </w:pPr>
            <w:r>
              <w:rPr>
                <w:rFonts w:ascii="Arial" w:cs="Arial" w:eastAsia="Arial" w:hAnsi="Arial"/>
                <w:sz w:val="20"/>
                <w:szCs w:val="20"/>
                <w:b w:val="1"/>
                <w:bCs w:val="1"/>
                <w:color w:val="auto"/>
                <w:w w:val="99"/>
              </w:rPr>
              <w:t>Three Months Ended</w:t>
            </w:r>
          </w:p>
        </w:tc>
        <w:tc>
          <w:tcPr>
            <w:tcW w:w="360" w:type="dxa"/>
            <w:vAlign w:val="bottom"/>
          </w:tcPr>
          <w:p>
            <w:pPr>
              <w:spacing w:after="0"/>
              <w:rPr>
                <w:sz w:val="19"/>
                <w:szCs w:val="19"/>
                <w:color w:val="auto"/>
              </w:rPr>
            </w:pPr>
          </w:p>
        </w:tc>
        <w:tc>
          <w:tcPr>
            <w:tcW w:w="3080" w:type="dxa"/>
            <w:vAlign w:val="bottom"/>
            <w:gridSpan w:val="4"/>
          </w:tcPr>
          <w:p>
            <w:pPr>
              <w:jc w:val="right"/>
              <w:ind w:right="701"/>
              <w:spacing w:after="0"/>
              <w:rPr>
                <w:sz w:val="20"/>
                <w:szCs w:val="20"/>
                <w:color w:val="auto"/>
              </w:rPr>
            </w:pPr>
            <w:r>
              <w:rPr>
                <w:rFonts w:ascii="Arial" w:cs="Arial" w:eastAsia="Arial" w:hAnsi="Arial"/>
                <w:sz w:val="20"/>
                <w:szCs w:val="20"/>
                <w:b w:val="1"/>
                <w:bCs w:val="1"/>
                <w:color w:val="auto"/>
              </w:rPr>
              <w:t>Nine Months Ended</w:t>
            </w: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0" w:type="dxa"/>
            <w:vAlign w:val="bottom"/>
            <w:gridSpan w:val="5"/>
          </w:tcPr>
          <w:p>
            <w:pPr>
              <w:jc w:val="center"/>
              <w:ind w:right="520"/>
              <w:spacing w:after="0"/>
              <w:rPr>
                <w:sz w:val="20"/>
                <w:szCs w:val="20"/>
                <w:color w:val="auto"/>
              </w:rPr>
            </w:pPr>
            <w:r>
              <w:rPr>
                <w:rFonts w:ascii="Arial" w:cs="Arial" w:eastAsia="Arial" w:hAnsi="Arial"/>
                <w:sz w:val="20"/>
                <w:szCs w:val="20"/>
                <w:b w:val="1"/>
                <w:bCs w:val="1"/>
                <w:color w:val="auto"/>
                <w:w w:val="99"/>
              </w:rPr>
              <w:t>September 30,</w:t>
            </w:r>
          </w:p>
        </w:tc>
        <w:tc>
          <w:tcPr>
            <w:tcW w:w="360" w:type="dxa"/>
            <w:vAlign w:val="bottom"/>
          </w:tcPr>
          <w:p>
            <w:pPr>
              <w:spacing w:after="0"/>
              <w:rPr>
                <w:sz w:val="21"/>
                <w:szCs w:val="21"/>
                <w:color w:val="auto"/>
              </w:rPr>
            </w:pPr>
          </w:p>
        </w:tc>
        <w:tc>
          <w:tcPr>
            <w:tcW w:w="3080" w:type="dxa"/>
            <w:vAlign w:val="bottom"/>
            <w:gridSpan w:val="4"/>
          </w:tcPr>
          <w:p>
            <w:pPr>
              <w:jc w:val="right"/>
              <w:ind w:right="961"/>
              <w:spacing w:after="0"/>
              <w:rPr>
                <w:sz w:val="20"/>
                <w:szCs w:val="20"/>
                <w:color w:val="auto"/>
              </w:rPr>
            </w:pPr>
            <w:r>
              <w:rPr>
                <w:rFonts w:ascii="Arial" w:cs="Arial" w:eastAsia="Arial" w:hAnsi="Arial"/>
                <w:sz w:val="20"/>
                <w:szCs w:val="20"/>
                <w:b w:val="1"/>
                <w:bCs w:val="1"/>
                <w:color w:val="auto"/>
              </w:rPr>
              <w:t>September 30,</w:t>
            </w:r>
          </w:p>
        </w:tc>
        <w:tc>
          <w:tcPr>
            <w:tcW w:w="0" w:type="dxa"/>
            <w:vAlign w:val="bottom"/>
          </w:tcPr>
          <w:p>
            <w:pPr>
              <w:spacing w:after="0"/>
              <w:rPr>
                <w:sz w:val="1"/>
                <w:szCs w:val="1"/>
                <w:color w:val="auto"/>
              </w:rPr>
            </w:pPr>
          </w:p>
        </w:tc>
      </w:tr>
      <w:tr>
        <w:trPr>
          <w:trHeight w:val="237"/>
        </w:trPr>
        <w:tc>
          <w:tcPr>
            <w:tcW w:w="414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2020</w:t>
            </w:r>
          </w:p>
        </w:tc>
        <w:tc>
          <w:tcPr>
            <w:tcW w:w="14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2020</w:t>
            </w:r>
          </w:p>
        </w:tc>
        <w:tc>
          <w:tcPr>
            <w:tcW w:w="0" w:type="dxa"/>
            <w:vAlign w:val="bottom"/>
          </w:tcPr>
          <w:p>
            <w:pPr>
              <w:spacing w:after="0"/>
              <w:rPr>
                <w:sz w:val="1"/>
                <w:szCs w:val="1"/>
                <w:color w:val="auto"/>
              </w:rPr>
            </w:pPr>
          </w:p>
        </w:tc>
      </w:tr>
      <w:tr>
        <w:trPr>
          <w:trHeight w:val="237"/>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192,068</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139,462</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640,796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692,096</w:t>
            </w: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182,789</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112,731</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560,872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524,747</w:t>
            </w:r>
          </w:p>
        </w:tc>
        <w:tc>
          <w:tcPr>
            <w:tcW w:w="0" w:type="dxa"/>
            <w:vAlign w:val="bottom"/>
          </w:tcPr>
          <w:p>
            <w:pPr>
              <w:spacing w:after="0"/>
              <w:rPr>
                <w:sz w:val="1"/>
                <w:szCs w:val="1"/>
                <w:color w:val="auto"/>
              </w:rPr>
            </w:pPr>
          </w:p>
        </w:tc>
      </w:tr>
      <w:tr>
        <w:trPr>
          <w:trHeight w:val="237"/>
        </w:trPr>
        <w:tc>
          <w:tcPr>
            <w:tcW w:w="41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Gross profit</w:t>
            </w: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9,279</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26,731</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79,924</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167,349</w:t>
            </w:r>
          </w:p>
        </w:tc>
        <w:tc>
          <w:tcPr>
            <w:tcW w:w="0" w:type="dxa"/>
            <w:vAlign w:val="bottom"/>
          </w:tcPr>
          <w:p>
            <w:pPr>
              <w:spacing w:after="0"/>
              <w:rPr>
                <w:sz w:val="1"/>
                <w:szCs w:val="1"/>
                <w:color w:val="auto"/>
              </w:rPr>
            </w:pPr>
          </w:p>
        </w:tc>
      </w:tr>
      <w:tr>
        <w:trPr>
          <w:trHeight w:val="250"/>
        </w:trPr>
        <w:tc>
          <w:tcPr>
            <w:tcW w:w="4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18,493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11,873</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58,279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34,772</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936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13,591</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1,071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16,008</w:t>
            </w: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5,984</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6,374</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17,949</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19,117</w:t>
            </w:r>
          </w:p>
        </w:tc>
        <w:tc>
          <w:tcPr>
            <w:tcW w:w="0" w:type="dxa"/>
            <w:vAlign w:val="bottom"/>
          </w:tcPr>
          <w:p>
            <w:pPr>
              <w:spacing w:after="0"/>
              <w:rPr>
                <w:sz w:val="1"/>
                <w:szCs w:val="1"/>
                <w:color w:val="auto"/>
              </w:rPr>
            </w:pPr>
          </w:p>
        </w:tc>
      </w:tr>
      <w:tr>
        <w:trPr>
          <w:trHeight w:val="237"/>
        </w:trPr>
        <w:tc>
          <w:tcPr>
            <w:tcW w:w="4140" w:type="dxa"/>
            <w:vAlign w:val="bottom"/>
            <w:shd w:val="clear" w:color="auto" w:fill="CCEEFF"/>
          </w:tcPr>
          <w:p>
            <w:pPr>
              <w:ind w:left="220"/>
              <w:spacing w:after="0"/>
              <w:rPr>
                <w:sz w:val="20"/>
                <w:szCs w:val="20"/>
                <w:color w:val="auto"/>
              </w:rPr>
            </w:pPr>
            <w:r>
              <w:rPr>
                <w:rFonts w:ascii="Arial" w:cs="Arial" w:eastAsia="Arial" w:hAnsi="Arial"/>
                <w:sz w:val="20"/>
                <w:szCs w:val="20"/>
                <w:color w:val="auto"/>
              </w:rPr>
              <w:t>Total operating expenses</w:t>
            </w: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25,413</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31,838</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77,299</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69,897</w:t>
            </w:r>
          </w:p>
        </w:tc>
        <w:tc>
          <w:tcPr>
            <w:tcW w:w="0" w:type="dxa"/>
            <w:vAlign w:val="bottom"/>
          </w:tcPr>
          <w:p>
            <w:pPr>
              <w:spacing w:after="0"/>
              <w:rPr>
                <w:sz w:val="1"/>
                <w:szCs w:val="1"/>
                <w:color w:val="auto"/>
              </w:rPr>
            </w:pPr>
          </w:p>
        </w:tc>
      </w:tr>
      <w:tr>
        <w:trPr>
          <w:trHeight w:val="250"/>
        </w:trPr>
        <w:tc>
          <w:tcPr>
            <w:tcW w:w="4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from operations</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(16,134)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(5,107)</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2,625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97,452</w:t>
            </w: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expense</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20"/>
                <w:szCs w:val="20"/>
                <w:color w:val="auto"/>
              </w:rPr>
              <w:t>Other expense, net</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(297)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(497)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(2,163)</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(13,109)</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(673)</w:t>
            </w:r>
          </w:p>
        </w:tc>
        <w:tc>
          <w:tcPr>
            <w:tcW w:w="1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(28,769)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(8,313)</w:t>
            </w:r>
          </w:p>
        </w:tc>
        <w:tc>
          <w:tcPr>
            <w:tcW w:w="0" w:type="dxa"/>
            <w:vAlign w:val="bottom"/>
          </w:tcPr>
          <w:p>
            <w:pPr>
              <w:spacing w:after="0"/>
              <w:rPr>
                <w:sz w:val="1"/>
                <w:szCs w:val="1"/>
                <w:color w:val="auto"/>
              </w:rPr>
            </w:pPr>
          </w:p>
        </w:tc>
      </w:tr>
      <w:tr>
        <w:trPr>
          <w:trHeight w:val="237"/>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Total other expense</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(13,406)</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(702)</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(29,266)</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(10,476)</w:t>
            </w:r>
          </w:p>
        </w:tc>
        <w:tc>
          <w:tcPr>
            <w:tcW w:w="0" w:type="dxa"/>
            <w:vAlign w:val="bottom"/>
          </w:tcPr>
          <w:p>
            <w:pPr>
              <w:spacing w:after="0"/>
              <w:rPr>
                <w:sz w:val="1"/>
                <w:szCs w:val="1"/>
                <w:color w:val="auto"/>
              </w:rPr>
            </w:pPr>
          </w:p>
        </w:tc>
      </w:tr>
      <w:tr>
        <w:trPr>
          <w:trHeight w:val="179"/>
        </w:trPr>
        <w:tc>
          <w:tcPr>
            <w:tcW w:w="4140" w:type="dxa"/>
            <w:vAlign w:val="bottom"/>
            <w:shd w:val="clear" w:color="auto" w:fill="CCEEFF"/>
          </w:tcPr>
          <w:p>
            <w:pPr>
              <w:ind w:left="20"/>
              <w:spacing w:after="0" w:line="179" w:lineRule="exact"/>
              <w:rPr>
                <w:sz w:val="20"/>
                <w:szCs w:val="20"/>
                <w:color w:val="auto"/>
              </w:rPr>
            </w:pPr>
            <w:r>
              <w:rPr>
                <w:rFonts w:ascii="Arial" w:cs="Arial" w:eastAsia="Arial" w:hAnsi="Arial"/>
                <w:sz w:val="20"/>
                <w:szCs w:val="20"/>
                <w:color w:val="auto"/>
              </w:rPr>
              <w:t>Income (loss) before income tax expense</w:t>
            </w:r>
          </w:p>
        </w:tc>
        <w:tc>
          <w:tcPr>
            <w:tcW w:w="3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(29,540)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(5,809)</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(26,641)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86,976</w:t>
            </w:r>
          </w:p>
        </w:tc>
        <w:tc>
          <w:tcPr>
            <w:tcW w:w="0" w:type="dxa"/>
            <w:vAlign w:val="bottom"/>
          </w:tcPr>
          <w:p>
            <w:pPr>
              <w:spacing w:after="0"/>
              <w:rPr>
                <w:sz w:val="1"/>
                <w:szCs w:val="1"/>
                <w:color w:val="auto"/>
              </w:rPr>
            </w:pPr>
          </w:p>
        </w:tc>
      </w:tr>
      <w:tr>
        <w:trPr>
          <w:trHeight w:val="233"/>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(benefit)</w:t>
            </w:r>
          </w:p>
        </w:tc>
        <w:tc>
          <w:tcPr>
            <w:tcW w:w="36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Income tax expense (benefit)</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(3,988)</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1,423</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(3,959)</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18,131</w:t>
            </w:r>
          </w:p>
        </w:tc>
        <w:tc>
          <w:tcPr>
            <w:tcW w:w="0" w:type="dxa"/>
            <w:vAlign w:val="bottom"/>
          </w:tcPr>
          <w:p>
            <w:pPr>
              <w:spacing w:after="0"/>
              <w:rPr>
                <w:sz w:val="1"/>
                <w:szCs w:val="1"/>
                <w:color w:val="auto"/>
              </w:rPr>
            </w:pPr>
          </w:p>
        </w:tc>
      </w:tr>
      <w:tr>
        <w:trPr>
          <w:trHeight w:val="236"/>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(25,552)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(7,232)</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(22,682)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68,845</w:t>
            </w:r>
          </w:p>
        </w:tc>
        <w:tc>
          <w:tcPr>
            <w:tcW w:w="0" w:type="dxa"/>
            <w:vAlign w:val="bottom"/>
          </w:tcPr>
          <w:p>
            <w:pPr>
              <w:spacing w:after="0"/>
              <w:rPr>
                <w:sz w:val="1"/>
                <w:szCs w:val="1"/>
                <w:color w:val="auto"/>
              </w:rPr>
            </w:pPr>
          </w:p>
        </w:tc>
      </w:tr>
      <w:tr>
        <w:trPr>
          <w:trHeight w:val="243"/>
        </w:trPr>
        <w:tc>
          <w:tcPr>
            <w:tcW w:w="4140" w:type="dxa"/>
            <w:vAlign w:val="bottom"/>
          </w:tcPr>
          <w:p>
            <w:pPr>
              <w:ind w:left="120"/>
              <w:spacing w:after="0"/>
              <w:rPr>
                <w:sz w:val="20"/>
                <w:szCs w:val="20"/>
                <w:color w:val="auto"/>
              </w:rPr>
            </w:pPr>
            <w:r>
              <w:rPr>
                <w:rFonts w:ascii="Arial" w:cs="Arial" w:eastAsia="Arial" w:hAnsi="Arial"/>
                <w:sz w:val="20"/>
                <w:szCs w:val="20"/>
                <w:color w:val="auto"/>
              </w:rPr>
              <w:t>Preferred dividends and accretion</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(5,479)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(5,479)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2"/>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income (loss) to common shareholders</w:t>
            </w:r>
          </w:p>
        </w:tc>
        <w:tc>
          <w:tcPr>
            <w:tcW w:w="36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(31,031)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(7,232)</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(28,161)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68,845</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Earnings (loss)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Basic</w:t>
            </w: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(0.24)</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(0.06)</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(0.22)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0.57</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40" w:type="dxa"/>
            <w:vAlign w:val="bottom"/>
          </w:tcPr>
          <w:p>
            <w:pPr>
              <w:ind w:left="220"/>
              <w:spacing w:after="0" w:line="217" w:lineRule="exact"/>
              <w:rPr>
                <w:sz w:val="20"/>
                <w:szCs w:val="20"/>
                <w:color w:val="auto"/>
              </w:rPr>
            </w:pPr>
            <w:r>
              <w:rPr>
                <w:rFonts w:ascii="Arial" w:cs="Arial" w:eastAsia="Arial" w:hAnsi="Arial"/>
                <w:sz w:val="20"/>
                <w:szCs w:val="20"/>
                <w:color w:val="auto"/>
              </w:rPr>
              <w:t>Diluted</w:t>
            </w:r>
          </w:p>
        </w:tc>
        <w:tc>
          <w:tcPr>
            <w:tcW w:w="360" w:type="dxa"/>
            <w:vAlign w:val="bottom"/>
            <w:tcBorders>
              <w:bottom w:val="single" w:sz="8" w:color="auto"/>
            </w:tcBorders>
          </w:tcPr>
          <w:p>
            <w:pPr>
              <w:jc w:val="right"/>
              <w:ind w:right="141"/>
              <w:spacing w:after="0" w:line="217" w:lineRule="exact"/>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(0.24)</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61"/>
              <w:spacing w:after="0" w:line="217" w:lineRule="exact"/>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(0.06)</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41"/>
              <w:spacing w:after="0" w:line="217" w:lineRule="exact"/>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(0.22)</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41"/>
              <w:spacing w:after="0" w:line="217" w:lineRule="exact"/>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spacing w:after="0" w:line="217" w:lineRule="exact"/>
              <w:rPr>
                <w:sz w:val="20"/>
                <w:szCs w:val="20"/>
                <w:color w:val="auto"/>
              </w:rPr>
            </w:pPr>
            <w:r>
              <w:rPr>
                <w:rFonts w:ascii="Arial" w:cs="Arial" w:eastAsia="Arial" w:hAnsi="Arial"/>
                <w:sz w:val="20"/>
                <w:szCs w:val="20"/>
                <w:color w:val="auto"/>
              </w:rPr>
              <w:t>0.57</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shd w:val="clear" w:color="auto" w:fill="CCEEFF"/>
          </w:tcPr>
          <w:p>
            <w:pPr>
              <w:ind w:left="20"/>
              <w:spacing w:after="0" w:line="210" w:lineRule="exact"/>
              <w:rPr>
                <w:sz w:val="20"/>
                <w:szCs w:val="20"/>
                <w:color w:val="auto"/>
              </w:rPr>
            </w:pPr>
            <w:r>
              <w:rPr>
                <w:rFonts w:ascii="Arial" w:cs="Arial" w:eastAsia="Arial" w:hAnsi="Arial"/>
                <w:sz w:val="20"/>
                <w:szCs w:val="20"/>
                <w:color w:val="auto"/>
              </w:rPr>
              <w:t>Weighted average number of shares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20"/>
              <w:spacing w:after="0"/>
              <w:rPr>
                <w:sz w:val="20"/>
                <w:szCs w:val="20"/>
                <w:color w:val="auto"/>
              </w:rPr>
            </w:pPr>
            <w:r>
              <w:rPr>
                <w:rFonts w:ascii="Arial" w:cs="Arial" w:eastAsia="Arial" w:hAnsi="Arial"/>
                <w:sz w:val="20"/>
                <w:szCs w:val="20"/>
                <w:color w:val="auto"/>
              </w:rPr>
              <w:t>Basic</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130,955</w:t>
            </w: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119,994</w:t>
            </w: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128,315</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Diluted</w:t>
            </w: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130,955</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119,994</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128,315</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53975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084"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Changes in Member’s Equity/Redeemable Perpetual Preferred Stock and</w:t>
      </w: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60" w:type="dxa"/>
            <w:vAlign w:val="bottom"/>
            <w:gridSpan w:val="10"/>
          </w:tcPr>
          <w:p>
            <w:pPr>
              <w:ind w:left="680"/>
              <w:spacing w:after="0" w:line="192" w:lineRule="exact"/>
              <w:rPr>
                <w:sz w:val="20"/>
                <w:szCs w:val="20"/>
                <w:color w:val="auto"/>
              </w:rPr>
            </w:pPr>
            <w:r>
              <w:rPr>
                <w:rFonts w:ascii="Arial" w:cs="Arial" w:eastAsia="Arial" w:hAnsi="Arial"/>
                <w:sz w:val="20"/>
                <w:szCs w:val="20"/>
                <w:b w:val="1"/>
                <w:bCs w:val="1"/>
                <w:color w:val="auto"/>
              </w:rPr>
              <w:t>Stockholders’ Equity/(Deficit)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4"/>
          </w:tcPr>
          <w:p>
            <w:pPr>
              <w:ind w:left="280"/>
              <w:spacing w:after="0" w:line="220" w:lineRule="exact"/>
              <w:rPr>
                <w:sz w:val="20"/>
                <w:szCs w:val="20"/>
                <w:color w:val="auto"/>
              </w:rPr>
            </w:pPr>
            <w:r>
              <w:rPr>
                <w:rFonts w:ascii="Arial" w:cs="Arial" w:eastAsia="Arial" w:hAnsi="Arial"/>
                <w:sz w:val="20"/>
                <w:szCs w:val="20"/>
                <w:b w:val="1"/>
                <w:bCs w:val="1"/>
                <w:i w:val="1"/>
                <w:iCs w:val="1"/>
                <w:color w:val="auto"/>
              </w:rPr>
              <w:t>(unaudited)</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60" w:type="dxa"/>
            <w:vAlign w:val="bottom"/>
            <w:gridSpan w:val="4"/>
          </w:tcPr>
          <w:p>
            <w:pPr>
              <w:ind w:left="200"/>
              <w:spacing w:after="0"/>
              <w:rPr>
                <w:sz w:val="20"/>
                <w:szCs w:val="20"/>
                <w:color w:val="auto"/>
              </w:rPr>
            </w:pPr>
            <w:r>
              <w:rPr>
                <w:rFonts w:ascii="Arial" w:cs="Arial" w:eastAsia="Arial" w:hAnsi="Arial"/>
                <w:sz w:val="20"/>
                <w:szCs w:val="20"/>
                <w:i w:val="1"/>
                <w:iCs w:val="1"/>
                <w:color w:val="auto"/>
              </w:rPr>
              <w:t>(in thousands)</w:t>
            </w: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6"/>
        </w:trPr>
        <w:tc>
          <w:tcPr>
            <w:tcW w:w="4800" w:type="dxa"/>
            <w:vAlign w:val="bottom"/>
            <w:gridSpan w:val="8"/>
          </w:tcPr>
          <w:p>
            <w:pPr>
              <w:spacing w:after="0"/>
              <w:rPr>
                <w:sz w:val="20"/>
                <w:szCs w:val="20"/>
                <w:color w:val="auto"/>
              </w:rPr>
            </w:pPr>
            <w:r>
              <w:rPr>
                <w:rFonts w:ascii="Arial" w:cs="Arial" w:eastAsia="Arial" w:hAnsi="Arial"/>
                <w:sz w:val="20"/>
                <w:szCs w:val="20"/>
                <w:b w:val="1"/>
                <w:bCs w:val="1"/>
                <w:i w:val="1"/>
                <w:iCs w:val="1"/>
                <w:color w:val="auto"/>
              </w:rPr>
              <w:t>For the Three Months Ended September 30, 2021</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720" w:type="dxa"/>
            <w:vAlign w:val="bottom"/>
          </w:tcPr>
          <w:p>
            <w:pPr>
              <w:spacing w:after="0"/>
              <w:rPr>
                <w:sz w:val="23"/>
                <w:szCs w:val="23"/>
                <w:color w:val="auto"/>
              </w:rPr>
            </w:pPr>
          </w:p>
        </w:tc>
        <w:tc>
          <w:tcPr>
            <w:tcW w:w="1840" w:type="dxa"/>
            <w:vAlign w:val="bottom"/>
            <w:gridSpan w:val="4"/>
            <w:vMerge w:val="restart"/>
          </w:tcPr>
          <w:p>
            <w:pPr>
              <w:jc w:val="center"/>
              <w:spacing w:after="0"/>
              <w:rPr>
                <w:sz w:val="20"/>
                <w:szCs w:val="20"/>
                <w:color w:val="auto"/>
              </w:rPr>
            </w:pPr>
            <w:r>
              <w:rPr>
                <w:rFonts w:ascii="Arial" w:cs="Arial" w:eastAsia="Arial" w:hAnsi="Arial"/>
                <w:sz w:val="20"/>
                <w:szCs w:val="20"/>
                <w:b w:val="1"/>
                <w:bCs w:val="1"/>
                <w:color w:val="auto"/>
                <w:w w:val="98"/>
              </w:rPr>
              <w:t>Temporary Equity</w:t>
            </w: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20" w:type="dxa"/>
            <w:vAlign w:val="bottom"/>
            <w:gridSpan w:val="6"/>
            <w:vMerge w:val="restart"/>
          </w:tcPr>
          <w:p>
            <w:pPr>
              <w:jc w:val="center"/>
              <w:ind w:right="160"/>
              <w:spacing w:after="0"/>
              <w:rPr>
                <w:sz w:val="20"/>
                <w:szCs w:val="20"/>
                <w:color w:val="auto"/>
              </w:rPr>
            </w:pPr>
            <w:r>
              <w:rPr>
                <w:rFonts w:ascii="Arial" w:cs="Arial" w:eastAsia="Arial" w:hAnsi="Arial"/>
                <w:sz w:val="20"/>
                <w:szCs w:val="20"/>
                <w:b w:val="1"/>
                <w:bCs w:val="1"/>
                <w:color w:val="auto"/>
                <w:w w:val="98"/>
              </w:rPr>
              <w:t>Permanent Equity</w:t>
            </w: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1840" w:type="dxa"/>
            <w:vAlign w:val="bottom"/>
            <w:tcBorders>
              <w:bottom w:val="single" w:sz="8" w:color="auto"/>
            </w:tcBorders>
            <w:gridSpan w:val="4"/>
            <w:vMerge w:val="continue"/>
          </w:tcPr>
          <w:p>
            <w:pPr>
              <w:spacing w:after="0"/>
              <w:rPr>
                <w:sz w:val="21"/>
                <w:szCs w:val="21"/>
                <w:color w:val="auto"/>
              </w:rPr>
            </w:pPr>
          </w:p>
        </w:tc>
        <w:tc>
          <w:tcPr>
            <w:tcW w:w="80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6"/>
            <w:vMerge w:val="continue"/>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1840" w:type="dxa"/>
            <w:vAlign w:val="bottom"/>
            <w:gridSpan w:val="4"/>
          </w:tcPr>
          <w:p>
            <w:pPr>
              <w:jc w:val="center"/>
              <w:spacing w:after="0" w:line="183" w:lineRule="exact"/>
              <w:rPr>
                <w:sz w:val="20"/>
                <w:szCs w:val="20"/>
                <w:color w:val="auto"/>
              </w:rPr>
            </w:pPr>
            <w:r>
              <w:rPr>
                <w:rFonts w:ascii="Arial" w:cs="Arial" w:eastAsia="Arial" w:hAnsi="Arial"/>
                <w:sz w:val="20"/>
                <w:szCs w:val="20"/>
                <w:b w:val="1"/>
                <w:bCs w:val="1"/>
                <w:color w:val="auto"/>
                <w:w w:val="99"/>
              </w:rPr>
              <w:t>Series A</w:t>
            </w:r>
          </w:p>
        </w:tc>
        <w:tc>
          <w:tcPr>
            <w:tcW w:w="80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1840" w:type="dxa"/>
            <w:vAlign w:val="bottom"/>
            <w:gridSpan w:val="4"/>
          </w:tcPr>
          <w:p>
            <w:pPr>
              <w:jc w:val="center"/>
              <w:spacing w:after="0" w:line="189" w:lineRule="exact"/>
              <w:rPr>
                <w:sz w:val="20"/>
                <w:szCs w:val="20"/>
                <w:color w:val="auto"/>
              </w:rPr>
            </w:pPr>
            <w:r>
              <w:rPr>
                <w:rFonts w:ascii="Arial" w:cs="Arial" w:eastAsia="Arial" w:hAnsi="Arial"/>
                <w:sz w:val="20"/>
                <w:szCs w:val="20"/>
                <w:b w:val="1"/>
                <w:bCs w:val="1"/>
                <w:color w:val="auto"/>
                <w:w w:val="98"/>
              </w:rPr>
              <w:t>Redeemable</w:t>
            </w:r>
          </w:p>
        </w:tc>
        <w:tc>
          <w:tcPr>
            <w:tcW w:w="80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1840" w:type="dxa"/>
            <w:vAlign w:val="bottom"/>
            <w:gridSpan w:val="4"/>
          </w:tcPr>
          <w:p>
            <w:pPr>
              <w:jc w:val="center"/>
              <w:spacing w:after="0" w:line="189" w:lineRule="exact"/>
              <w:rPr>
                <w:sz w:val="20"/>
                <w:szCs w:val="20"/>
                <w:color w:val="auto"/>
              </w:rPr>
            </w:pPr>
            <w:r>
              <w:rPr>
                <w:rFonts w:ascii="Arial" w:cs="Arial" w:eastAsia="Arial" w:hAnsi="Arial"/>
                <w:sz w:val="20"/>
                <w:szCs w:val="20"/>
                <w:b w:val="1"/>
                <w:bCs w:val="1"/>
                <w:color w:val="auto"/>
              </w:rPr>
              <w:t>Perpetual</w:t>
            </w:r>
          </w:p>
        </w:tc>
        <w:tc>
          <w:tcPr>
            <w:tcW w:w="1860" w:type="dxa"/>
            <w:vAlign w:val="bottom"/>
            <w:tcBorders>
              <w:left w:val="single" w:sz="8" w:color="auto"/>
            </w:tcBorders>
            <w:gridSpan w:val="5"/>
            <w:vMerge w:val="restart"/>
          </w:tcPr>
          <w:p>
            <w:pPr>
              <w:ind w:left="160"/>
              <w:spacing w:after="0"/>
              <w:rPr>
                <w:sz w:val="20"/>
                <w:szCs w:val="20"/>
                <w:color w:val="auto"/>
              </w:rPr>
            </w:pPr>
            <w:r>
              <w:rPr>
                <w:rFonts w:ascii="Arial" w:cs="Arial" w:eastAsia="Arial" w:hAnsi="Arial"/>
                <w:sz w:val="20"/>
                <w:szCs w:val="20"/>
                <w:b w:val="1"/>
                <w:bCs w:val="1"/>
                <w:color w:val="auto"/>
              </w:rPr>
              <w:t>Preferred Stock</w:t>
            </w:r>
          </w:p>
        </w:tc>
        <w:tc>
          <w:tcPr>
            <w:tcW w:w="1900" w:type="dxa"/>
            <w:vAlign w:val="bottom"/>
            <w:gridSpan w:val="5"/>
            <w:vMerge w:val="restart"/>
          </w:tcPr>
          <w:p>
            <w:pPr>
              <w:ind w:left="180"/>
              <w:spacing w:after="0"/>
              <w:rPr>
                <w:sz w:val="20"/>
                <w:szCs w:val="20"/>
                <w:color w:val="auto"/>
              </w:rPr>
            </w:pPr>
            <w:r>
              <w:rPr>
                <w:rFonts w:ascii="Arial" w:cs="Arial" w:eastAsia="Arial" w:hAnsi="Arial"/>
                <w:sz w:val="20"/>
                <w:szCs w:val="20"/>
                <w:b w:val="1"/>
                <w:bCs w:val="1"/>
                <w:color w:val="auto"/>
              </w:rPr>
              <w:t>Common Stock</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720" w:type="dxa"/>
            <w:vAlign w:val="bottom"/>
          </w:tcPr>
          <w:p>
            <w:pPr>
              <w:spacing w:after="0"/>
              <w:rPr>
                <w:sz w:val="22"/>
                <w:szCs w:val="22"/>
                <w:color w:val="auto"/>
              </w:rPr>
            </w:pPr>
          </w:p>
        </w:tc>
        <w:tc>
          <w:tcPr>
            <w:tcW w:w="1840" w:type="dxa"/>
            <w:vAlign w:val="bottom"/>
            <w:gridSpan w:val="4"/>
          </w:tcPr>
          <w:p>
            <w:pPr>
              <w:jc w:val="center"/>
              <w:spacing w:after="0"/>
              <w:rPr>
                <w:sz w:val="20"/>
                <w:szCs w:val="20"/>
                <w:color w:val="auto"/>
              </w:rPr>
            </w:pPr>
            <w:r>
              <w:rPr>
                <w:rFonts w:ascii="Arial" w:cs="Arial" w:eastAsia="Arial" w:hAnsi="Arial"/>
                <w:sz w:val="20"/>
                <w:szCs w:val="20"/>
                <w:b w:val="1"/>
                <w:bCs w:val="1"/>
                <w:color w:val="auto"/>
                <w:w w:val="99"/>
              </w:rPr>
              <w:t>Preferred Stock</w:t>
            </w:r>
          </w:p>
        </w:tc>
        <w:tc>
          <w:tcPr>
            <w:tcW w:w="1860" w:type="dxa"/>
            <w:vAlign w:val="bottom"/>
            <w:tcBorders>
              <w:left w:val="single" w:sz="8" w:color="auto"/>
            </w:tcBorders>
            <w:gridSpan w:val="5"/>
            <w:vMerge w:val="continue"/>
          </w:tcPr>
          <w:p>
            <w:pPr>
              <w:spacing w:after="0"/>
              <w:rPr>
                <w:sz w:val="22"/>
                <w:szCs w:val="22"/>
                <w:color w:val="auto"/>
              </w:rPr>
            </w:pPr>
          </w:p>
        </w:tc>
        <w:tc>
          <w:tcPr>
            <w:tcW w:w="1900" w:type="dxa"/>
            <w:vAlign w:val="bottom"/>
            <w:gridSpan w:val="5"/>
            <w:vMerge w:val="continue"/>
          </w:tcPr>
          <w:p>
            <w:pPr>
              <w:spacing w:after="0"/>
              <w:rPr>
                <w:sz w:val="22"/>
                <w:szCs w:val="22"/>
                <w:color w:val="auto"/>
              </w:rPr>
            </w:pPr>
          </w:p>
        </w:tc>
        <w:tc>
          <w:tcPr>
            <w:tcW w:w="1120" w:type="dxa"/>
            <w:vAlign w:val="bottom"/>
            <w:gridSpan w:val="4"/>
            <w:vMerge w:val="restart"/>
          </w:tcPr>
          <w:p>
            <w:pPr>
              <w:jc w:val="center"/>
              <w:ind w:right="100"/>
              <w:spacing w:after="0"/>
              <w:rPr>
                <w:sz w:val="20"/>
                <w:szCs w:val="20"/>
                <w:color w:val="auto"/>
              </w:rPr>
            </w:pPr>
            <w:r>
              <w:rPr>
                <w:rFonts w:ascii="Arial" w:cs="Arial" w:eastAsia="Arial" w:hAnsi="Arial"/>
                <w:sz w:val="20"/>
                <w:szCs w:val="20"/>
                <w:b w:val="1"/>
                <w:bCs w:val="1"/>
                <w:color w:val="auto"/>
              </w:rPr>
              <w:t>Additional</w:t>
            </w: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vMerge w:val="restart"/>
          </w:tcPr>
          <w:p>
            <w:pPr>
              <w:jc w:val="right"/>
              <w:ind w:right="40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1360" w:type="dxa"/>
            <w:vAlign w:val="bottom"/>
            <w:gridSpan w:val="5"/>
            <w:vMerge w:val="restart"/>
          </w:tcPr>
          <w:p>
            <w:pPr>
              <w:ind w:left="20"/>
              <w:spacing w:after="0"/>
              <w:rPr>
                <w:sz w:val="20"/>
                <w:szCs w:val="20"/>
                <w:color w:val="auto"/>
              </w:rPr>
            </w:pPr>
            <w:r>
              <w:rPr>
                <w:rFonts w:ascii="Arial" w:cs="Arial" w:eastAsia="Arial" w:hAnsi="Arial"/>
                <w:sz w:val="20"/>
                <w:szCs w:val="20"/>
                <w:b w:val="1"/>
                <w:bCs w:val="1"/>
                <w:color w:val="auto"/>
              </w:rPr>
              <w:t>Accumulated</w:t>
            </w: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Shares</w:t>
            </w:r>
          </w:p>
        </w:tc>
        <w:tc>
          <w:tcPr>
            <w:tcW w:w="80" w:type="dxa"/>
            <w:vAlign w:val="bottom"/>
            <w:vMerge w:val="restart"/>
          </w:tcPr>
          <w:p>
            <w:pPr>
              <w:spacing w:after="0"/>
              <w:rPr>
                <w:sz w:val="16"/>
                <w:szCs w:val="16"/>
                <w:color w:val="auto"/>
              </w:rPr>
            </w:pPr>
          </w:p>
        </w:tc>
        <w:tc>
          <w:tcPr>
            <w:tcW w:w="960" w:type="dxa"/>
            <w:vAlign w:val="bottom"/>
            <w:gridSpan w:val="2"/>
            <w:vMerge w:val="restart"/>
          </w:tcPr>
          <w:p>
            <w:pPr>
              <w:jc w:val="right"/>
              <w:ind w:right="1"/>
              <w:spacing w:after="0"/>
              <w:rPr>
                <w:sz w:val="20"/>
                <w:szCs w:val="20"/>
                <w:color w:val="auto"/>
              </w:rPr>
            </w:pPr>
            <w:r>
              <w:rPr>
                <w:rFonts w:ascii="Arial" w:cs="Arial" w:eastAsia="Arial" w:hAnsi="Arial"/>
                <w:sz w:val="20"/>
                <w:szCs w:val="20"/>
                <w:b w:val="1"/>
                <w:bCs w:val="1"/>
                <w:color w:val="auto"/>
              </w:rPr>
              <w:t>Amount</w:t>
            </w:r>
          </w:p>
        </w:tc>
        <w:tc>
          <w:tcPr>
            <w:tcW w:w="800" w:type="dxa"/>
            <w:vAlign w:val="bottom"/>
            <w:tcBorders>
              <w:left w:val="single" w:sz="8" w:color="auto"/>
            </w:tcBorders>
            <w:vMerge w:val="restart"/>
          </w:tcPr>
          <w:p>
            <w:pPr>
              <w:ind w:left="80"/>
              <w:spacing w:after="0"/>
              <w:rPr>
                <w:sz w:val="20"/>
                <w:szCs w:val="20"/>
                <w:color w:val="auto"/>
              </w:rPr>
            </w:pPr>
            <w:r>
              <w:rPr>
                <w:rFonts w:ascii="Arial" w:cs="Arial" w:eastAsia="Arial" w:hAnsi="Arial"/>
                <w:sz w:val="20"/>
                <w:szCs w:val="20"/>
                <w:b w:val="1"/>
                <w:bCs w:val="1"/>
                <w:color w:val="auto"/>
              </w:rPr>
              <w:t>Shares</w:t>
            </w:r>
          </w:p>
        </w:tc>
        <w:tc>
          <w:tcPr>
            <w:tcW w:w="80" w:type="dxa"/>
            <w:vAlign w:val="bottom"/>
            <w:vMerge w:val="restart"/>
          </w:tcPr>
          <w:p>
            <w:pPr>
              <w:spacing w:after="0"/>
              <w:rPr>
                <w:sz w:val="16"/>
                <w:szCs w:val="16"/>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20"/>
                <w:szCs w:val="20"/>
                <w:b w:val="1"/>
                <w:bCs w:val="1"/>
                <w:color w:val="auto"/>
              </w:rPr>
              <w:t>Amount</w:t>
            </w:r>
          </w:p>
        </w:tc>
        <w:tc>
          <w:tcPr>
            <w:tcW w:w="80" w:type="dxa"/>
            <w:vAlign w:val="bottom"/>
            <w:vMerge w:val="restart"/>
          </w:tcPr>
          <w:p>
            <w:pPr>
              <w:spacing w:after="0"/>
              <w:rPr>
                <w:sz w:val="16"/>
                <w:szCs w:val="16"/>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auto"/>
              </w:rPr>
              <w:t>Shares</w:t>
            </w:r>
          </w:p>
        </w:tc>
        <w:tc>
          <w:tcPr>
            <w:tcW w:w="80" w:type="dxa"/>
            <w:vAlign w:val="bottom"/>
            <w:vMerge w:val="restart"/>
          </w:tcPr>
          <w:p>
            <w:pPr>
              <w:spacing w:after="0"/>
              <w:rPr>
                <w:sz w:val="16"/>
                <w:szCs w:val="16"/>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rPr>
              <w:t>Amount</w:t>
            </w:r>
          </w:p>
        </w:tc>
        <w:tc>
          <w:tcPr>
            <w:tcW w:w="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3"/>
          </w:tcPr>
          <w:p>
            <w:pPr>
              <w:jc w:val="center"/>
              <w:ind w:right="260"/>
              <w:spacing w:after="0" w:line="189" w:lineRule="exact"/>
              <w:rPr>
                <w:sz w:val="20"/>
                <w:szCs w:val="20"/>
                <w:color w:val="auto"/>
              </w:rPr>
            </w:pPr>
            <w:r>
              <w:rPr>
                <w:rFonts w:ascii="Arial" w:cs="Arial" w:eastAsia="Arial" w:hAnsi="Arial"/>
                <w:sz w:val="20"/>
                <w:szCs w:val="20"/>
                <w:b w:val="1"/>
                <w:bCs w:val="1"/>
                <w:color w:val="auto"/>
              </w:rPr>
              <w:t>paid-in</w:t>
            </w:r>
          </w:p>
        </w:tc>
        <w:tc>
          <w:tcPr>
            <w:tcW w:w="1360" w:type="dxa"/>
            <w:vAlign w:val="bottom"/>
            <w:gridSpan w:val="5"/>
            <w:vMerge w:val="continue"/>
          </w:tcPr>
          <w:p>
            <w:pPr>
              <w:spacing w:after="0"/>
              <w:rPr>
                <w:sz w:val="16"/>
                <w:szCs w:val="16"/>
                <w:color w:val="auto"/>
              </w:rPr>
            </w:pPr>
          </w:p>
        </w:tc>
        <w:tc>
          <w:tcPr>
            <w:tcW w:w="1440" w:type="dxa"/>
            <w:vAlign w:val="bottom"/>
            <w:gridSpan w:val="2"/>
          </w:tcPr>
          <w:p>
            <w:pPr>
              <w:jc w:val="right"/>
              <w:spacing w:after="0" w:line="189" w:lineRule="exact"/>
              <w:rPr>
                <w:sz w:val="20"/>
                <w:szCs w:val="20"/>
                <w:color w:val="auto"/>
              </w:rPr>
            </w:pPr>
            <w:r>
              <w:rPr>
                <w:rFonts w:ascii="Arial" w:cs="Arial" w:eastAsia="Arial" w:hAnsi="Arial"/>
                <w:sz w:val="20"/>
                <w:szCs w:val="20"/>
                <w:b w:val="1"/>
                <w:bCs w:val="1"/>
                <w:color w:val="auto"/>
              </w:rPr>
              <w:t>Stockholders’</w:t>
            </w:r>
          </w:p>
        </w:tc>
        <w:tc>
          <w:tcPr>
            <w:tcW w:w="0" w:type="dxa"/>
            <w:vAlign w:val="bottom"/>
          </w:tcPr>
          <w:p>
            <w:pPr>
              <w:spacing w:after="0"/>
              <w:rPr>
                <w:sz w:val="1"/>
                <w:szCs w:val="1"/>
                <w:color w:val="auto"/>
              </w:rPr>
            </w:pPr>
          </w:p>
        </w:tc>
      </w:tr>
      <w:tr>
        <w:trPr>
          <w:trHeight w:val="243"/>
        </w:trPr>
        <w:tc>
          <w:tcPr>
            <w:tcW w:w="17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960" w:type="dxa"/>
            <w:vAlign w:val="bottom"/>
            <w:tcBorders>
              <w:bottom w:val="single" w:sz="8" w:color="auto"/>
            </w:tcBorders>
            <w:gridSpan w:val="2"/>
            <w:vMerge w:val="continue"/>
          </w:tcPr>
          <w:p>
            <w:pPr>
              <w:spacing w:after="0"/>
              <w:rPr>
                <w:sz w:val="21"/>
                <w:szCs w:val="21"/>
                <w:color w:val="auto"/>
              </w:rPr>
            </w:pPr>
          </w:p>
        </w:tc>
        <w:tc>
          <w:tcPr>
            <w:tcW w:w="800" w:type="dxa"/>
            <w:vAlign w:val="bottom"/>
            <w:tcBorders>
              <w:left w:val="single" w:sz="8" w:color="auto"/>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900" w:type="dxa"/>
            <w:vAlign w:val="bottom"/>
            <w:tcBorders>
              <w:bottom w:val="single" w:sz="8" w:color="auto"/>
            </w:tcBorders>
            <w:gridSpan w:val="2"/>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880" w:type="dxa"/>
            <w:vAlign w:val="bottom"/>
            <w:tcBorders>
              <w:bottom w:val="single" w:sz="8" w:color="auto"/>
            </w:tcBorders>
            <w:gridSpan w:val="2"/>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center"/>
              <w:ind w:right="81"/>
              <w:spacing w:after="0"/>
              <w:rPr>
                <w:sz w:val="20"/>
                <w:szCs w:val="20"/>
                <w:color w:val="auto"/>
              </w:rPr>
            </w:pPr>
            <w:r>
              <w:rPr>
                <w:rFonts w:ascii="Arial" w:cs="Arial" w:eastAsia="Arial" w:hAnsi="Arial"/>
                <w:sz w:val="20"/>
                <w:szCs w:val="20"/>
                <w:b w:val="1"/>
                <w:bCs w:val="1"/>
                <w:color w:val="auto"/>
                <w:w w:val="97"/>
              </w:rPr>
              <w:t>capital</w:t>
            </w:r>
          </w:p>
        </w:tc>
        <w:tc>
          <w:tcPr>
            <w:tcW w:w="8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20"/>
                <w:szCs w:val="20"/>
                <w:b w:val="1"/>
                <w:bCs w:val="1"/>
                <w:color w:val="auto"/>
              </w:rPr>
              <w:t>deficit</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b w:val="1"/>
                <w:bCs w:val="1"/>
                <w:color w:val="auto"/>
                <w:w w:val="99"/>
              </w:rPr>
              <w:t>Equity/(Deficit)</w:t>
            </w:r>
          </w:p>
        </w:tc>
        <w:tc>
          <w:tcPr>
            <w:tcW w:w="0" w:type="dxa"/>
            <w:vAlign w:val="bottom"/>
          </w:tcPr>
          <w:p>
            <w:pPr>
              <w:spacing w:after="0"/>
              <w:rPr>
                <w:sz w:val="1"/>
                <w:szCs w:val="1"/>
                <w:color w:val="auto"/>
              </w:rPr>
            </w:pPr>
          </w:p>
        </w:tc>
      </w:tr>
      <w:tr>
        <w:trPr>
          <w:trHeight w:val="169"/>
        </w:trPr>
        <w:tc>
          <w:tcPr>
            <w:tcW w:w="1720" w:type="dxa"/>
            <w:vAlign w:val="bottom"/>
            <w:shd w:val="clear" w:color="auto" w:fill="CCEEFF"/>
          </w:tcPr>
          <w:p>
            <w:pPr>
              <w:ind w:left="20"/>
              <w:spacing w:after="0" w:line="169" w:lineRule="exact"/>
              <w:rPr>
                <w:sz w:val="20"/>
                <w:szCs w:val="20"/>
                <w:color w:val="auto"/>
              </w:rPr>
            </w:pPr>
            <w:r>
              <w:rPr>
                <w:rFonts w:ascii="Arial" w:cs="Arial" w:eastAsia="Arial" w:hAnsi="Arial"/>
                <w:sz w:val="19"/>
                <w:szCs w:val="19"/>
                <w:b w:val="1"/>
                <w:bCs w:val="1"/>
                <w:color w:val="auto"/>
              </w:rPr>
              <w:t>Balance, June</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left w:val="single" w:sz="8" w:color="auto"/>
            </w:tcBorders>
            <w:gridSpan w:val="2"/>
            <w:vMerge w:val="restart"/>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360" w:type="dxa"/>
            <w:vAlign w:val="bottom"/>
            <w:vMerge w:val="restart"/>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126,994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127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149,893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gridSpan w:val="3"/>
            <w:vMerge w:val="restart"/>
            <w:shd w:val="clear" w:color="auto" w:fill="CCEEFF"/>
          </w:tcPr>
          <w:p>
            <w:pPr>
              <w:jc w:val="right"/>
              <w:spacing w:after="0"/>
              <w:rPr>
                <w:sz w:val="20"/>
                <w:szCs w:val="20"/>
                <w:color w:val="auto"/>
              </w:rPr>
            </w:pPr>
            <w:r>
              <w:rPr>
                <w:rFonts w:ascii="Arial" w:cs="Arial" w:eastAsia="Arial" w:hAnsi="Arial"/>
                <w:sz w:val="20"/>
                <w:szCs w:val="20"/>
                <w:color w:val="auto"/>
                <w:w w:val="98"/>
              </w:rPr>
              <w:t>(218,629)</w:t>
            </w:r>
          </w:p>
        </w:tc>
        <w:tc>
          <w:tcPr>
            <w:tcW w:w="8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(68,609)</w:t>
            </w:r>
          </w:p>
        </w:tc>
        <w:tc>
          <w:tcPr>
            <w:tcW w:w="0" w:type="dxa"/>
            <w:vAlign w:val="bottom"/>
          </w:tcPr>
          <w:p>
            <w:pPr>
              <w:spacing w:after="0"/>
              <w:rPr>
                <w:sz w:val="1"/>
                <w:szCs w:val="1"/>
                <w:color w:val="auto"/>
              </w:rPr>
            </w:pPr>
          </w:p>
        </w:tc>
      </w:tr>
      <w:tr>
        <w:trPr>
          <w:trHeight w:val="243"/>
        </w:trPr>
        <w:tc>
          <w:tcPr>
            <w:tcW w:w="17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30, 2021</w:t>
            </w:r>
          </w:p>
        </w:tc>
        <w:tc>
          <w:tcPr>
            <w:tcW w:w="880" w:type="dxa"/>
            <w:vAlign w:val="bottom"/>
            <w:gridSpan w:val="2"/>
            <w:vMerge w:val="continue"/>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880" w:type="dxa"/>
            <w:vAlign w:val="bottom"/>
            <w:tcBorders>
              <w:left w:val="single" w:sz="8" w:color="auto"/>
            </w:tcBorders>
            <w:gridSpan w:val="2"/>
            <w:vMerge w:val="continue"/>
            <w:shd w:val="clear" w:color="auto" w:fill="CCEEFF"/>
          </w:tcPr>
          <w:p>
            <w:pPr>
              <w:spacing w:after="0"/>
              <w:rPr>
                <w:sz w:val="21"/>
                <w:szCs w:val="21"/>
                <w:color w:val="auto"/>
              </w:rPr>
            </w:pPr>
          </w:p>
        </w:tc>
        <w:tc>
          <w:tcPr>
            <w:tcW w:w="360" w:type="dxa"/>
            <w:vAlign w:val="bottom"/>
            <w:vMerge w:val="continue"/>
            <w:shd w:val="clear" w:color="auto" w:fill="CCEEFF"/>
          </w:tcPr>
          <w:p>
            <w:pPr>
              <w:spacing w:after="0"/>
              <w:rPr>
                <w:sz w:val="21"/>
                <w:szCs w:val="21"/>
                <w:color w:val="auto"/>
              </w:rPr>
            </w:pPr>
          </w:p>
        </w:tc>
        <w:tc>
          <w:tcPr>
            <w:tcW w:w="620" w:type="dxa"/>
            <w:vAlign w:val="bottom"/>
            <w:gridSpan w:val="2"/>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gridSpan w:val="3"/>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720" w:type="dxa"/>
            <w:vAlign w:val="bottom"/>
          </w:tcPr>
          <w:p>
            <w:pPr>
              <w:ind w:left="20"/>
              <w:spacing w:after="0" w:line="199" w:lineRule="exact"/>
              <w:rPr>
                <w:sz w:val="20"/>
                <w:szCs w:val="20"/>
                <w:color w:val="auto"/>
              </w:rPr>
            </w:pPr>
            <w:r>
              <w:rPr>
                <w:rFonts w:ascii="Arial" w:cs="Arial" w:eastAsia="Arial" w:hAnsi="Arial"/>
                <w:sz w:val="20"/>
                <w:szCs w:val="20"/>
                <w:color w:val="auto"/>
              </w:rPr>
              <w:t>Equity-based</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left w:val="single" w:sz="8" w:color="auto"/>
            </w:tcBorders>
            <w:gridSpan w:val="2"/>
            <w:vMerge w:val="restart"/>
          </w:tcPr>
          <w:p>
            <w:pPr>
              <w:ind w:left="52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7"/>
                <w:szCs w:val="17"/>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20"/>
                <w:szCs w:val="20"/>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7"/>
                <w:szCs w:val="17"/>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7"/>
                <w:szCs w:val="17"/>
                <w:color w:val="auto"/>
              </w:rPr>
            </w:pPr>
          </w:p>
        </w:tc>
        <w:tc>
          <w:tcPr>
            <w:tcW w:w="88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rPr>
              <w:t>2,160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vMerge w:val="restart"/>
          </w:tcPr>
          <w:p>
            <w:pPr>
              <w:ind w:left="48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2,160</w:t>
            </w:r>
          </w:p>
        </w:tc>
        <w:tc>
          <w:tcPr>
            <w:tcW w:w="0" w:type="dxa"/>
            <w:vAlign w:val="bottom"/>
          </w:tcPr>
          <w:p>
            <w:pPr>
              <w:spacing w:after="0"/>
              <w:rPr>
                <w:sz w:val="1"/>
                <w:szCs w:val="1"/>
                <w:color w:val="auto"/>
              </w:rPr>
            </w:pPr>
          </w:p>
        </w:tc>
      </w:tr>
      <w:tr>
        <w:trPr>
          <w:trHeight w:val="233"/>
        </w:trPr>
        <w:tc>
          <w:tcPr>
            <w:tcW w:w="1720" w:type="dxa"/>
            <w:vAlign w:val="bottom"/>
          </w:tcPr>
          <w:p>
            <w:pPr>
              <w:ind w:left="20"/>
              <w:spacing w:after="0"/>
              <w:rPr>
                <w:sz w:val="20"/>
                <w:szCs w:val="20"/>
                <w:color w:val="auto"/>
              </w:rPr>
            </w:pPr>
            <w:r>
              <w:rPr>
                <w:rFonts w:ascii="Arial" w:cs="Arial" w:eastAsia="Arial" w:hAnsi="Arial"/>
                <w:sz w:val="20"/>
                <w:szCs w:val="20"/>
                <w:color w:val="auto"/>
              </w:rPr>
              <w:t>compensation</w:t>
            </w:r>
          </w:p>
        </w:tc>
        <w:tc>
          <w:tcPr>
            <w:tcW w:w="8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880" w:type="dxa"/>
            <w:vAlign w:val="bottom"/>
            <w:tcBorders>
              <w:left w:val="single" w:sz="8" w:color="auto"/>
            </w:tcBorders>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72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Issuance of</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Series 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Preferred, net of</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350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96"/>
              </w:rPr>
              <w:t>229,799</w:t>
            </w:r>
          </w:p>
        </w:tc>
        <w:tc>
          <w:tcPr>
            <w:tcW w:w="880" w:type="dxa"/>
            <w:vAlign w:val="bottom"/>
            <w:tcBorders>
              <w:left w:val="single" w:sz="8" w:color="auto"/>
            </w:tcBorders>
            <w:gridSpan w:val="2"/>
            <w:vMerge w:val="restart"/>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3"/>
        </w:trPr>
        <w:tc>
          <w:tcPr>
            <w:tcW w:w="1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fees</w:t>
            </w:r>
          </w:p>
        </w:tc>
        <w:tc>
          <w:tcPr>
            <w:tcW w:w="8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880" w:type="dxa"/>
            <w:vAlign w:val="bottom"/>
            <w:tcBorders>
              <w:left w:val="single" w:sz="8" w:color="auto"/>
            </w:tcBorders>
            <w:gridSpan w:val="2"/>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gridSpan w:val="2"/>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720" w:type="dxa"/>
            <w:vAlign w:val="bottom"/>
          </w:tcPr>
          <w:p>
            <w:pPr>
              <w:ind w:left="20"/>
              <w:spacing w:after="0" w:line="199" w:lineRule="exact"/>
              <w:rPr>
                <w:sz w:val="20"/>
                <w:szCs w:val="20"/>
                <w:color w:val="auto"/>
              </w:rPr>
            </w:pPr>
            <w:r>
              <w:rPr>
                <w:rFonts w:ascii="Arial" w:cs="Arial" w:eastAsia="Arial" w:hAnsi="Arial"/>
                <w:sz w:val="20"/>
                <w:szCs w:val="20"/>
                <w:color w:val="auto"/>
              </w:rPr>
              <w:t>Issuance of</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20" w:type="dxa"/>
            <w:vAlign w:val="bottom"/>
          </w:tcPr>
          <w:p>
            <w:pPr>
              <w:ind w:left="20"/>
              <w:spacing w:after="0" w:line="189" w:lineRule="exact"/>
              <w:rPr>
                <w:sz w:val="20"/>
                <w:szCs w:val="20"/>
                <w:color w:val="auto"/>
              </w:rPr>
            </w:pPr>
            <w:r>
              <w:rPr>
                <w:rFonts w:ascii="Arial" w:cs="Arial" w:eastAsia="Arial" w:hAnsi="Arial"/>
                <w:sz w:val="20"/>
                <w:szCs w:val="20"/>
                <w:color w:val="auto"/>
              </w:rPr>
              <w:t>common stock,</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left w:val="single" w:sz="8" w:color="auto"/>
            </w:tcBorders>
            <w:gridSpan w:val="2"/>
            <w:vMerge w:val="restart"/>
          </w:tcPr>
          <w:p>
            <w:pPr>
              <w:ind w:left="52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6"/>
                <w:szCs w:val="16"/>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7,875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1"/>
              <w:spacing w:after="0"/>
              <w:rPr>
                <w:sz w:val="20"/>
                <w:szCs w:val="20"/>
                <w:color w:val="auto"/>
              </w:rPr>
            </w:pPr>
            <w:r>
              <w:rPr>
                <w:rFonts w:ascii="Arial" w:cs="Arial" w:eastAsia="Arial" w:hAnsi="Arial"/>
                <w:sz w:val="20"/>
                <w:szCs w:val="20"/>
                <w:color w:val="auto"/>
              </w:rPr>
              <w:t>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restart"/>
          </w:tcPr>
          <w:p>
            <w:pPr>
              <w:jc w:val="right"/>
              <w:ind w:right="1"/>
              <w:spacing w:after="0"/>
              <w:rPr>
                <w:sz w:val="20"/>
                <w:szCs w:val="20"/>
                <w:color w:val="auto"/>
              </w:rPr>
            </w:pPr>
            <w:r>
              <w:rPr>
                <w:rFonts w:ascii="Arial" w:cs="Arial" w:eastAsia="Arial" w:hAnsi="Arial"/>
                <w:sz w:val="20"/>
                <w:szCs w:val="20"/>
                <w:color w:val="auto"/>
              </w:rPr>
              <w:t>104,756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restart"/>
          </w:tcPr>
          <w:p>
            <w:pPr>
              <w:ind w:left="48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104,764</w:t>
            </w:r>
          </w:p>
        </w:tc>
        <w:tc>
          <w:tcPr>
            <w:tcW w:w="0" w:type="dxa"/>
            <w:vAlign w:val="bottom"/>
          </w:tcPr>
          <w:p>
            <w:pPr>
              <w:spacing w:after="0"/>
              <w:rPr>
                <w:sz w:val="1"/>
                <w:szCs w:val="1"/>
                <w:color w:val="auto"/>
              </w:rPr>
            </w:pPr>
          </w:p>
        </w:tc>
      </w:tr>
      <w:tr>
        <w:trPr>
          <w:trHeight w:val="233"/>
        </w:trPr>
        <w:tc>
          <w:tcPr>
            <w:tcW w:w="1720" w:type="dxa"/>
            <w:vAlign w:val="bottom"/>
          </w:tcPr>
          <w:p>
            <w:pPr>
              <w:ind w:left="20"/>
              <w:spacing w:after="0"/>
              <w:rPr>
                <w:sz w:val="20"/>
                <w:szCs w:val="20"/>
                <w:color w:val="auto"/>
              </w:rPr>
            </w:pPr>
            <w:r>
              <w:rPr>
                <w:rFonts w:ascii="Arial" w:cs="Arial" w:eastAsia="Arial" w:hAnsi="Arial"/>
                <w:sz w:val="20"/>
                <w:szCs w:val="20"/>
                <w:color w:val="auto"/>
              </w:rPr>
              <w:t>net</w:t>
            </w:r>
          </w:p>
        </w:tc>
        <w:tc>
          <w:tcPr>
            <w:tcW w:w="8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880" w:type="dxa"/>
            <w:vAlign w:val="bottom"/>
            <w:tcBorders>
              <w:left w:val="single" w:sz="8" w:color="auto"/>
            </w:tcBorders>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72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Preferred</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cumulative</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dividends plus</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5,479</w:t>
            </w:r>
          </w:p>
        </w:tc>
        <w:tc>
          <w:tcPr>
            <w:tcW w:w="880" w:type="dxa"/>
            <w:vAlign w:val="bottom"/>
            <w:tcBorders>
              <w:left w:val="single" w:sz="8" w:color="auto"/>
            </w:tcBorders>
            <w:gridSpan w:val="2"/>
            <w:vMerge w:val="restart"/>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6"/>
                <w:szCs w:val="16"/>
                <w:color w:val="auto"/>
              </w:rPr>
            </w:pP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(5,479)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(5,479)</w:t>
            </w:r>
          </w:p>
        </w:tc>
        <w:tc>
          <w:tcPr>
            <w:tcW w:w="0" w:type="dxa"/>
            <w:vAlign w:val="bottom"/>
          </w:tcPr>
          <w:p>
            <w:pPr>
              <w:spacing w:after="0"/>
              <w:rPr>
                <w:sz w:val="1"/>
                <w:szCs w:val="1"/>
                <w:color w:val="auto"/>
              </w:rPr>
            </w:pPr>
          </w:p>
        </w:tc>
      </w:tr>
      <w:tr>
        <w:trPr>
          <w:trHeight w:val="233"/>
        </w:trPr>
        <w:tc>
          <w:tcPr>
            <w:tcW w:w="1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accretion</w:t>
            </w:r>
          </w:p>
        </w:tc>
        <w:tc>
          <w:tcPr>
            <w:tcW w:w="8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880" w:type="dxa"/>
            <w:vAlign w:val="bottom"/>
            <w:tcBorders>
              <w:left w:val="single" w:sz="8" w:color="auto"/>
            </w:tcBorders>
            <w:gridSpan w:val="2"/>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gridSpan w:val="2"/>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20"/>
              <w:spacing w:after="0"/>
              <w:rPr>
                <w:sz w:val="20"/>
                <w:szCs w:val="20"/>
                <w:color w:val="auto"/>
              </w:rPr>
            </w:pPr>
            <w:r>
              <w:rPr>
                <w:rFonts w:ascii="Arial" w:cs="Arial" w:eastAsia="Arial" w:hAnsi="Arial"/>
                <w:sz w:val="20"/>
                <w:szCs w:val="20"/>
                <w:color w:val="auto"/>
              </w:rPr>
              <w:t>Net loss</w:t>
            </w:r>
          </w:p>
        </w:tc>
        <w:tc>
          <w:tcPr>
            <w:tcW w:w="8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left w:val="single" w:sz="8" w:color="auto"/>
            </w:tcBorders>
            <w:gridSpan w:val="2"/>
          </w:tcPr>
          <w:p>
            <w:pPr>
              <w:ind w:left="52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1"/>
                <w:szCs w:val="21"/>
                <w:color w:val="auto"/>
              </w:rPr>
            </w:pPr>
          </w:p>
        </w:tc>
        <w:tc>
          <w:tcPr>
            <w:tcW w:w="620" w:type="dxa"/>
            <w:vAlign w:val="bottom"/>
            <w:gridSpan w:val="2"/>
          </w:tcPr>
          <w:p>
            <w:pPr>
              <w:ind w:left="260"/>
              <w:spacing w:after="0"/>
              <w:rPr>
                <w:sz w:val="20"/>
                <w:szCs w:val="20"/>
                <w:color w:val="auto"/>
              </w:rPr>
            </w:pPr>
            <w:r>
              <w:rPr>
                <w:rFonts w:ascii="Arial" w:cs="Arial" w:eastAsia="Arial" w:hAnsi="Arial"/>
                <w:sz w:val="20"/>
                <w:szCs w:val="20"/>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(25,552)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(25,552)</w:t>
            </w:r>
          </w:p>
        </w:tc>
        <w:tc>
          <w:tcPr>
            <w:tcW w:w="0" w:type="dxa"/>
            <w:vAlign w:val="bottom"/>
          </w:tcPr>
          <w:p>
            <w:pPr>
              <w:spacing w:after="0"/>
              <w:rPr>
                <w:sz w:val="1"/>
                <w:szCs w:val="1"/>
                <w:color w:val="auto"/>
              </w:rPr>
            </w:pPr>
          </w:p>
        </w:tc>
      </w:tr>
      <w:tr>
        <w:trPr>
          <w:trHeight w:val="169"/>
        </w:trPr>
        <w:tc>
          <w:tcPr>
            <w:tcW w:w="172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9"/>
                <w:szCs w:val="19"/>
                <w:b w:val="1"/>
                <w:bCs w:val="1"/>
                <w:color w:val="auto"/>
              </w:rPr>
              <w:t>Balance,</w:t>
            </w: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lef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b w:val="1"/>
                <w:bCs w:val="1"/>
                <w:color w:val="auto"/>
              </w:rPr>
              <w:t>September 30,</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350</w:t>
            </w:r>
          </w:p>
        </w:tc>
        <w:tc>
          <w:tcPr>
            <w:tcW w:w="8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96"/>
              </w:rPr>
              <w:t>235,278</w:t>
            </w:r>
          </w:p>
        </w:tc>
        <w:tc>
          <w:tcPr>
            <w:tcW w:w="800" w:type="dxa"/>
            <w:vAlign w:val="bottom"/>
            <w:tcBorders>
              <w:left w:val="single" w:sz="8" w:color="auto"/>
            </w:tcBorders>
            <w:vMerge w:val="restart"/>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80" w:type="dxa"/>
            <w:vAlign w:val="bottom"/>
            <w:vMerge w:val="restart"/>
            <w:shd w:val="clear" w:color="auto" w:fill="CCEEFF"/>
          </w:tcPr>
          <w:p>
            <w:pPr>
              <w:spacing w:after="0"/>
              <w:rPr>
                <w:sz w:val="16"/>
                <w:szCs w:val="16"/>
                <w:color w:val="auto"/>
              </w:rPr>
            </w:pPr>
          </w:p>
        </w:tc>
        <w:tc>
          <w:tcPr>
            <w:tcW w:w="360" w:type="dxa"/>
            <w:vAlign w:val="bottom"/>
            <w:vMerge w:val="restart"/>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540" w:type="dxa"/>
            <w:vAlign w:val="bottom"/>
            <w:vMerge w:val="restart"/>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80" w:type="dxa"/>
            <w:vAlign w:val="bottom"/>
            <w:vMerge w:val="restart"/>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134,869</w:t>
            </w:r>
          </w:p>
        </w:tc>
        <w:tc>
          <w:tcPr>
            <w:tcW w:w="8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72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135</w:t>
            </w:r>
          </w:p>
        </w:tc>
        <w:tc>
          <w:tcPr>
            <w:tcW w:w="8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251,330</w:t>
            </w:r>
          </w:p>
        </w:tc>
        <w:tc>
          <w:tcPr>
            <w:tcW w:w="8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900" w:type="dxa"/>
            <w:vAlign w:val="bottom"/>
            <w:gridSpan w:val="3"/>
            <w:vMerge w:val="restart"/>
            <w:shd w:val="clear" w:color="auto" w:fill="CCEEFF"/>
          </w:tcPr>
          <w:p>
            <w:pPr>
              <w:jc w:val="right"/>
              <w:spacing w:after="0"/>
              <w:rPr>
                <w:sz w:val="20"/>
                <w:szCs w:val="20"/>
                <w:color w:val="auto"/>
              </w:rPr>
            </w:pPr>
            <w:r>
              <w:rPr>
                <w:rFonts w:ascii="Arial" w:cs="Arial" w:eastAsia="Arial" w:hAnsi="Arial"/>
                <w:sz w:val="20"/>
                <w:szCs w:val="20"/>
                <w:color w:val="auto"/>
                <w:w w:val="98"/>
              </w:rPr>
              <w:t>(244,181)</w:t>
            </w:r>
          </w:p>
        </w:tc>
        <w:tc>
          <w:tcPr>
            <w:tcW w:w="8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7,284</w:t>
            </w:r>
          </w:p>
        </w:tc>
        <w:tc>
          <w:tcPr>
            <w:tcW w:w="0" w:type="dxa"/>
            <w:vAlign w:val="bottom"/>
          </w:tcPr>
          <w:p>
            <w:pPr>
              <w:spacing w:after="0"/>
              <w:rPr>
                <w:sz w:val="1"/>
                <w:szCs w:val="1"/>
                <w:color w:val="auto"/>
              </w:rPr>
            </w:pPr>
          </w:p>
        </w:tc>
      </w:tr>
      <w:tr>
        <w:trPr>
          <w:trHeight w:val="236"/>
        </w:trPr>
        <w:tc>
          <w:tcPr>
            <w:tcW w:w="172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20"/>
                <w:szCs w:val="20"/>
                <w:b w:val="1"/>
                <w:bCs w:val="1"/>
                <w:color w:val="auto"/>
              </w:rPr>
              <w:t>2021</w:t>
            </w: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left w:val="single" w:sz="8" w:color="auto"/>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gridSpan w:val="2"/>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gridSpan w:val="3"/>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4800" w:type="dxa"/>
            <w:vAlign w:val="bottom"/>
            <w:gridSpan w:val="8"/>
          </w:tcPr>
          <w:p>
            <w:pPr>
              <w:spacing w:after="0"/>
              <w:rPr>
                <w:sz w:val="20"/>
                <w:szCs w:val="20"/>
                <w:color w:val="auto"/>
              </w:rPr>
            </w:pPr>
            <w:r>
              <w:rPr>
                <w:rFonts w:ascii="Arial" w:cs="Arial" w:eastAsia="Arial" w:hAnsi="Arial"/>
                <w:sz w:val="20"/>
                <w:szCs w:val="20"/>
                <w:b w:val="1"/>
                <w:bCs w:val="1"/>
                <w:i w:val="1"/>
                <w:iCs w:val="1"/>
                <w:color w:val="auto"/>
              </w:rPr>
              <w:t>For the Three Months Ended September 30, 2020</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72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5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20"/>
                <w:szCs w:val="20"/>
                <w:b w:val="1"/>
                <w:bCs w:val="1"/>
                <w:color w:val="auto"/>
              </w:rPr>
              <w:t>Units (*)</w:t>
            </w:r>
          </w:p>
        </w:tc>
        <w:tc>
          <w:tcPr>
            <w:tcW w:w="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28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20"/>
                <w:szCs w:val="20"/>
                <w:b w:val="1"/>
                <w:bCs w:val="1"/>
                <w:color w:val="auto"/>
              </w:rPr>
              <w:t>Total Members’ Equity</w:t>
            </w:r>
          </w:p>
        </w:tc>
        <w:tc>
          <w:tcPr>
            <w:tcW w:w="0" w:type="dxa"/>
            <w:vAlign w:val="bottom"/>
          </w:tcPr>
          <w:p>
            <w:pPr>
              <w:spacing w:after="0"/>
              <w:rPr>
                <w:sz w:val="1"/>
                <w:szCs w:val="1"/>
                <w:color w:val="auto"/>
              </w:rPr>
            </w:pPr>
          </w:p>
        </w:tc>
      </w:tr>
      <w:tr>
        <w:trPr>
          <w:trHeight w:val="237"/>
        </w:trPr>
        <w:tc>
          <w:tcPr>
            <w:tcW w:w="2600" w:type="dxa"/>
            <w:vAlign w:val="bottom"/>
            <w:gridSpan w:val="3"/>
            <w:shd w:val="clear" w:color="auto" w:fill="CCEEFF"/>
          </w:tcPr>
          <w:p>
            <w:pPr>
              <w:ind w:left="20"/>
              <w:spacing w:after="0"/>
              <w:rPr>
                <w:sz w:val="20"/>
                <w:szCs w:val="20"/>
                <w:color w:val="auto"/>
              </w:rPr>
            </w:pPr>
            <w:r>
              <w:rPr>
                <w:rFonts w:ascii="Arial" w:cs="Arial" w:eastAsia="Arial" w:hAnsi="Arial"/>
                <w:sz w:val="20"/>
                <w:szCs w:val="20"/>
                <w:b w:val="1"/>
                <w:bCs w:val="1"/>
                <w:color w:val="auto"/>
              </w:rPr>
              <w:t>Balance, June 30, 2020</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900" w:type="dxa"/>
            <w:vAlign w:val="bottom"/>
            <w:gridSpan w:val="3"/>
            <w:shd w:val="clear" w:color="auto" w:fill="CCEEFF"/>
          </w:tcPr>
          <w:p>
            <w:pPr>
              <w:jc w:val="right"/>
              <w:ind w:right="54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383,639</w:t>
            </w:r>
          </w:p>
        </w:tc>
        <w:tc>
          <w:tcPr>
            <w:tcW w:w="0" w:type="dxa"/>
            <w:vAlign w:val="bottom"/>
          </w:tcPr>
          <w:p>
            <w:pPr>
              <w:spacing w:after="0"/>
              <w:rPr>
                <w:sz w:val="1"/>
                <w:szCs w:val="1"/>
                <w:color w:val="auto"/>
              </w:rPr>
            </w:pPr>
          </w:p>
        </w:tc>
      </w:tr>
      <w:tr>
        <w:trPr>
          <w:trHeight w:val="243"/>
        </w:trPr>
        <w:tc>
          <w:tcPr>
            <w:tcW w:w="2600" w:type="dxa"/>
            <w:vAlign w:val="bottom"/>
            <w:gridSpan w:val="3"/>
          </w:tcPr>
          <w:p>
            <w:pPr>
              <w:ind w:left="20"/>
              <w:spacing w:after="0"/>
              <w:rPr>
                <w:sz w:val="20"/>
                <w:szCs w:val="20"/>
                <w:color w:val="auto"/>
              </w:rPr>
            </w:pPr>
            <w:r>
              <w:rPr>
                <w:rFonts w:ascii="Arial" w:cs="Arial" w:eastAsia="Arial" w:hAnsi="Arial"/>
                <w:sz w:val="20"/>
                <w:szCs w:val="20"/>
                <w:color w:val="auto"/>
              </w:rPr>
              <w:t>Equity-based compensation</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853</w:t>
            </w:r>
          </w:p>
        </w:tc>
        <w:tc>
          <w:tcPr>
            <w:tcW w:w="0" w:type="dxa"/>
            <w:vAlign w:val="bottom"/>
          </w:tcPr>
          <w:p>
            <w:pPr>
              <w:spacing w:after="0"/>
              <w:rPr>
                <w:sz w:val="1"/>
                <w:szCs w:val="1"/>
                <w:color w:val="auto"/>
              </w:rPr>
            </w:pPr>
          </w:p>
        </w:tc>
      </w:tr>
      <w:tr>
        <w:trPr>
          <w:trHeight w:val="243"/>
        </w:trPr>
        <w:tc>
          <w:tcPr>
            <w:tcW w:w="1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loss</w:t>
            </w: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0" w:type="dxa"/>
            <w:vAlign w:val="bottom"/>
            <w:tcBorders>
              <w:lef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(7,232)</w:t>
            </w:r>
          </w:p>
        </w:tc>
        <w:tc>
          <w:tcPr>
            <w:tcW w:w="0" w:type="dxa"/>
            <w:vAlign w:val="bottom"/>
          </w:tcPr>
          <w:p>
            <w:pPr>
              <w:spacing w:after="0"/>
              <w:rPr>
                <w:sz w:val="1"/>
                <w:szCs w:val="1"/>
                <w:color w:val="auto"/>
              </w:rPr>
            </w:pPr>
          </w:p>
        </w:tc>
      </w:tr>
      <w:tr>
        <w:trPr>
          <w:trHeight w:val="237"/>
        </w:trPr>
        <w:tc>
          <w:tcPr>
            <w:tcW w:w="2760" w:type="dxa"/>
            <w:vAlign w:val="bottom"/>
            <w:gridSpan w:val="4"/>
          </w:tcPr>
          <w:p>
            <w:pPr>
              <w:ind w:left="20"/>
              <w:spacing w:after="0"/>
              <w:rPr>
                <w:sz w:val="20"/>
                <w:szCs w:val="20"/>
                <w:color w:val="auto"/>
              </w:rPr>
            </w:pPr>
            <w:r>
              <w:rPr>
                <w:rFonts w:ascii="Arial" w:cs="Arial" w:eastAsia="Arial" w:hAnsi="Arial"/>
                <w:sz w:val="20"/>
                <w:szCs w:val="20"/>
                <w:b w:val="1"/>
                <w:bCs w:val="1"/>
                <w:color w:val="auto"/>
                <w:w w:val="99"/>
              </w:rPr>
              <w:t>Balance, September 30, 2020</w:t>
            </w: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1</w:t>
            </w:r>
          </w:p>
        </w:tc>
        <w:tc>
          <w:tcPr>
            <w:tcW w:w="900" w:type="dxa"/>
            <w:vAlign w:val="bottom"/>
            <w:gridSpan w:val="3"/>
          </w:tcPr>
          <w:p>
            <w:pPr>
              <w:jc w:val="right"/>
              <w:ind w:right="541"/>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377,260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4"/>
          <w:szCs w:val="24"/>
          <w:b w:val="1"/>
          <w:bCs w:val="1"/>
          <w:color w:val="auto"/>
          <w:vertAlign w:val="superscript"/>
        </w:rPr>
      </w:pPr>
      <w:r>
        <w:rPr>
          <w:rFonts w:ascii="Arial" w:cs="Arial" w:eastAsia="Arial" w:hAnsi="Arial"/>
          <w:sz w:val="18"/>
          <w:szCs w:val="18"/>
          <w:color w:val="auto"/>
        </w:rPr>
        <w:t>See note 2 - Summary of Significant Accounting Policies - corporate conversion and stock split.</w:t>
      </w:r>
    </w:p>
    <w:p>
      <w:pPr>
        <w:spacing w:after="0" w:line="200" w:lineRule="exact"/>
        <w:rPr>
          <w:rFonts w:ascii="Arial" w:cs="Arial" w:eastAsia="Arial" w:hAnsi="Arial"/>
          <w:sz w:val="24"/>
          <w:szCs w:val="24"/>
          <w:b w:val="1"/>
          <w:bCs w:val="1"/>
          <w:color w:val="auto"/>
          <w:vertAlign w:val="superscript"/>
        </w:rPr>
      </w:pPr>
    </w:p>
    <w:p>
      <w:pPr>
        <w:spacing w:after="0" w:line="200" w:lineRule="exact"/>
        <w:rPr>
          <w:rFonts w:ascii="Arial" w:cs="Arial" w:eastAsia="Arial" w:hAnsi="Arial"/>
          <w:sz w:val="24"/>
          <w:szCs w:val="24"/>
          <w:b w:val="1"/>
          <w:bCs w:val="1"/>
          <w:color w:val="auto"/>
          <w:vertAlign w:val="superscript"/>
        </w:rPr>
      </w:pPr>
    </w:p>
    <w:p>
      <w:pPr>
        <w:spacing w:after="0" w:line="318" w:lineRule="exact"/>
        <w:rPr>
          <w:rFonts w:ascii="Arial" w:cs="Arial" w:eastAsia="Arial" w:hAnsi="Arial"/>
          <w:sz w:val="24"/>
          <w:szCs w:val="24"/>
          <w:b w:val="1"/>
          <w:bCs w:val="1"/>
          <w:color w:val="auto"/>
          <w:vertAlign w:val="superscript"/>
        </w:rPr>
      </w:pPr>
    </w:p>
    <w:p>
      <w:pPr>
        <w:ind w:left="5560"/>
        <w:spacing w:after="0"/>
        <w:rPr>
          <w:rFonts w:ascii="Arial" w:cs="Arial" w:eastAsia="Arial" w:hAnsi="Arial"/>
          <w:sz w:val="24"/>
          <w:szCs w:val="24"/>
          <w:b w:val="1"/>
          <w:bCs w:val="1"/>
          <w:color w:val="auto"/>
          <w:vertAlign w:val="superscript"/>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60"/>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10"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Condensed Consolidated Statements of Changes in Member’s Equity/Redeemable Perpetual Preferred Stock and</w:t>
      </w:r>
    </w:p>
    <w:p>
      <w:pPr>
        <w:jc w:val="center"/>
        <w:spacing w:after="0" w:line="225" w:lineRule="auto"/>
        <w:rPr>
          <w:sz w:val="20"/>
          <w:szCs w:val="20"/>
          <w:color w:val="auto"/>
        </w:rPr>
      </w:pPr>
      <w:r>
        <w:rPr>
          <w:rFonts w:ascii="Arial" w:cs="Arial" w:eastAsia="Arial" w:hAnsi="Arial"/>
          <w:sz w:val="20"/>
          <w:szCs w:val="20"/>
          <w:b w:val="1"/>
          <w:bCs w:val="1"/>
          <w:color w:val="auto"/>
        </w:rPr>
        <w:t>Stockholders’ Equity/(Deficit) (continued)</w:t>
      </w:r>
    </w:p>
    <w:tbl>
      <w:tblPr>
        <w:tblLayout w:type="fixed"/>
        <w:tblInd w:w="0" w:type="dxa"/>
        <w:tblCellMar>
          <w:top w:w="0" w:type="dxa"/>
          <w:left w:w="0" w:type="dxa"/>
          <w:bottom w:w="0" w:type="dxa"/>
          <w:right w:w="0" w:type="dxa"/>
        </w:tblCellMar>
      </w:tblPr>
      <w:tr>
        <w:trPr>
          <w:trHeight w:val="196"/>
        </w:trPr>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4"/>
          </w:tcPr>
          <w:p>
            <w:pPr>
              <w:ind w:left="320"/>
              <w:spacing w:after="0" w:line="196" w:lineRule="exact"/>
              <w:rPr>
                <w:sz w:val="20"/>
                <w:szCs w:val="20"/>
                <w:color w:val="auto"/>
              </w:rPr>
            </w:pPr>
            <w:r>
              <w:rPr>
                <w:rFonts w:ascii="Arial" w:cs="Arial" w:eastAsia="Arial" w:hAnsi="Arial"/>
                <w:sz w:val="20"/>
                <w:szCs w:val="20"/>
                <w:b w:val="1"/>
                <w:bCs w:val="1"/>
                <w:i w:val="1"/>
                <w:iCs w:val="1"/>
                <w:color w:val="auto"/>
              </w:rPr>
              <w:t>(unaudited)</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20" w:type="dxa"/>
            <w:vAlign w:val="bottom"/>
            <w:gridSpan w:val="4"/>
          </w:tcPr>
          <w:p>
            <w:pPr>
              <w:ind w:left="240"/>
              <w:spacing w:after="0"/>
              <w:rPr>
                <w:sz w:val="20"/>
                <w:szCs w:val="20"/>
                <w:color w:val="auto"/>
              </w:rPr>
            </w:pPr>
            <w:r>
              <w:rPr>
                <w:rFonts w:ascii="Arial" w:cs="Arial" w:eastAsia="Arial" w:hAnsi="Arial"/>
                <w:sz w:val="20"/>
                <w:szCs w:val="20"/>
                <w:i w:val="1"/>
                <w:iCs w:val="1"/>
                <w:color w:val="auto"/>
                <w:w w:val="99"/>
              </w:rPr>
              <w:t>(in thousands)</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5"/>
        </w:trPr>
        <w:tc>
          <w:tcPr>
            <w:tcW w:w="4760" w:type="dxa"/>
            <w:vAlign w:val="bottom"/>
            <w:gridSpan w:val="8"/>
          </w:tcPr>
          <w:p>
            <w:pPr>
              <w:spacing w:after="0"/>
              <w:rPr>
                <w:sz w:val="20"/>
                <w:szCs w:val="20"/>
                <w:color w:val="auto"/>
              </w:rPr>
            </w:pPr>
            <w:r>
              <w:rPr>
                <w:rFonts w:ascii="Arial" w:cs="Arial" w:eastAsia="Arial" w:hAnsi="Arial"/>
                <w:sz w:val="20"/>
                <w:szCs w:val="20"/>
                <w:b w:val="1"/>
                <w:bCs w:val="1"/>
                <w:i w:val="1"/>
                <w:iCs w:val="1"/>
                <w:color w:val="auto"/>
              </w:rPr>
              <w:t>For the Nine Months Ended September 30, 2021</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660" w:type="dxa"/>
            <w:vAlign w:val="bottom"/>
          </w:tcPr>
          <w:p>
            <w:pPr>
              <w:spacing w:after="0"/>
              <w:rPr>
                <w:sz w:val="2"/>
                <w:szCs w:val="2"/>
                <w:color w:val="auto"/>
              </w:rPr>
            </w:pPr>
          </w:p>
        </w:tc>
        <w:tc>
          <w:tcPr>
            <w:tcW w:w="1840" w:type="dxa"/>
            <w:vAlign w:val="bottom"/>
            <w:gridSpan w:val="4"/>
            <w:vMerge w:val="restart"/>
          </w:tcPr>
          <w:p>
            <w:pPr>
              <w:jc w:val="center"/>
              <w:spacing w:after="0"/>
              <w:rPr>
                <w:sz w:val="20"/>
                <w:szCs w:val="20"/>
                <w:color w:val="auto"/>
              </w:rPr>
            </w:pPr>
            <w:r>
              <w:rPr>
                <w:rFonts w:ascii="Arial" w:cs="Arial" w:eastAsia="Arial" w:hAnsi="Arial"/>
                <w:sz w:val="20"/>
                <w:szCs w:val="20"/>
                <w:b w:val="1"/>
                <w:bCs w:val="1"/>
                <w:color w:val="auto"/>
                <w:w w:val="97"/>
              </w:rPr>
              <w:t>Temporary Equity</w:t>
            </w: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gridSpan w:val="5"/>
            <w:vMerge w:val="restart"/>
          </w:tcPr>
          <w:p>
            <w:pPr>
              <w:ind w:left="60"/>
              <w:spacing w:after="0"/>
              <w:rPr>
                <w:sz w:val="20"/>
                <w:szCs w:val="20"/>
                <w:color w:val="auto"/>
              </w:rPr>
            </w:pPr>
            <w:r>
              <w:rPr>
                <w:rFonts w:ascii="Arial" w:cs="Arial" w:eastAsia="Arial" w:hAnsi="Arial"/>
                <w:sz w:val="20"/>
                <w:szCs w:val="20"/>
                <w:b w:val="1"/>
                <w:bCs w:val="1"/>
                <w:color w:val="auto"/>
              </w:rPr>
              <w:t>Permanent Equity</w:t>
            </w: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660" w:type="dxa"/>
            <w:vAlign w:val="bottom"/>
          </w:tcPr>
          <w:p>
            <w:pPr>
              <w:spacing w:after="0"/>
              <w:rPr>
                <w:sz w:val="21"/>
                <w:szCs w:val="21"/>
                <w:color w:val="auto"/>
              </w:rPr>
            </w:pPr>
          </w:p>
        </w:tc>
        <w:tc>
          <w:tcPr>
            <w:tcW w:w="1840" w:type="dxa"/>
            <w:vAlign w:val="bottom"/>
            <w:tcBorders>
              <w:bottom w:val="single" w:sz="8" w:color="auto"/>
            </w:tcBorders>
            <w:gridSpan w:val="4"/>
            <w:vMerge w:val="continue"/>
          </w:tcPr>
          <w:p>
            <w:pPr>
              <w:spacing w:after="0"/>
              <w:rPr>
                <w:sz w:val="21"/>
                <w:szCs w:val="21"/>
                <w:color w:val="auto"/>
              </w:rPr>
            </w:pPr>
          </w:p>
        </w:tc>
        <w:tc>
          <w:tcPr>
            <w:tcW w:w="80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5"/>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660" w:type="dxa"/>
            <w:vAlign w:val="bottom"/>
          </w:tcPr>
          <w:p>
            <w:pPr>
              <w:spacing w:after="0"/>
              <w:rPr>
                <w:sz w:val="15"/>
                <w:szCs w:val="15"/>
                <w:color w:val="auto"/>
              </w:rPr>
            </w:pPr>
          </w:p>
        </w:tc>
        <w:tc>
          <w:tcPr>
            <w:tcW w:w="1840" w:type="dxa"/>
            <w:vAlign w:val="bottom"/>
            <w:gridSpan w:val="4"/>
          </w:tcPr>
          <w:p>
            <w:pPr>
              <w:jc w:val="center"/>
              <w:spacing w:after="0" w:line="183" w:lineRule="exact"/>
              <w:rPr>
                <w:sz w:val="20"/>
                <w:szCs w:val="20"/>
                <w:color w:val="auto"/>
              </w:rPr>
            </w:pPr>
            <w:r>
              <w:rPr>
                <w:rFonts w:ascii="Arial" w:cs="Arial" w:eastAsia="Arial" w:hAnsi="Arial"/>
                <w:sz w:val="20"/>
                <w:szCs w:val="20"/>
                <w:b w:val="1"/>
                <w:bCs w:val="1"/>
                <w:color w:val="auto"/>
                <w:w w:val="97"/>
              </w:rPr>
              <w:t>Series A</w:t>
            </w:r>
          </w:p>
        </w:tc>
        <w:tc>
          <w:tcPr>
            <w:tcW w:w="80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840" w:type="dxa"/>
            <w:vAlign w:val="bottom"/>
            <w:gridSpan w:val="4"/>
          </w:tcPr>
          <w:p>
            <w:pPr>
              <w:jc w:val="center"/>
              <w:spacing w:after="0" w:line="189" w:lineRule="exact"/>
              <w:rPr>
                <w:sz w:val="20"/>
                <w:szCs w:val="20"/>
                <w:color w:val="auto"/>
              </w:rPr>
            </w:pPr>
            <w:r>
              <w:rPr>
                <w:rFonts w:ascii="Arial" w:cs="Arial" w:eastAsia="Arial" w:hAnsi="Arial"/>
                <w:sz w:val="20"/>
                <w:szCs w:val="20"/>
                <w:b w:val="1"/>
                <w:bCs w:val="1"/>
                <w:color w:val="auto"/>
                <w:w w:val="98"/>
              </w:rPr>
              <w:t>Redeemable</w:t>
            </w:r>
          </w:p>
        </w:tc>
        <w:tc>
          <w:tcPr>
            <w:tcW w:w="80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840" w:type="dxa"/>
            <w:vAlign w:val="bottom"/>
            <w:gridSpan w:val="4"/>
          </w:tcPr>
          <w:p>
            <w:pPr>
              <w:jc w:val="center"/>
              <w:spacing w:after="0" w:line="189" w:lineRule="exact"/>
              <w:rPr>
                <w:sz w:val="20"/>
                <w:szCs w:val="20"/>
                <w:color w:val="auto"/>
              </w:rPr>
            </w:pPr>
            <w:r>
              <w:rPr>
                <w:rFonts w:ascii="Arial" w:cs="Arial" w:eastAsia="Arial" w:hAnsi="Arial"/>
                <w:sz w:val="20"/>
                <w:szCs w:val="20"/>
                <w:b w:val="1"/>
                <w:bCs w:val="1"/>
                <w:color w:val="auto"/>
                <w:w w:val="98"/>
              </w:rPr>
              <w:t>Perpetual</w:t>
            </w:r>
          </w:p>
        </w:tc>
        <w:tc>
          <w:tcPr>
            <w:tcW w:w="1860" w:type="dxa"/>
            <w:vAlign w:val="bottom"/>
            <w:tcBorders>
              <w:left w:val="single" w:sz="8" w:color="auto"/>
            </w:tcBorders>
            <w:gridSpan w:val="5"/>
            <w:vMerge w:val="restart"/>
          </w:tcPr>
          <w:p>
            <w:pPr>
              <w:ind w:left="160"/>
              <w:spacing w:after="0"/>
              <w:rPr>
                <w:sz w:val="20"/>
                <w:szCs w:val="20"/>
                <w:color w:val="auto"/>
              </w:rPr>
            </w:pPr>
            <w:r>
              <w:rPr>
                <w:rFonts w:ascii="Arial" w:cs="Arial" w:eastAsia="Arial" w:hAnsi="Arial"/>
                <w:sz w:val="20"/>
                <w:szCs w:val="20"/>
                <w:b w:val="1"/>
                <w:bCs w:val="1"/>
                <w:color w:val="auto"/>
              </w:rPr>
              <w:t>Preferred Stock</w:t>
            </w:r>
          </w:p>
        </w:tc>
        <w:tc>
          <w:tcPr>
            <w:tcW w:w="1880" w:type="dxa"/>
            <w:vAlign w:val="bottom"/>
            <w:gridSpan w:val="5"/>
            <w:vMerge w:val="restart"/>
          </w:tcPr>
          <w:p>
            <w:pPr>
              <w:ind w:left="180"/>
              <w:spacing w:after="0"/>
              <w:rPr>
                <w:sz w:val="20"/>
                <w:szCs w:val="20"/>
                <w:color w:val="auto"/>
              </w:rPr>
            </w:pPr>
            <w:r>
              <w:rPr>
                <w:rFonts w:ascii="Arial" w:cs="Arial" w:eastAsia="Arial" w:hAnsi="Arial"/>
                <w:sz w:val="20"/>
                <w:szCs w:val="20"/>
                <w:b w:val="1"/>
                <w:bCs w:val="1"/>
                <w:color w:val="auto"/>
              </w:rPr>
              <w:t>Common Stock</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660" w:type="dxa"/>
            <w:vAlign w:val="bottom"/>
          </w:tcPr>
          <w:p>
            <w:pPr>
              <w:spacing w:after="0"/>
              <w:rPr>
                <w:sz w:val="22"/>
                <w:szCs w:val="22"/>
                <w:color w:val="auto"/>
              </w:rPr>
            </w:pPr>
          </w:p>
        </w:tc>
        <w:tc>
          <w:tcPr>
            <w:tcW w:w="1840" w:type="dxa"/>
            <w:vAlign w:val="bottom"/>
            <w:gridSpan w:val="4"/>
          </w:tcPr>
          <w:p>
            <w:pPr>
              <w:jc w:val="center"/>
              <w:spacing w:after="0"/>
              <w:rPr>
                <w:sz w:val="20"/>
                <w:szCs w:val="20"/>
                <w:color w:val="auto"/>
              </w:rPr>
            </w:pPr>
            <w:r>
              <w:rPr>
                <w:rFonts w:ascii="Arial" w:cs="Arial" w:eastAsia="Arial" w:hAnsi="Arial"/>
                <w:sz w:val="20"/>
                <w:szCs w:val="20"/>
                <w:b w:val="1"/>
                <w:bCs w:val="1"/>
                <w:color w:val="auto"/>
                <w:w w:val="99"/>
              </w:rPr>
              <w:t>Preferred Stock</w:t>
            </w:r>
          </w:p>
        </w:tc>
        <w:tc>
          <w:tcPr>
            <w:tcW w:w="1860" w:type="dxa"/>
            <w:vAlign w:val="bottom"/>
            <w:tcBorders>
              <w:left w:val="single" w:sz="8" w:color="auto"/>
            </w:tcBorders>
            <w:gridSpan w:val="5"/>
            <w:vMerge w:val="continue"/>
          </w:tcPr>
          <w:p>
            <w:pPr>
              <w:spacing w:after="0"/>
              <w:rPr>
                <w:sz w:val="22"/>
                <w:szCs w:val="22"/>
                <w:color w:val="auto"/>
              </w:rPr>
            </w:pPr>
          </w:p>
        </w:tc>
        <w:tc>
          <w:tcPr>
            <w:tcW w:w="1880" w:type="dxa"/>
            <w:vAlign w:val="bottom"/>
            <w:gridSpan w:val="5"/>
            <w:vMerge w:val="continue"/>
          </w:tcPr>
          <w:p>
            <w:pPr>
              <w:spacing w:after="0"/>
              <w:rPr>
                <w:sz w:val="22"/>
                <w:szCs w:val="22"/>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20"/>
                <w:szCs w:val="20"/>
                <w:b w:val="1"/>
                <w:bCs w:val="1"/>
                <w:color w:val="auto"/>
                <w:w w:val="98"/>
              </w:rPr>
              <w:t>Additional</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vMerge w:val="restart"/>
          </w:tcPr>
          <w:p>
            <w:pPr>
              <w:jc w:val="right"/>
              <w:ind w:right="38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171"/>
        </w:trPr>
        <w:tc>
          <w:tcPr>
            <w:tcW w:w="1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20"/>
                <w:szCs w:val="20"/>
                <w:b w:val="1"/>
                <w:bCs w:val="1"/>
                <w:color w:val="auto"/>
              </w:rPr>
              <w:t>Accumulated</w:t>
            </w:r>
          </w:p>
        </w:tc>
        <w:tc>
          <w:tcPr>
            <w:tcW w:w="3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20"/>
                <w:szCs w:val="20"/>
                <w:b w:val="1"/>
                <w:bCs w:val="1"/>
                <w:color w:val="auto"/>
              </w:rPr>
              <w:t>Shares</w:t>
            </w:r>
          </w:p>
        </w:tc>
        <w:tc>
          <w:tcPr>
            <w:tcW w:w="960" w:type="dxa"/>
            <w:vAlign w:val="bottom"/>
            <w:gridSpan w:val="2"/>
            <w:vMerge w:val="restart"/>
          </w:tcPr>
          <w:p>
            <w:pPr>
              <w:jc w:val="right"/>
              <w:ind w:right="1"/>
              <w:spacing w:after="0"/>
              <w:rPr>
                <w:sz w:val="20"/>
                <w:szCs w:val="20"/>
                <w:color w:val="auto"/>
              </w:rPr>
            </w:pPr>
            <w:r>
              <w:rPr>
                <w:rFonts w:ascii="Arial" w:cs="Arial" w:eastAsia="Arial" w:hAnsi="Arial"/>
                <w:sz w:val="20"/>
                <w:szCs w:val="20"/>
                <w:b w:val="1"/>
                <w:bCs w:val="1"/>
                <w:color w:val="auto"/>
              </w:rPr>
              <w:t>Amount</w:t>
            </w:r>
          </w:p>
        </w:tc>
        <w:tc>
          <w:tcPr>
            <w:tcW w:w="88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20"/>
                <w:szCs w:val="20"/>
                <w:b w:val="1"/>
                <w:bCs w:val="1"/>
                <w:color w:val="auto"/>
              </w:rPr>
              <w:t>Shares</w:t>
            </w:r>
          </w:p>
        </w:tc>
        <w:tc>
          <w:tcPr>
            <w:tcW w:w="980" w:type="dxa"/>
            <w:vAlign w:val="bottom"/>
            <w:gridSpan w:val="3"/>
            <w:vMerge w:val="restart"/>
          </w:tcPr>
          <w:p>
            <w:pPr>
              <w:ind w:left="80"/>
              <w:spacing w:after="0"/>
              <w:rPr>
                <w:sz w:val="20"/>
                <w:szCs w:val="20"/>
                <w:color w:val="auto"/>
              </w:rPr>
            </w:pPr>
            <w:r>
              <w:rPr>
                <w:rFonts w:ascii="Arial" w:cs="Arial" w:eastAsia="Arial" w:hAnsi="Arial"/>
                <w:sz w:val="20"/>
                <w:szCs w:val="20"/>
                <w:b w:val="1"/>
                <w:bCs w:val="1"/>
                <w:color w:val="auto"/>
              </w:rPr>
              <w:t>Amount</w:t>
            </w:r>
          </w:p>
        </w:tc>
        <w:tc>
          <w:tcPr>
            <w:tcW w:w="920" w:type="dxa"/>
            <w:vAlign w:val="bottom"/>
            <w:gridSpan w:val="2"/>
            <w:vMerge w:val="restart"/>
          </w:tcPr>
          <w:p>
            <w:pPr>
              <w:ind w:left="80"/>
              <w:spacing w:after="0"/>
              <w:rPr>
                <w:sz w:val="20"/>
                <w:szCs w:val="20"/>
                <w:color w:val="auto"/>
              </w:rPr>
            </w:pPr>
            <w:r>
              <w:rPr>
                <w:rFonts w:ascii="Arial" w:cs="Arial" w:eastAsia="Arial" w:hAnsi="Arial"/>
                <w:sz w:val="20"/>
                <w:szCs w:val="20"/>
                <w:b w:val="1"/>
                <w:bCs w:val="1"/>
                <w:color w:val="auto"/>
              </w:rPr>
              <w:t>Shares</w:t>
            </w:r>
          </w:p>
        </w:tc>
        <w:tc>
          <w:tcPr>
            <w:tcW w:w="960" w:type="dxa"/>
            <w:vAlign w:val="bottom"/>
            <w:gridSpan w:val="3"/>
            <w:vMerge w:val="restart"/>
          </w:tcPr>
          <w:p>
            <w:pPr>
              <w:ind w:left="80"/>
              <w:spacing w:after="0"/>
              <w:rPr>
                <w:sz w:val="20"/>
                <w:szCs w:val="20"/>
                <w:color w:val="auto"/>
              </w:rPr>
            </w:pPr>
            <w:r>
              <w:rPr>
                <w:rFonts w:ascii="Arial" w:cs="Arial" w:eastAsia="Arial" w:hAnsi="Arial"/>
                <w:sz w:val="20"/>
                <w:szCs w:val="20"/>
                <w:b w:val="1"/>
                <w:bCs w:val="1"/>
                <w:color w:val="auto"/>
              </w:rPr>
              <w:t>Amount</w:t>
            </w:r>
          </w:p>
        </w:tc>
        <w:tc>
          <w:tcPr>
            <w:tcW w:w="180" w:type="dxa"/>
            <w:vAlign w:val="bottom"/>
          </w:tcPr>
          <w:p>
            <w:pPr>
              <w:spacing w:after="0"/>
              <w:rPr>
                <w:sz w:val="16"/>
                <w:szCs w:val="16"/>
                <w:color w:val="auto"/>
              </w:rPr>
            </w:pPr>
          </w:p>
        </w:tc>
        <w:tc>
          <w:tcPr>
            <w:tcW w:w="1020" w:type="dxa"/>
            <w:vAlign w:val="bottom"/>
            <w:gridSpan w:val="2"/>
          </w:tcPr>
          <w:p>
            <w:pPr>
              <w:jc w:val="center"/>
              <w:ind w:right="260"/>
              <w:spacing w:after="0" w:line="189" w:lineRule="exact"/>
              <w:rPr>
                <w:sz w:val="20"/>
                <w:szCs w:val="20"/>
                <w:color w:val="auto"/>
              </w:rPr>
            </w:pPr>
            <w:r>
              <w:rPr>
                <w:rFonts w:ascii="Arial" w:cs="Arial" w:eastAsia="Arial" w:hAnsi="Arial"/>
                <w:sz w:val="20"/>
                <w:szCs w:val="20"/>
                <w:b w:val="1"/>
                <w:bCs w:val="1"/>
                <w:color w:val="auto"/>
                <w:w w:val="97"/>
              </w:rPr>
              <w:t>paid-in</w:t>
            </w:r>
          </w:p>
        </w:tc>
        <w:tc>
          <w:tcPr>
            <w:tcW w:w="1360" w:type="dxa"/>
            <w:vAlign w:val="bottom"/>
            <w:gridSpan w:val="3"/>
            <w:vMerge w:val="continue"/>
          </w:tcPr>
          <w:p>
            <w:pPr>
              <w:spacing w:after="0"/>
              <w:rPr>
                <w:sz w:val="16"/>
                <w:szCs w:val="16"/>
                <w:color w:val="auto"/>
              </w:rPr>
            </w:pPr>
          </w:p>
        </w:tc>
        <w:tc>
          <w:tcPr>
            <w:tcW w:w="1440" w:type="dxa"/>
            <w:vAlign w:val="bottom"/>
            <w:gridSpan w:val="2"/>
          </w:tcPr>
          <w:p>
            <w:pPr>
              <w:jc w:val="right"/>
              <w:spacing w:after="0" w:line="189" w:lineRule="exact"/>
              <w:rPr>
                <w:sz w:val="20"/>
                <w:szCs w:val="20"/>
                <w:color w:val="auto"/>
              </w:rPr>
            </w:pPr>
            <w:r>
              <w:rPr>
                <w:rFonts w:ascii="Arial" w:cs="Arial" w:eastAsia="Arial" w:hAnsi="Arial"/>
                <w:sz w:val="20"/>
                <w:szCs w:val="20"/>
                <w:b w:val="1"/>
                <w:bCs w:val="1"/>
                <w:color w:val="auto"/>
              </w:rPr>
              <w:t>Stockholders’</w:t>
            </w: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880" w:type="dxa"/>
            <w:vAlign w:val="bottom"/>
            <w:tcBorders>
              <w:left w:val="single" w:sz="8" w:color="auto"/>
            </w:tcBorders>
            <w:gridSpan w:val="2"/>
            <w:vMerge w:val="continue"/>
          </w:tcPr>
          <w:p>
            <w:pPr>
              <w:spacing w:after="0"/>
              <w:rPr>
                <w:sz w:val="21"/>
                <w:szCs w:val="21"/>
                <w:color w:val="auto"/>
              </w:rPr>
            </w:pPr>
          </w:p>
        </w:tc>
        <w:tc>
          <w:tcPr>
            <w:tcW w:w="980" w:type="dxa"/>
            <w:vAlign w:val="bottom"/>
            <w:gridSpan w:val="3"/>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960" w:type="dxa"/>
            <w:vAlign w:val="bottom"/>
            <w:gridSpan w:val="3"/>
            <w:vMerge w:val="continue"/>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97"/>
              </w:rPr>
              <w:t>capital</w:t>
            </w:r>
          </w:p>
        </w:tc>
        <w:tc>
          <w:tcPr>
            <w:tcW w:w="24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Arial" w:cs="Arial" w:eastAsia="Arial" w:hAnsi="Arial"/>
                <w:sz w:val="20"/>
                <w:szCs w:val="20"/>
                <w:b w:val="1"/>
                <w:bCs w:val="1"/>
                <w:color w:val="auto"/>
              </w:rPr>
              <w:t>deficit</w:t>
            </w:r>
          </w:p>
        </w:tc>
        <w:tc>
          <w:tcPr>
            <w:tcW w:w="1440" w:type="dxa"/>
            <w:vAlign w:val="bottom"/>
            <w:gridSpan w:val="2"/>
          </w:tcPr>
          <w:p>
            <w:pPr>
              <w:ind w:left="20"/>
              <w:spacing w:after="0"/>
              <w:rPr>
                <w:sz w:val="20"/>
                <w:szCs w:val="20"/>
                <w:color w:val="auto"/>
              </w:rPr>
            </w:pPr>
            <w:r>
              <w:rPr>
                <w:rFonts w:ascii="Arial" w:cs="Arial" w:eastAsia="Arial" w:hAnsi="Arial"/>
                <w:sz w:val="20"/>
                <w:szCs w:val="20"/>
                <w:b w:val="1"/>
                <w:bCs w:val="1"/>
                <w:color w:val="auto"/>
                <w:w w:val="99"/>
              </w:rPr>
              <w:t>Equity/(Deficit)</w:t>
            </w:r>
          </w:p>
        </w:tc>
        <w:tc>
          <w:tcPr>
            <w:tcW w:w="0" w:type="dxa"/>
            <w:vAlign w:val="bottom"/>
          </w:tcPr>
          <w:p>
            <w:pPr>
              <w:spacing w:after="0"/>
              <w:rPr>
                <w:sz w:val="1"/>
                <w:szCs w:val="1"/>
                <w:color w:val="auto"/>
              </w:rPr>
            </w:pPr>
          </w:p>
        </w:tc>
      </w:tr>
      <w:tr>
        <w:trPr>
          <w:trHeight w:val="169"/>
        </w:trPr>
        <w:tc>
          <w:tcPr>
            <w:tcW w:w="166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9"/>
                <w:szCs w:val="19"/>
                <w:b w:val="1"/>
                <w:bCs w:val="1"/>
                <w:color w:val="auto"/>
              </w:rPr>
              <w:t>Balance,</w:t>
            </w: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lef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b w:val="1"/>
                <w:bCs w:val="1"/>
                <w:color w:val="auto"/>
              </w:rPr>
              <w:t>December 31,</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left w:val="single" w:sz="8" w:color="auto"/>
            </w:tcBorders>
            <w:gridSpan w:val="2"/>
            <w:vMerge w:val="restart"/>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380" w:type="dxa"/>
            <w:vAlign w:val="bottom"/>
            <w:vMerge w:val="restart"/>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600" w:type="dxa"/>
            <w:vAlign w:val="bottom"/>
            <w:gridSpan w:val="2"/>
            <w:vMerge w:val="restart"/>
            <w:shd w:val="clear" w:color="auto" w:fill="CCEEFF"/>
          </w:tcPr>
          <w:p>
            <w:pPr>
              <w:ind w:left="240"/>
              <w:spacing w:after="0"/>
              <w:rPr>
                <w:sz w:val="20"/>
                <w:szCs w:val="20"/>
                <w:color w:val="auto"/>
              </w:rPr>
            </w:pPr>
            <w:r>
              <w:rPr>
                <w:rFonts w:ascii="Arial" w:cs="Arial" w:eastAsia="Arial" w:hAnsi="Arial"/>
                <w:sz w:val="20"/>
                <w:szCs w:val="20"/>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126,994</w:t>
            </w:r>
          </w:p>
        </w:tc>
        <w:tc>
          <w:tcPr>
            <w:tcW w:w="8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127</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140,473</w:t>
            </w:r>
          </w:p>
        </w:tc>
        <w:tc>
          <w:tcPr>
            <w:tcW w:w="8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(221,499)</w:t>
            </w:r>
          </w:p>
        </w:tc>
        <w:tc>
          <w:tcPr>
            <w:tcW w:w="8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(80,899)</w:t>
            </w: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2020</w:t>
            </w:r>
          </w:p>
        </w:tc>
        <w:tc>
          <w:tcPr>
            <w:tcW w:w="880" w:type="dxa"/>
            <w:vAlign w:val="bottom"/>
            <w:gridSpan w:val="2"/>
            <w:vMerge w:val="continue"/>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880" w:type="dxa"/>
            <w:vAlign w:val="bottom"/>
            <w:tcBorders>
              <w:left w:val="single" w:sz="8" w:color="auto"/>
            </w:tcBorders>
            <w:gridSpan w:val="2"/>
            <w:vMerge w:val="continue"/>
            <w:shd w:val="clear" w:color="auto" w:fill="CCEEFF"/>
          </w:tcPr>
          <w:p>
            <w:pPr>
              <w:spacing w:after="0"/>
              <w:rPr>
                <w:sz w:val="21"/>
                <w:szCs w:val="21"/>
                <w:color w:val="auto"/>
              </w:rPr>
            </w:pPr>
          </w:p>
        </w:tc>
        <w:tc>
          <w:tcPr>
            <w:tcW w:w="380" w:type="dxa"/>
            <w:vAlign w:val="bottom"/>
            <w:vMerge w:val="continue"/>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660" w:type="dxa"/>
            <w:vAlign w:val="bottom"/>
          </w:tcPr>
          <w:p>
            <w:pPr>
              <w:ind w:left="20"/>
              <w:spacing w:after="0" w:line="199" w:lineRule="exact"/>
              <w:rPr>
                <w:sz w:val="20"/>
                <w:szCs w:val="20"/>
                <w:color w:val="auto"/>
              </w:rPr>
            </w:pPr>
            <w:r>
              <w:rPr>
                <w:rFonts w:ascii="Arial" w:cs="Arial" w:eastAsia="Arial" w:hAnsi="Arial"/>
                <w:sz w:val="20"/>
                <w:szCs w:val="20"/>
                <w:color w:val="auto"/>
              </w:rPr>
              <w:t>Equity-based</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left w:val="single" w:sz="8" w:color="auto"/>
            </w:tcBorders>
            <w:gridSpan w:val="2"/>
            <w:vMerge w:val="restart"/>
          </w:tcPr>
          <w:p>
            <w:pPr>
              <w:ind w:left="52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7"/>
                <w:szCs w:val="17"/>
                <w:color w:val="auto"/>
              </w:rPr>
            </w:pPr>
          </w:p>
        </w:tc>
        <w:tc>
          <w:tcPr>
            <w:tcW w:w="600" w:type="dxa"/>
            <w:vAlign w:val="bottom"/>
            <w:gridSpan w:val="2"/>
            <w:vMerge w:val="restart"/>
          </w:tcPr>
          <w:p>
            <w:pPr>
              <w:ind w:left="240"/>
              <w:spacing w:after="0"/>
              <w:rPr>
                <w:sz w:val="20"/>
                <w:szCs w:val="20"/>
                <w:color w:val="auto"/>
              </w:rPr>
            </w:pPr>
            <w:r>
              <w:rPr>
                <w:rFonts w:ascii="Arial" w:cs="Arial" w:eastAsia="Arial" w:hAnsi="Arial"/>
                <w:sz w:val="20"/>
                <w:szCs w:val="20"/>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7"/>
                <w:szCs w:val="17"/>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11,580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restart"/>
          </w:tcPr>
          <w:p>
            <w:pPr>
              <w:ind w:left="76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11,580</w:t>
            </w:r>
          </w:p>
        </w:tc>
        <w:tc>
          <w:tcPr>
            <w:tcW w:w="0" w:type="dxa"/>
            <w:vAlign w:val="bottom"/>
          </w:tcPr>
          <w:p>
            <w:pPr>
              <w:spacing w:after="0"/>
              <w:rPr>
                <w:sz w:val="1"/>
                <w:szCs w:val="1"/>
                <w:color w:val="auto"/>
              </w:rPr>
            </w:pPr>
          </w:p>
        </w:tc>
      </w:tr>
      <w:tr>
        <w:trPr>
          <w:trHeight w:val="233"/>
        </w:trPr>
        <w:tc>
          <w:tcPr>
            <w:tcW w:w="1660" w:type="dxa"/>
            <w:vAlign w:val="bottom"/>
          </w:tcPr>
          <w:p>
            <w:pPr>
              <w:ind w:left="20"/>
              <w:spacing w:after="0"/>
              <w:rPr>
                <w:sz w:val="20"/>
                <w:szCs w:val="20"/>
                <w:color w:val="auto"/>
              </w:rPr>
            </w:pPr>
            <w:r>
              <w:rPr>
                <w:rFonts w:ascii="Arial" w:cs="Arial" w:eastAsia="Arial" w:hAnsi="Arial"/>
                <w:sz w:val="20"/>
                <w:szCs w:val="20"/>
                <w:color w:val="auto"/>
              </w:rPr>
              <w:t>compensation</w:t>
            </w:r>
          </w:p>
        </w:tc>
        <w:tc>
          <w:tcPr>
            <w:tcW w:w="8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880" w:type="dxa"/>
            <w:vAlign w:val="bottom"/>
            <w:tcBorders>
              <w:left w:val="single" w:sz="8" w:color="auto"/>
            </w:tcBorders>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66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Issuance of</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common stock,</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left w:val="single" w:sz="8" w:color="auto"/>
            </w:tcBorders>
            <w:gridSpan w:val="2"/>
            <w:vMerge w:val="restart"/>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16"/>
                <w:szCs w:val="16"/>
                <w:color w:val="auto"/>
              </w:rPr>
            </w:pPr>
          </w:p>
        </w:tc>
        <w:tc>
          <w:tcPr>
            <w:tcW w:w="600" w:type="dxa"/>
            <w:vAlign w:val="bottom"/>
            <w:gridSpan w:val="2"/>
            <w:vMerge w:val="restart"/>
            <w:shd w:val="clear" w:color="auto" w:fill="CCEEFF"/>
          </w:tcPr>
          <w:p>
            <w:pPr>
              <w:ind w:left="240"/>
              <w:spacing w:after="0"/>
              <w:rPr>
                <w:sz w:val="20"/>
                <w:szCs w:val="20"/>
                <w:color w:val="auto"/>
              </w:rPr>
            </w:pPr>
            <w:r>
              <w:rPr>
                <w:rFonts w:ascii="Arial" w:cs="Arial" w:eastAsia="Arial" w:hAnsi="Arial"/>
                <w:sz w:val="20"/>
                <w:szCs w:val="20"/>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7,875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104,756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ind w:left="760"/>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104,764</w:t>
            </w:r>
          </w:p>
        </w:tc>
        <w:tc>
          <w:tcPr>
            <w:tcW w:w="0" w:type="dxa"/>
            <w:vAlign w:val="bottom"/>
          </w:tcPr>
          <w:p>
            <w:pPr>
              <w:spacing w:after="0"/>
              <w:rPr>
                <w:sz w:val="1"/>
                <w:szCs w:val="1"/>
                <w:color w:val="auto"/>
              </w:rPr>
            </w:pPr>
          </w:p>
        </w:tc>
      </w:tr>
      <w:tr>
        <w:trPr>
          <w:trHeight w:val="233"/>
        </w:trPr>
        <w:tc>
          <w:tcPr>
            <w:tcW w:w="1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w:t>
            </w:r>
          </w:p>
        </w:tc>
        <w:tc>
          <w:tcPr>
            <w:tcW w:w="8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880" w:type="dxa"/>
            <w:vAlign w:val="bottom"/>
            <w:tcBorders>
              <w:left w:val="single" w:sz="8" w:color="auto"/>
            </w:tcBorders>
            <w:gridSpan w:val="2"/>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660" w:type="dxa"/>
            <w:vAlign w:val="bottom"/>
          </w:tcPr>
          <w:p>
            <w:pPr>
              <w:ind w:left="20"/>
              <w:spacing w:after="0" w:line="199" w:lineRule="exact"/>
              <w:rPr>
                <w:sz w:val="20"/>
                <w:szCs w:val="20"/>
                <w:color w:val="auto"/>
              </w:rPr>
            </w:pPr>
            <w:r>
              <w:rPr>
                <w:rFonts w:ascii="Arial" w:cs="Arial" w:eastAsia="Arial" w:hAnsi="Arial"/>
                <w:sz w:val="20"/>
                <w:szCs w:val="20"/>
                <w:color w:val="auto"/>
              </w:rPr>
              <w:t>Issuance of</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60" w:type="dxa"/>
            <w:vAlign w:val="bottom"/>
          </w:tcPr>
          <w:p>
            <w:pPr>
              <w:ind w:left="20"/>
              <w:spacing w:after="0" w:line="189" w:lineRule="exact"/>
              <w:rPr>
                <w:sz w:val="20"/>
                <w:szCs w:val="20"/>
                <w:color w:val="auto"/>
              </w:rPr>
            </w:pPr>
            <w:r>
              <w:rPr>
                <w:rFonts w:ascii="Arial" w:cs="Arial" w:eastAsia="Arial" w:hAnsi="Arial"/>
                <w:sz w:val="20"/>
                <w:szCs w:val="20"/>
                <w:color w:val="auto"/>
              </w:rPr>
              <w:t>Series 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tcPr>
          <w:p>
            <w:pPr>
              <w:ind w:left="20"/>
              <w:spacing w:after="0" w:line="189" w:lineRule="exact"/>
              <w:rPr>
                <w:sz w:val="20"/>
                <w:szCs w:val="20"/>
                <w:color w:val="auto"/>
              </w:rPr>
            </w:pPr>
            <w:r>
              <w:rPr>
                <w:rFonts w:ascii="Arial" w:cs="Arial" w:eastAsia="Arial" w:hAnsi="Arial"/>
                <w:sz w:val="20"/>
                <w:szCs w:val="20"/>
                <w:color w:val="auto"/>
              </w:rPr>
              <w:t>Preferred net of</w:t>
            </w: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350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w w:val="96"/>
              </w:rPr>
              <w:t>229,799</w:t>
            </w:r>
          </w:p>
        </w:tc>
        <w:tc>
          <w:tcPr>
            <w:tcW w:w="880" w:type="dxa"/>
            <w:vAlign w:val="bottom"/>
            <w:tcBorders>
              <w:left w:val="single" w:sz="8" w:color="auto"/>
            </w:tcBorders>
            <w:gridSpan w:val="2"/>
            <w:vMerge w:val="restart"/>
          </w:tcPr>
          <w:p>
            <w:pPr>
              <w:ind w:left="52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6"/>
                <w:szCs w:val="16"/>
                <w:color w:val="auto"/>
              </w:rPr>
            </w:pPr>
          </w:p>
        </w:tc>
        <w:tc>
          <w:tcPr>
            <w:tcW w:w="600" w:type="dxa"/>
            <w:vAlign w:val="bottom"/>
            <w:gridSpan w:val="2"/>
            <w:vMerge w:val="restart"/>
          </w:tcPr>
          <w:p>
            <w:pPr>
              <w:ind w:left="240"/>
              <w:spacing w:after="0"/>
              <w:rPr>
                <w:sz w:val="20"/>
                <w:szCs w:val="20"/>
                <w:color w:val="auto"/>
              </w:rPr>
            </w:pPr>
            <w:r>
              <w:rPr>
                <w:rFonts w:ascii="Arial" w:cs="Arial" w:eastAsia="Arial" w:hAnsi="Arial"/>
                <w:sz w:val="20"/>
                <w:szCs w:val="20"/>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6"/>
                <w:szCs w:val="16"/>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6"/>
                <w:szCs w:val="16"/>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6"/>
                <w:szCs w:val="16"/>
                <w:color w:val="auto"/>
              </w:rPr>
            </w:pPr>
          </w:p>
        </w:tc>
        <w:tc>
          <w:tcPr>
            <w:tcW w:w="1120" w:type="dxa"/>
            <w:vAlign w:val="bottom"/>
            <w:gridSpan w:val="2"/>
            <w:vMerge w:val="restart"/>
          </w:tcPr>
          <w:p>
            <w:pPr>
              <w:ind w:left="76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3"/>
        </w:trPr>
        <w:tc>
          <w:tcPr>
            <w:tcW w:w="1660" w:type="dxa"/>
            <w:vAlign w:val="bottom"/>
          </w:tcPr>
          <w:p>
            <w:pPr>
              <w:ind w:left="20"/>
              <w:spacing w:after="0"/>
              <w:rPr>
                <w:sz w:val="20"/>
                <w:szCs w:val="20"/>
                <w:color w:val="auto"/>
              </w:rPr>
            </w:pPr>
            <w:r>
              <w:rPr>
                <w:rFonts w:ascii="Arial" w:cs="Arial" w:eastAsia="Arial" w:hAnsi="Arial"/>
                <w:sz w:val="20"/>
                <w:szCs w:val="20"/>
                <w:color w:val="auto"/>
              </w:rPr>
              <w:t>fees</w:t>
            </w:r>
          </w:p>
        </w:tc>
        <w:tc>
          <w:tcPr>
            <w:tcW w:w="8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880" w:type="dxa"/>
            <w:vAlign w:val="bottom"/>
            <w:tcBorders>
              <w:left w:val="single" w:sz="8" w:color="auto"/>
            </w:tcBorders>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66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Preferred</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cumulative</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dividends plus</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5,479</w:t>
            </w:r>
          </w:p>
        </w:tc>
        <w:tc>
          <w:tcPr>
            <w:tcW w:w="880" w:type="dxa"/>
            <w:vAlign w:val="bottom"/>
            <w:tcBorders>
              <w:left w:val="single" w:sz="8" w:color="auto"/>
            </w:tcBorders>
            <w:gridSpan w:val="2"/>
            <w:vMerge w:val="restart"/>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16"/>
                <w:szCs w:val="16"/>
                <w:color w:val="auto"/>
              </w:rPr>
            </w:pPr>
          </w:p>
        </w:tc>
        <w:tc>
          <w:tcPr>
            <w:tcW w:w="600" w:type="dxa"/>
            <w:vAlign w:val="bottom"/>
            <w:gridSpan w:val="2"/>
            <w:vMerge w:val="restart"/>
            <w:shd w:val="clear" w:color="auto" w:fill="CCEEFF"/>
          </w:tcPr>
          <w:p>
            <w:pPr>
              <w:ind w:left="240"/>
              <w:spacing w:after="0"/>
              <w:rPr>
                <w:sz w:val="20"/>
                <w:szCs w:val="20"/>
                <w:color w:val="auto"/>
              </w:rPr>
            </w:pPr>
            <w:r>
              <w:rPr>
                <w:rFonts w:ascii="Arial" w:cs="Arial" w:eastAsia="Arial" w:hAnsi="Arial"/>
                <w:sz w:val="20"/>
                <w:szCs w:val="20"/>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(5,479)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ind w:left="760"/>
              <w:spacing w:after="0"/>
              <w:rPr>
                <w:sz w:val="20"/>
                <w:szCs w:val="20"/>
                <w:color w:val="auto"/>
              </w:rPr>
            </w:pPr>
            <w:r>
              <w:rPr>
                <w:rFonts w:ascii="Arial" w:cs="Arial" w:eastAsia="Arial" w:hAnsi="Arial"/>
                <w:sz w:val="20"/>
                <w:szCs w:val="20"/>
                <w:color w:val="auto"/>
              </w:rPr>
              <w:t>—</w:t>
            </w:r>
          </w:p>
        </w:tc>
        <w:tc>
          <w:tcPr>
            <w:tcW w:w="3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(5,479)</w:t>
            </w:r>
          </w:p>
        </w:tc>
        <w:tc>
          <w:tcPr>
            <w:tcW w:w="0" w:type="dxa"/>
            <w:vAlign w:val="bottom"/>
          </w:tcPr>
          <w:p>
            <w:pPr>
              <w:spacing w:after="0"/>
              <w:rPr>
                <w:sz w:val="1"/>
                <w:szCs w:val="1"/>
                <w:color w:val="auto"/>
              </w:rPr>
            </w:pPr>
          </w:p>
        </w:tc>
      </w:tr>
      <w:tr>
        <w:trPr>
          <w:trHeight w:val="233"/>
        </w:trPr>
        <w:tc>
          <w:tcPr>
            <w:tcW w:w="1660" w:type="dxa"/>
            <w:vAlign w:val="bottom"/>
            <w:shd w:val="clear" w:color="auto" w:fill="CCEEFF"/>
          </w:tcPr>
          <w:p>
            <w:pPr>
              <w:ind w:left="20"/>
              <w:spacing w:after="0"/>
              <w:rPr>
                <w:sz w:val="20"/>
                <w:szCs w:val="20"/>
                <w:color w:val="auto"/>
              </w:rPr>
            </w:pPr>
            <w:r>
              <w:rPr>
                <w:rFonts w:ascii="Arial" w:cs="Arial" w:eastAsia="Arial" w:hAnsi="Arial"/>
                <w:sz w:val="20"/>
                <w:szCs w:val="20"/>
                <w:color w:val="auto"/>
              </w:rPr>
              <w:t>accretion</w:t>
            </w:r>
          </w:p>
        </w:tc>
        <w:tc>
          <w:tcPr>
            <w:tcW w:w="8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880" w:type="dxa"/>
            <w:vAlign w:val="bottom"/>
            <w:tcBorders>
              <w:left w:val="single" w:sz="8" w:color="auto"/>
            </w:tcBorders>
            <w:gridSpan w:val="2"/>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60" w:type="dxa"/>
            <w:vAlign w:val="bottom"/>
          </w:tcPr>
          <w:p>
            <w:pPr>
              <w:ind w:left="20"/>
              <w:spacing w:after="0"/>
              <w:rPr>
                <w:sz w:val="20"/>
                <w:szCs w:val="20"/>
                <w:color w:val="auto"/>
              </w:rPr>
            </w:pPr>
            <w:r>
              <w:rPr>
                <w:rFonts w:ascii="Arial" w:cs="Arial" w:eastAsia="Arial" w:hAnsi="Arial"/>
                <w:sz w:val="20"/>
                <w:szCs w:val="20"/>
                <w:color w:val="auto"/>
              </w:rPr>
              <w:t>Net loss</w:t>
            </w:r>
          </w:p>
        </w:tc>
        <w:tc>
          <w:tcPr>
            <w:tcW w:w="8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left w:val="single" w:sz="8" w:color="auto"/>
            </w:tcBorders>
            <w:gridSpan w:val="2"/>
          </w:tcPr>
          <w:p>
            <w:pPr>
              <w:ind w:left="52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1"/>
                <w:szCs w:val="21"/>
                <w:color w:val="auto"/>
              </w:rPr>
            </w:pPr>
          </w:p>
        </w:tc>
        <w:tc>
          <w:tcPr>
            <w:tcW w:w="600" w:type="dxa"/>
            <w:vAlign w:val="bottom"/>
            <w:gridSpan w:val="2"/>
          </w:tcPr>
          <w:p>
            <w:pPr>
              <w:ind w:left="240"/>
              <w:spacing w:after="0"/>
              <w:rPr>
                <w:sz w:val="20"/>
                <w:szCs w:val="20"/>
                <w:color w:val="auto"/>
              </w:rPr>
            </w:pPr>
            <w:r>
              <w:rPr>
                <w:rFonts w:ascii="Arial" w:cs="Arial" w:eastAsia="Arial" w:hAnsi="Arial"/>
                <w:sz w:val="20"/>
                <w:szCs w:val="20"/>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(22,682)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(22,682)</w:t>
            </w:r>
          </w:p>
        </w:tc>
        <w:tc>
          <w:tcPr>
            <w:tcW w:w="0" w:type="dxa"/>
            <w:vAlign w:val="bottom"/>
          </w:tcPr>
          <w:p>
            <w:pPr>
              <w:spacing w:after="0"/>
              <w:rPr>
                <w:sz w:val="1"/>
                <w:szCs w:val="1"/>
                <w:color w:val="auto"/>
              </w:rPr>
            </w:pPr>
          </w:p>
        </w:tc>
      </w:tr>
      <w:tr>
        <w:trPr>
          <w:trHeight w:val="169"/>
        </w:trPr>
        <w:tc>
          <w:tcPr>
            <w:tcW w:w="1660" w:type="dxa"/>
            <w:vAlign w:val="bottom"/>
            <w:tcBorders>
              <w:top w:val="single" w:sz="8" w:color="CCEEFF"/>
            </w:tcBorders>
            <w:shd w:val="clear" w:color="auto" w:fill="CCEEFF"/>
          </w:tcPr>
          <w:p>
            <w:pPr>
              <w:ind w:left="20"/>
              <w:spacing w:after="0" w:line="169" w:lineRule="exact"/>
              <w:rPr>
                <w:sz w:val="20"/>
                <w:szCs w:val="20"/>
                <w:color w:val="auto"/>
              </w:rPr>
            </w:pPr>
            <w:r>
              <w:rPr>
                <w:rFonts w:ascii="Arial" w:cs="Arial" w:eastAsia="Arial" w:hAnsi="Arial"/>
                <w:sz w:val="19"/>
                <w:szCs w:val="19"/>
                <w:b w:val="1"/>
                <w:bCs w:val="1"/>
                <w:color w:val="auto"/>
              </w:rPr>
              <w:t>Balance,</w:t>
            </w: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lef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6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b w:val="1"/>
                <w:bCs w:val="1"/>
                <w:color w:val="auto"/>
              </w:rPr>
              <w:t>September 30,</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350</w:t>
            </w:r>
          </w:p>
        </w:tc>
        <w:tc>
          <w:tcPr>
            <w:tcW w:w="8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96"/>
              </w:rPr>
              <w:t>235,278</w:t>
            </w:r>
          </w:p>
        </w:tc>
        <w:tc>
          <w:tcPr>
            <w:tcW w:w="880" w:type="dxa"/>
            <w:vAlign w:val="bottom"/>
            <w:tcBorders>
              <w:left w:val="single" w:sz="8" w:color="auto"/>
            </w:tcBorders>
            <w:gridSpan w:val="2"/>
            <w:vMerge w:val="restart"/>
            <w:shd w:val="clear" w:color="auto" w:fill="CCEEFF"/>
          </w:tcPr>
          <w:p>
            <w:pPr>
              <w:ind w:left="520"/>
              <w:spacing w:after="0"/>
              <w:rPr>
                <w:sz w:val="20"/>
                <w:szCs w:val="20"/>
                <w:color w:val="auto"/>
              </w:rPr>
            </w:pPr>
            <w:r>
              <w:rPr>
                <w:rFonts w:ascii="Arial" w:cs="Arial" w:eastAsia="Arial" w:hAnsi="Arial"/>
                <w:sz w:val="20"/>
                <w:szCs w:val="20"/>
                <w:color w:val="auto"/>
              </w:rPr>
              <w:t>—</w:t>
            </w:r>
          </w:p>
        </w:tc>
        <w:tc>
          <w:tcPr>
            <w:tcW w:w="380" w:type="dxa"/>
            <w:vAlign w:val="bottom"/>
            <w:vMerge w:val="restart"/>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600" w:type="dxa"/>
            <w:vAlign w:val="bottom"/>
            <w:gridSpan w:val="2"/>
            <w:vMerge w:val="restart"/>
            <w:shd w:val="clear" w:color="auto" w:fill="CCEEFF"/>
          </w:tcPr>
          <w:p>
            <w:pPr>
              <w:ind w:left="240"/>
              <w:spacing w:after="0"/>
              <w:rPr>
                <w:sz w:val="20"/>
                <w:szCs w:val="20"/>
                <w:color w:val="auto"/>
              </w:rPr>
            </w:pPr>
            <w:r>
              <w:rPr>
                <w:rFonts w:ascii="Arial" w:cs="Arial" w:eastAsia="Arial" w:hAnsi="Arial"/>
                <w:sz w:val="20"/>
                <w:szCs w:val="20"/>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134,869</w:t>
            </w:r>
          </w:p>
        </w:tc>
        <w:tc>
          <w:tcPr>
            <w:tcW w:w="8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135</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251,330</w:t>
            </w:r>
          </w:p>
        </w:tc>
        <w:tc>
          <w:tcPr>
            <w:tcW w:w="8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(244,181)</w:t>
            </w:r>
          </w:p>
        </w:tc>
        <w:tc>
          <w:tcPr>
            <w:tcW w:w="8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7,284</w:t>
            </w:r>
          </w:p>
        </w:tc>
        <w:tc>
          <w:tcPr>
            <w:tcW w:w="0" w:type="dxa"/>
            <w:vAlign w:val="bottom"/>
          </w:tcPr>
          <w:p>
            <w:pPr>
              <w:spacing w:after="0"/>
              <w:rPr>
                <w:sz w:val="1"/>
                <w:szCs w:val="1"/>
                <w:color w:val="auto"/>
              </w:rPr>
            </w:pPr>
          </w:p>
        </w:tc>
      </w:tr>
      <w:tr>
        <w:trPr>
          <w:trHeight w:val="236"/>
        </w:trPr>
        <w:tc>
          <w:tcPr>
            <w:tcW w:w="1660" w:type="dxa"/>
            <w:vAlign w:val="bottom"/>
            <w:shd w:val="clear" w:color="auto" w:fill="CCEEFF"/>
          </w:tcPr>
          <w:p>
            <w:pPr>
              <w:ind w:left="20"/>
              <w:spacing w:after="0" w:line="216" w:lineRule="exact"/>
              <w:rPr>
                <w:sz w:val="20"/>
                <w:szCs w:val="20"/>
                <w:color w:val="auto"/>
              </w:rPr>
            </w:pPr>
            <w:r>
              <w:rPr>
                <w:rFonts w:ascii="Arial" w:cs="Arial" w:eastAsia="Arial" w:hAnsi="Arial"/>
                <w:sz w:val="20"/>
                <w:szCs w:val="20"/>
                <w:b w:val="1"/>
                <w:bCs w:val="1"/>
                <w:color w:val="auto"/>
              </w:rPr>
              <w:t>2021</w:t>
            </w:r>
          </w:p>
        </w:tc>
        <w:tc>
          <w:tcPr>
            <w:tcW w:w="8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880" w:type="dxa"/>
            <w:vAlign w:val="bottom"/>
            <w:tcBorders>
              <w:left w:val="single" w:sz="8" w:color="auto"/>
            </w:tcBorders>
            <w:gridSpan w:val="2"/>
            <w:vMerge w:val="continue"/>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600" w:type="dxa"/>
            <w:vAlign w:val="bottom"/>
          </w:tcPr>
          <w:p>
            <w:pPr>
              <w:spacing w:after="0"/>
              <w:rPr>
                <w:sz w:val="20"/>
                <w:szCs w:val="20"/>
                <w:color w:val="auto"/>
              </w:rPr>
            </w:pPr>
            <w:r>
              <w:rPr>
                <w:rFonts w:ascii="Arial" w:cs="Arial" w:eastAsia="Arial" w:hAnsi="Arial"/>
                <w:sz w:val="20"/>
                <w:szCs w:val="20"/>
                <w:b w:val="1"/>
                <w:bCs w:val="1"/>
                <w:i w:val="1"/>
                <w:iCs w:val="1"/>
                <w:color w:val="auto"/>
              </w:rPr>
              <w:t>For the Nine Months Ended September 30, 2020</w:t>
            </w: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509"/>
        </w:trPr>
        <w:tc>
          <w:tcPr>
            <w:tcW w:w="7600" w:type="dxa"/>
            <w:vAlign w:val="bottom"/>
          </w:tcPr>
          <w:p>
            <w:pPr>
              <w:spacing w:after="0"/>
              <w:rPr>
                <w:sz w:val="24"/>
                <w:szCs w:val="24"/>
                <w:color w:val="auto"/>
              </w:rPr>
            </w:pPr>
          </w:p>
        </w:tc>
        <w:tc>
          <w:tcPr>
            <w:tcW w:w="1360" w:type="dxa"/>
            <w:vAlign w:val="bottom"/>
            <w:gridSpan w:val="2"/>
          </w:tcPr>
          <w:p>
            <w:pPr>
              <w:ind w:left="260"/>
              <w:spacing w:after="0"/>
              <w:rPr>
                <w:sz w:val="20"/>
                <w:szCs w:val="20"/>
                <w:color w:val="auto"/>
              </w:rPr>
            </w:pPr>
            <w:r>
              <w:rPr>
                <w:rFonts w:ascii="Arial" w:cs="Arial" w:eastAsia="Arial" w:hAnsi="Arial"/>
                <w:sz w:val="20"/>
                <w:szCs w:val="20"/>
                <w:b w:val="1"/>
                <w:bCs w:val="1"/>
                <w:color w:val="auto"/>
              </w:rPr>
              <w:t>Units (*)</w:t>
            </w:r>
          </w:p>
        </w:tc>
        <w:tc>
          <w:tcPr>
            <w:tcW w:w="2280" w:type="dxa"/>
            <w:vAlign w:val="bottom"/>
            <w:gridSpan w:val="2"/>
          </w:tcPr>
          <w:p>
            <w:pPr>
              <w:jc w:val="right"/>
              <w:ind w:right="1"/>
              <w:spacing w:after="0"/>
              <w:rPr>
                <w:sz w:val="20"/>
                <w:szCs w:val="20"/>
                <w:color w:val="auto"/>
              </w:rPr>
            </w:pPr>
            <w:r>
              <w:rPr>
                <w:rFonts w:ascii="Arial" w:cs="Arial" w:eastAsia="Arial" w:hAnsi="Arial"/>
                <w:sz w:val="20"/>
                <w:szCs w:val="20"/>
                <w:b w:val="1"/>
                <w:bCs w:val="1"/>
                <w:color w:val="auto"/>
              </w:rPr>
              <w:t>Total Members’ Equity</w:t>
            </w:r>
          </w:p>
        </w:tc>
      </w:tr>
      <w:tr>
        <w:trPr>
          <w:trHeight w:val="23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Balance, December 31, 2019</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ind w:right="581"/>
              <w:spacing w:after="0"/>
              <w:rPr>
                <w:sz w:val="20"/>
                <w:szCs w:val="20"/>
                <w:color w:val="auto"/>
              </w:rPr>
            </w:pPr>
            <w:r>
              <w:rPr>
                <w:rFonts w:ascii="Arial" w:cs="Arial" w:eastAsia="Arial" w:hAnsi="Arial"/>
                <w:sz w:val="20"/>
                <w:szCs w:val="20"/>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305,151</w:t>
            </w:r>
          </w:p>
        </w:tc>
      </w:tr>
      <w:tr>
        <w:trPr>
          <w:trHeight w:val="243"/>
        </w:trPr>
        <w:tc>
          <w:tcPr>
            <w:tcW w:w="7600" w:type="dxa"/>
            <w:vAlign w:val="bottom"/>
          </w:tcPr>
          <w:p>
            <w:pPr>
              <w:ind w:left="20"/>
              <w:spacing w:after="0"/>
              <w:rPr>
                <w:sz w:val="20"/>
                <w:szCs w:val="20"/>
                <w:color w:val="auto"/>
              </w:rPr>
            </w:pPr>
            <w:r>
              <w:rPr>
                <w:rFonts w:ascii="Arial" w:cs="Arial" w:eastAsia="Arial" w:hAnsi="Arial"/>
                <w:sz w:val="20"/>
                <w:szCs w:val="20"/>
                <w:color w:val="auto"/>
              </w:rPr>
              <w:t>Equity-based compensation</w:t>
            </w:r>
          </w:p>
        </w:tc>
        <w:tc>
          <w:tcPr>
            <w:tcW w:w="1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3,264</w:t>
            </w:r>
          </w:p>
        </w:tc>
      </w:tr>
      <w:tr>
        <w:trPr>
          <w:trHeight w:val="243"/>
        </w:trPr>
        <w:tc>
          <w:tcPr>
            <w:tcW w:w="76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8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68,845</w:t>
            </w:r>
          </w:p>
        </w:tc>
      </w:tr>
      <w:tr>
        <w:trPr>
          <w:trHeight w:val="237"/>
        </w:trPr>
        <w:tc>
          <w:tcPr>
            <w:tcW w:w="7600" w:type="dxa"/>
            <w:vAlign w:val="bottom"/>
          </w:tcPr>
          <w:p>
            <w:pPr>
              <w:ind w:left="20"/>
              <w:spacing w:after="0"/>
              <w:rPr>
                <w:sz w:val="20"/>
                <w:szCs w:val="20"/>
                <w:color w:val="auto"/>
              </w:rPr>
            </w:pPr>
            <w:r>
              <w:rPr>
                <w:rFonts w:ascii="Arial" w:cs="Arial" w:eastAsia="Arial" w:hAnsi="Arial"/>
                <w:sz w:val="20"/>
                <w:szCs w:val="20"/>
                <w:b w:val="1"/>
                <w:bCs w:val="1"/>
                <w:color w:val="auto"/>
              </w:rPr>
              <w:t>Balance, September 30, 2020</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377,260</w:t>
            </w:r>
          </w:p>
        </w:tc>
      </w:tr>
      <w:tr>
        <w:trPr>
          <w:trHeight w:val="20"/>
        </w:trPr>
        <w:tc>
          <w:tcPr>
            <w:tcW w:w="76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4"/>
          <w:szCs w:val="24"/>
          <w:b w:val="1"/>
          <w:bCs w:val="1"/>
          <w:color w:val="auto"/>
          <w:vertAlign w:val="superscript"/>
        </w:rPr>
      </w:pPr>
      <w:r>
        <w:rPr>
          <w:rFonts w:ascii="Arial" w:cs="Arial" w:eastAsia="Arial" w:hAnsi="Arial"/>
          <w:sz w:val="18"/>
          <w:szCs w:val="18"/>
          <w:color w:val="auto"/>
        </w:rPr>
        <w:t>See note 2 - Summary of Significant Accounting Policies - corporate conversion and stock split.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line="253" w:lineRule="auto"/>
        <w:rPr>
          <w:sz w:val="20"/>
          <w:szCs w:val="20"/>
          <w:color w:val="auto"/>
        </w:rPr>
      </w:pPr>
      <w:r>
        <w:rPr>
          <w:rFonts w:ascii="Arial" w:cs="Arial" w:eastAsia="Arial" w:hAnsi="Arial"/>
          <w:sz w:val="20"/>
          <w:szCs w:val="20"/>
          <w:b w:val="1"/>
          <w:bCs w:val="1"/>
          <w:color w:val="auto"/>
        </w:rPr>
        <w:t xml:space="preserve">Array Technologies, Inc. and Subsidiaries Condensed Consolidated Statements of Cash Flows </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(in thousands)</w:t>
      </w:r>
    </w:p>
    <w:p>
      <w:pPr>
        <w:jc w:val="center"/>
        <w:ind w:left="7540"/>
        <w:spacing w:after="0" w:line="224" w:lineRule="auto"/>
        <w:rPr>
          <w:sz w:val="20"/>
          <w:szCs w:val="20"/>
          <w:color w:val="auto"/>
        </w:rPr>
      </w:pPr>
      <w:r>
        <w:rPr>
          <w:rFonts w:ascii="Arial" w:cs="Arial" w:eastAsia="Arial" w:hAnsi="Arial"/>
          <w:sz w:val="20"/>
          <w:szCs w:val="20"/>
          <w:b w:val="1"/>
          <w:bCs w:val="1"/>
          <w:color w:val="auto"/>
        </w:rPr>
        <w:t>Nine Months Ended</w:t>
      </w:r>
    </w:p>
    <w:p>
      <w:pPr>
        <w:jc w:val="center"/>
        <w:ind w:left="7540"/>
        <w:spacing w:after="0"/>
        <w:rPr>
          <w:sz w:val="20"/>
          <w:szCs w:val="20"/>
          <w:color w:val="auto"/>
        </w:rPr>
      </w:pPr>
      <w:r>
        <w:rPr>
          <w:rFonts w:ascii="Arial" w:cs="Arial" w:eastAsia="Arial" w:hAnsi="Arial"/>
          <w:sz w:val="20"/>
          <w:szCs w:val="20"/>
          <w:b w:val="1"/>
          <w:bCs w:val="1"/>
          <w:color w:val="auto"/>
        </w:rPr>
        <w:t>September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56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2020</w:t>
            </w:r>
          </w:p>
        </w:tc>
      </w:tr>
      <w:tr>
        <w:trPr>
          <w:trHeight w:val="250"/>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flows used in operating activities</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70"/>
        </w:trPr>
        <w:tc>
          <w:tcPr>
            <w:tcW w:w="7560" w:type="dxa"/>
            <w:vAlign w:val="bottom"/>
          </w:tcPr>
          <w:p>
            <w:pPr>
              <w:ind w:left="140"/>
              <w:spacing w:after="0"/>
              <w:rPr>
                <w:sz w:val="20"/>
                <w:szCs w:val="20"/>
                <w:color w:val="auto"/>
              </w:rPr>
            </w:pPr>
            <w:r>
              <w:rPr>
                <w:rFonts w:ascii="Arial" w:cs="Arial" w:eastAsia="Arial" w:hAnsi="Arial"/>
                <w:sz w:val="20"/>
                <w:szCs w:val="20"/>
                <w:color w:val="auto"/>
              </w:rPr>
              <w:t>Net income (loss)</w:t>
            </w:r>
          </w:p>
        </w:tc>
        <w:tc>
          <w:tcPr>
            <w:tcW w:w="42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(22,682)</w:t>
            </w:r>
          </w:p>
        </w:tc>
        <w:tc>
          <w:tcPr>
            <w:tcW w:w="80" w:type="dxa"/>
            <w:vAlign w:val="bottom"/>
          </w:tcPr>
          <w:p>
            <w:pPr>
              <w:spacing w:after="0"/>
              <w:rPr>
                <w:sz w:val="23"/>
                <w:szCs w:val="23"/>
                <w:color w:val="auto"/>
              </w:rPr>
            </w:pP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tcPr>
          <w:p>
            <w:pPr>
              <w:jc w:val="right"/>
              <w:spacing w:after="0"/>
              <w:rPr>
                <w:sz w:val="20"/>
                <w:szCs w:val="20"/>
                <w:color w:val="auto"/>
              </w:rPr>
            </w:pPr>
            <w:r>
              <w:rPr>
                <w:rFonts w:ascii="Arial" w:cs="Arial" w:eastAsia="Arial" w:hAnsi="Arial"/>
                <w:sz w:val="20"/>
                <w:szCs w:val="20"/>
                <w:color w:val="auto"/>
              </w:rPr>
              <w:t>68,845</w:t>
            </w:r>
          </w:p>
        </w:tc>
      </w:tr>
      <w:tr>
        <w:trPr>
          <w:trHeight w:val="270"/>
        </w:trPr>
        <w:tc>
          <w:tcPr>
            <w:tcW w:w="7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Adjustments to reconcile net income (loss) to net cash used in operating activities:</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Provision for (recovery of) bad debts</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(574)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493</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Deferred tax benefit</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(6,531)</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(3,666)</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Depreciation and amortization</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19,454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20,587</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Amortization of debt discount and issuance costs</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13,653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2,160</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Interest paid-in-kind</w:t>
            </w:r>
          </w:p>
        </w:tc>
        <w:tc>
          <w:tcPr>
            <w:tcW w:w="420" w:type="dxa"/>
            <w:vAlign w:val="bottom"/>
          </w:tcPr>
          <w:p>
            <w:pPr>
              <w:spacing w:after="0"/>
              <w:rPr>
                <w:sz w:val="23"/>
                <w:szCs w:val="23"/>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3,421</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Equity-based compensation</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11,706</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3,264</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Contingent consideration</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1,071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16,008</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Warranty provision</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305</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633</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Provision for inventory obsolescence</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654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2,517</w:t>
            </w:r>
          </w:p>
        </w:tc>
      </w:tr>
      <w:tr>
        <w:trPr>
          <w:trHeight w:val="270"/>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Changes in operating assets and liabilities</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Accounts receivable</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(58,194)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(22,340)</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Inventories</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(55,321)</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48,992</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Income tax receivables</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10,705</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(15,890)</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Prepaid expenses and other</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(5,770)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7,222</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Accounts payable</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1,948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(82,284)</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Accounts payable - related party</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(1,622)</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(3,690)</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Accrued expenses and other</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1,683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4,644</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Income tax payable</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(8,185)</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6,584</w:t>
            </w:r>
          </w:p>
        </w:tc>
      </w:tr>
      <w:tr>
        <w:trPr>
          <w:trHeight w:val="270"/>
        </w:trPr>
        <w:tc>
          <w:tcPr>
            <w:tcW w:w="7560" w:type="dxa"/>
            <w:vAlign w:val="bottom"/>
          </w:tcPr>
          <w:p>
            <w:pPr>
              <w:ind w:left="460"/>
              <w:spacing w:after="0"/>
              <w:rPr>
                <w:sz w:val="20"/>
                <w:szCs w:val="20"/>
                <w:color w:val="auto"/>
              </w:rPr>
            </w:pPr>
            <w:r>
              <w:rPr>
                <w:rFonts w:ascii="Arial" w:cs="Arial" w:eastAsia="Arial" w:hAnsi="Arial"/>
                <w:sz w:val="20"/>
                <w:szCs w:val="20"/>
                <w:color w:val="auto"/>
              </w:rPr>
              <w:t>Lease liabilities</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337</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7560" w:type="dxa"/>
            <w:vAlign w:val="bottom"/>
            <w:shd w:val="clear" w:color="auto" w:fill="CCEEFF"/>
          </w:tcPr>
          <w:p>
            <w:pPr>
              <w:ind w:left="460"/>
              <w:spacing w:after="0"/>
              <w:rPr>
                <w:sz w:val="20"/>
                <w:szCs w:val="20"/>
                <w:color w:val="auto"/>
              </w:rPr>
            </w:pPr>
            <w:r>
              <w:rPr>
                <w:rFonts w:ascii="Arial" w:cs="Arial" w:eastAsia="Arial" w:hAnsi="Arial"/>
                <w:sz w:val="20"/>
                <w:szCs w:val="20"/>
                <w:color w:val="auto"/>
              </w:rPr>
              <w:t>Deferred revenue</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(68,474)</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(284,000)</w:t>
            </w:r>
          </w:p>
        </w:tc>
      </w:tr>
      <w:tr>
        <w:trPr>
          <w:trHeight w:val="250"/>
        </w:trPr>
        <w:tc>
          <w:tcPr>
            <w:tcW w:w="7560" w:type="dxa"/>
            <w:vAlign w:val="bottom"/>
            <w:tcBorders>
              <w:bottom w:val="single" w:sz="8" w:color="CCEEFF"/>
            </w:tcBorders>
          </w:tcPr>
          <w:p>
            <w:pPr>
              <w:ind w:left="680"/>
              <w:spacing w:after="0"/>
              <w:rPr>
                <w:sz w:val="20"/>
                <w:szCs w:val="20"/>
                <w:color w:val="auto"/>
              </w:rPr>
            </w:pPr>
            <w:r>
              <w:rPr>
                <w:rFonts w:ascii="Arial" w:cs="Arial" w:eastAsia="Arial" w:hAnsi="Arial"/>
                <w:sz w:val="20"/>
                <w:szCs w:val="20"/>
                <w:color w:val="auto"/>
              </w:rPr>
              <w:t>Net cash used in operating activities</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(165,837)</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(226,500)</w:t>
            </w:r>
          </w:p>
        </w:tc>
      </w:tr>
      <w:tr>
        <w:trPr>
          <w:trHeight w:val="250"/>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flows used in investing activities</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70"/>
        </w:trPr>
        <w:tc>
          <w:tcPr>
            <w:tcW w:w="7560" w:type="dxa"/>
            <w:vAlign w:val="bottom"/>
          </w:tcPr>
          <w:p>
            <w:pPr>
              <w:ind w:left="240"/>
              <w:spacing w:after="0"/>
              <w:rPr>
                <w:sz w:val="20"/>
                <w:szCs w:val="20"/>
                <w:color w:val="auto"/>
              </w:rPr>
            </w:pPr>
            <w:r>
              <w:rPr>
                <w:rFonts w:ascii="Arial" w:cs="Arial" w:eastAsia="Arial" w:hAnsi="Arial"/>
                <w:sz w:val="20"/>
                <w:szCs w:val="20"/>
                <w:color w:val="auto"/>
              </w:rPr>
              <w:t>Purchase of property, plant and equipment</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(2,252)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(610)</w:t>
            </w:r>
          </w:p>
        </w:tc>
      </w:tr>
      <w:tr>
        <w:trPr>
          <w:trHeight w:val="270"/>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Investment in equity security</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(11,975)</w:t>
            </w:r>
          </w:p>
        </w:tc>
        <w:tc>
          <w:tcPr>
            <w:tcW w:w="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50"/>
        </w:trPr>
        <w:tc>
          <w:tcPr>
            <w:tcW w:w="7560" w:type="dxa"/>
            <w:vAlign w:val="bottom"/>
            <w:tcBorders>
              <w:bottom w:val="single" w:sz="8" w:color="CCEEFF"/>
            </w:tcBorders>
          </w:tcPr>
          <w:p>
            <w:pPr>
              <w:ind w:left="680"/>
              <w:spacing w:after="0"/>
              <w:rPr>
                <w:sz w:val="20"/>
                <w:szCs w:val="20"/>
                <w:color w:val="auto"/>
              </w:rPr>
            </w:pPr>
            <w:r>
              <w:rPr>
                <w:rFonts w:ascii="Arial" w:cs="Arial" w:eastAsia="Arial" w:hAnsi="Arial"/>
                <w:sz w:val="20"/>
                <w:szCs w:val="20"/>
                <w:color w:val="auto"/>
              </w:rPr>
              <w:t>Net cash used in investing activities</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(14,227)</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(610)</w:t>
            </w:r>
          </w:p>
        </w:tc>
      </w:tr>
      <w:tr>
        <w:trPr>
          <w:trHeight w:val="250"/>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flows from financing activities</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70"/>
        </w:trPr>
        <w:tc>
          <w:tcPr>
            <w:tcW w:w="7560" w:type="dxa"/>
            <w:vAlign w:val="bottom"/>
          </w:tcPr>
          <w:p>
            <w:pPr>
              <w:ind w:left="240"/>
              <w:spacing w:after="0"/>
              <w:rPr>
                <w:sz w:val="20"/>
                <w:szCs w:val="20"/>
                <w:color w:val="auto"/>
              </w:rPr>
            </w:pPr>
            <w:r>
              <w:rPr>
                <w:rFonts w:ascii="Arial" w:cs="Arial" w:eastAsia="Arial" w:hAnsi="Arial"/>
                <w:sz w:val="20"/>
                <w:szCs w:val="20"/>
                <w:color w:val="auto"/>
              </w:rPr>
              <w:t>Proceeds from revolving credit facility</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102,000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70"/>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Principal payments on term loan facility</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(132,150)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(57,702)</w:t>
            </w:r>
          </w:p>
        </w:tc>
      </w:tr>
      <w:tr>
        <w:trPr>
          <w:trHeight w:val="270"/>
        </w:trPr>
        <w:tc>
          <w:tcPr>
            <w:tcW w:w="7560" w:type="dxa"/>
            <w:vAlign w:val="bottom"/>
          </w:tcPr>
          <w:p>
            <w:pPr>
              <w:ind w:left="240"/>
              <w:spacing w:after="0"/>
              <w:rPr>
                <w:sz w:val="20"/>
                <w:szCs w:val="20"/>
                <w:color w:val="auto"/>
              </w:rPr>
            </w:pPr>
            <w:r>
              <w:rPr>
                <w:rFonts w:ascii="Arial" w:cs="Arial" w:eastAsia="Arial" w:hAnsi="Arial"/>
                <w:sz w:val="20"/>
                <w:szCs w:val="20"/>
                <w:color w:val="auto"/>
              </w:rPr>
              <w:t>Proceeds from Series A issuance</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224,987</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Proceeds from common stock issuance</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120,645</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7560" w:type="dxa"/>
            <w:vAlign w:val="bottom"/>
          </w:tcPr>
          <w:p>
            <w:pPr>
              <w:ind w:left="240"/>
              <w:spacing w:after="0"/>
              <w:rPr>
                <w:sz w:val="20"/>
                <w:szCs w:val="20"/>
                <w:color w:val="auto"/>
              </w:rPr>
            </w:pPr>
            <w:r>
              <w:rPr>
                <w:rFonts w:ascii="Arial" w:cs="Arial" w:eastAsia="Arial" w:hAnsi="Arial"/>
                <w:sz w:val="20"/>
                <w:szCs w:val="20"/>
                <w:color w:val="auto"/>
              </w:rPr>
              <w:t>Series A equity issuance costs</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(7,195)</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Common stock issuance costs</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(3,873)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7560" w:type="dxa"/>
            <w:vAlign w:val="bottom"/>
          </w:tcPr>
          <w:p>
            <w:pPr>
              <w:ind w:left="240"/>
              <w:spacing w:after="0"/>
              <w:rPr>
                <w:sz w:val="20"/>
                <w:szCs w:val="20"/>
                <w:color w:val="auto"/>
              </w:rPr>
            </w:pPr>
            <w:r>
              <w:rPr>
                <w:rFonts w:ascii="Arial" w:cs="Arial" w:eastAsia="Arial" w:hAnsi="Arial"/>
                <w:sz w:val="20"/>
                <w:szCs w:val="20"/>
                <w:color w:val="auto"/>
              </w:rPr>
              <w:t>Payments on revolving credit facility</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(102,000)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Payments on related party loans</w:t>
            </w:r>
          </w:p>
        </w:tc>
        <w:tc>
          <w:tcPr>
            <w:tcW w:w="4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(45,558)</w:t>
            </w:r>
          </w:p>
        </w:tc>
      </w:tr>
      <w:tr>
        <w:trPr>
          <w:trHeight w:val="270"/>
        </w:trPr>
        <w:tc>
          <w:tcPr>
            <w:tcW w:w="7560" w:type="dxa"/>
            <w:vAlign w:val="bottom"/>
          </w:tcPr>
          <w:p>
            <w:pPr>
              <w:ind w:left="240"/>
              <w:spacing w:after="0"/>
              <w:rPr>
                <w:sz w:val="20"/>
                <w:szCs w:val="20"/>
                <w:color w:val="auto"/>
              </w:rPr>
            </w:pPr>
            <w:r>
              <w:rPr>
                <w:rFonts w:ascii="Arial" w:cs="Arial" w:eastAsia="Arial" w:hAnsi="Arial"/>
                <w:sz w:val="20"/>
                <w:szCs w:val="20"/>
                <w:color w:val="auto"/>
              </w:rPr>
              <w:t>Contingent consideration</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(7,810)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0"/>
        </w:trPr>
        <w:tc>
          <w:tcPr>
            <w:tcW w:w="75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Deferred offering costs</w:t>
            </w:r>
          </w:p>
        </w:tc>
        <w:tc>
          <w:tcPr>
            <w:tcW w:w="4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(3,775)</w:t>
            </w:r>
          </w:p>
        </w:tc>
      </w:tr>
    </w:tbl>
    <w:p>
      <w:pPr>
        <w:spacing w:after="0" w:line="200" w:lineRule="exact"/>
        <w:rPr>
          <w:sz w:val="20"/>
          <w:szCs w:val="20"/>
          <w:color w:val="auto"/>
        </w:rPr>
      </w:pPr>
    </w:p>
    <w:p>
      <w:pPr>
        <w:sectPr>
          <w:pgSz w:w="11900" w:h="16838" w:orient="portrait"/>
          <w:cols w:equalWidth="0" w:num="1">
            <w:col w:w="11240"/>
          </w:cols>
          <w:pgMar w:left="320" w:top="10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47"/>
        </w:trPr>
        <w:tc>
          <w:tcPr>
            <w:tcW w:w="756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Debt issuance costs</w:t>
            </w:r>
          </w:p>
        </w:tc>
        <w:tc>
          <w:tcPr>
            <w:tcW w:w="5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(6,590)</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0"/>
        </w:trPr>
        <w:tc>
          <w:tcPr>
            <w:tcW w:w="7560" w:type="dxa"/>
            <w:vAlign w:val="bottom"/>
            <w:shd w:val="clear" w:color="auto" w:fill="CCEEFF"/>
          </w:tcPr>
          <w:p>
            <w:pPr>
              <w:ind w:left="680"/>
              <w:spacing w:after="0"/>
              <w:rPr>
                <w:sz w:val="20"/>
                <w:szCs w:val="20"/>
                <w:color w:val="auto"/>
              </w:rPr>
            </w:pPr>
            <w:r>
              <w:rPr>
                <w:rFonts w:ascii="Arial" w:cs="Arial" w:eastAsia="Arial" w:hAnsi="Arial"/>
                <w:sz w:val="20"/>
                <w:szCs w:val="20"/>
                <w:color w:val="auto"/>
              </w:rPr>
              <w:t>Net cash provided by (used in) financing activities</w:t>
            </w:r>
          </w:p>
        </w:tc>
        <w:tc>
          <w:tcPr>
            <w:tcW w:w="5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188,014</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(107,003)</w:t>
            </w:r>
          </w:p>
        </w:tc>
      </w:tr>
      <w:tr>
        <w:trPr>
          <w:trHeight w:val="250"/>
        </w:trPr>
        <w:tc>
          <w:tcPr>
            <w:tcW w:w="7560" w:type="dxa"/>
            <w:vAlign w:val="bottom"/>
          </w:tcPr>
          <w:p>
            <w:pPr>
              <w:ind w:left="20"/>
              <w:spacing w:after="0"/>
              <w:rPr>
                <w:sz w:val="20"/>
                <w:szCs w:val="20"/>
                <w:color w:val="auto"/>
              </w:rPr>
            </w:pPr>
            <w:r>
              <w:rPr>
                <w:rFonts w:ascii="Arial" w:cs="Arial" w:eastAsia="Arial" w:hAnsi="Arial"/>
                <w:sz w:val="20"/>
                <w:szCs w:val="20"/>
                <w:color w:val="auto"/>
              </w:rPr>
              <w:t>Net change in cash and cash equivalents</w:t>
            </w:r>
          </w:p>
        </w:tc>
        <w:tc>
          <w:tcPr>
            <w:tcW w:w="5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7,950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(334,113)</w:t>
            </w:r>
          </w:p>
        </w:tc>
      </w:tr>
      <w:tr>
        <w:trPr>
          <w:trHeight w:val="270"/>
        </w:trPr>
        <w:tc>
          <w:tcPr>
            <w:tcW w:w="7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and cash equivalents, beginning of period</w:t>
            </w:r>
          </w:p>
        </w:tc>
        <w:tc>
          <w:tcPr>
            <w:tcW w:w="5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108,441</w:t>
            </w:r>
          </w:p>
        </w:tc>
        <w:tc>
          <w:tcPr>
            <w:tcW w:w="8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361,257</w:t>
            </w:r>
          </w:p>
        </w:tc>
      </w:tr>
      <w:tr>
        <w:trPr>
          <w:trHeight w:val="237"/>
        </w:trPr>
        <w:tc>
          <w:tcPr>
            <w:tcW w:w="7560" w:type="dxa"/>
            <w:vAlign w:val="bottom"/>
          </w:tcPr>
          <w:p>
            <w:pPr>
              <w:ind w:left="20"/>
              <w:spacing w:after="0"/>
              <w:rPr>
                <w:sz w:val="20"/>
                <w:szCs w:val="20"/>
                <w:color w:val="auto"/>
              </w:rPr>
            </w:pPr>
            <w:r>
              <w:rPr>
                <w:rFonts w:ascii="Arial" w:cs="Arial" w:eastAsia="Arial" w:hAnsi="Arial"/>
                <w:sz w:val="20"/>
                <w:szCs w:val="20"/>
                <w:color w:val="auto"/>
              </w:rPr>
              <w:t>Cash and cash equivalents, end of period</w:t>
            </w:r>
          </w:p>
        </w:tc>
        <w:tc>
          <w:tcPr>
            <w:tcW w:w="58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116,391</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27,144</w:t>
            </w:r>
          </w:p>
        </w:tc>
      </w:tr>
      <w:tr>
        <w:trPr>
          <w:trHeight w:val="20"/>
        </w:trPr>
        <w:tc>
          <w:tcPr>
            <w:tcW w:w="7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20"/>
          <w:szCs w:val="20"/>
          <w:b w:val="1"/>
          <w:bCs w:val="1"/>
          <w:color w:val="auto"/>
        </w:rPr>
        <w:t>Array Technologies, Inc. and Subsidiaries</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0" w:hanging="392"/>
        <w:spacing w:after="0"/>
        <w:tabs>
          <w:tab w:leader="none" w:pos="4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Organization and Business</w:t>
      </w:r>
    </w:p>
    <w:p>
      <w:pPr>
        <w:spacing w:after="0" w:line="280"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Array Technologies, Inc. (the “Company”) formerly ATI Intermediate Holdings, LLC, is a Delaware corporation formed in December 2018 as a wholly owned subsidiary of ATI Investment Parent, LLC (“Former Parent”). On October 14, 2020, the Company converted from a Delaware limited liability company to a Delaware corporation and changed the Company’s name to Array Technologies, Inc. The Company is headquartered in Albuquerque, New Mexico, and manufactures and supplies solar tracking systems and related products for customers across the United States and internationally. The Company, through its wholly-owned subsidiary, ATI Investment Holdings, Inc. (“ATI Investment”) owns one subsidiary through which it conducts substantially all operations; Array Tech, Inc. (collectively “AT”).</w:t>
      </w:r>
    </w:p>
    <w:p>
      <w:pPr>
        <w:spacing w:after="0" w:line="24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accompanying unaudited condensed financial statements have been prepared in accordance with generally accepted accounting principles in the United States of America (“U.S. GAAP”), pursuant to the rules and regulations of the Securities and Exchange Commission (the “SEC”). The unaudited interim financial statements have been prepared on the same basis as the audited annual financial statements and, in the opinion of management, reflect all adjustments, which include only normal recurring adjustments, necessary for the fair statement of results for the interim periods reported. The results for the three and nine months ended September 30, 2021 are not necessarily indicative of results to be expected for the year ending December 31, 2021 or any other interim periods, or any future year or period. The balance sheet as of December 31, 2020 included herein was derived from the audited financial statements as of that date. Certain disclosures have been condensed or omitted from the interim financial statements. These financial statements should be read in conjunction with the Company’s audited financial statements included in the Company’s Annual Report on Form 10-K filed with the SEC on March 10, 2021.</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Reclassifications</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Certain prior year amounts have been reclassified to conform to the current year presentation.</w:t>
      </w:r>
    </w:p>
    <w:p>
      <w:pPr>
        <w:spacing w:after="0" w:line="200" w:lineRule="exact"/>
        <w:rPr>
          <w:sz w:val="20"/>
          <w:szCs w:val="20"/>
          <w:color w:val="auto"/>
        </w:rPr>
      </w:pPr>
    </w:p>
    <w:p>
      <w:pPr>
        <w:spacing w:after="0" w:line="275" w:lineRule="exact"/>
        <w:rPr>
          <w:sz w:val="20"/>
          <w:szCs w:val="20"/>
          <w:color w:val="auto"/>
        </w:rPr>
      </w:pPr>
    </w:p>
    <w:p>
      <w:pPr>
        <w:ind w:left="400" w:hanging="392"/>
        <w:spacing w:after="0"/>
        <w:tabs>
          <w:tab w:leader="none" w:pos="4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Recently Adopted Accounting Pronouncements</w:t>
      </w:r>
    </w:p>
    <w:p>
      <w:pPr>
        <w:spacing w:after="0" w:line="28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 xml:space="preserve">On January 1, 2021, the Company adopted Accounting Standards Update (“ASU”) No. 2016-02 (Topic 842) “Leases” which supersedes the lease recognition requirements in ASC Topic 840, </w:t>
      </w:r>
      <w:r>
        <w:rPr>
          <w:rFonts w:ascii="Arial" w:cs="Arial" w:eastAsia="Arial" w:hAnsi="Arial"/>
          <w:sz w:val="20"/>
          <w:szCs w:val="20"/>
          <w:i w:val="1"/>
          <w:iCs w:val="1"/>
          <w:color w:val="auto"/>
        </w:rPr>
        <w:t>“Leases”</w:t>
      </w:r>
      <w:r>
        <w:rPr>
          <w:rFonts w:ascii="Arial" w:cs="Arial" w:eastAsia="Arial" w:hAnsi="Arial"/>
          <w:sz w:val="20"/>
          <w:szCs w:val="20"/>
          <w:color w:val="auto"/>
        </w:rPr>
        <w:t>. Under ASU No. 2016-02, lessees are required to recognize assets and liabilities on the consolidated balance sheets for most leases and provide enhanced disclosures. For companies that are not emerging growth companies (“EGCs”), the ASU was effective for fiscal years beginning after December 15, 2018. For EGCs, the ASU is effective for fiscal years beginning after December 15, 2021. The Company early adopted the new standard using the modified retrospective method by recording a right-of-use asset of $13.2 million, short-term portion of lease liabilities of $6.3 million and long-term portion of lease liabilities of $7.2 million as of the effective date. Prior periods will not be restated and will continue to be reported under Topic 840 guidance in effect during those periods. The Company applied the package of practical expedients to leases that commenced before the effective date whereby the Company elected to not reassess the following: (i) whether any expired or existing contracts contain leases; (ii) the lease classification for any expired or existing leases; and (iii) initial direct costs for any existing leases. The adoption did not have a material impact on its consolidated statements of</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12" w:name="page13"/>
    <w:bookmarkEnd w:id="12"/>
    <w:p>
      <w:pPr>
        <w:spacing w:after="0" w:line="330" w:lineRule="exact"/>
        <w:rPr>
          <w:sz w:val="20"/>
          <w:szCs w:val="20"/>
          <w:color w:val="auto"/>
        </w:rPr>
      </w:pPr>
    </w:p>
    <w:p>
      <w:pPr>
        <w:ind w:right="140"/>
        <w:spacing w:after="0" w:line="261" w:lineRule="auto"/>
        <w:rPr>
          <w:sz w:val="20"/>
          <w:szCs w:val="20"/>
          <w:color w:val="auto"/>
        </w:rPr>
      </w:pPr>
      <w:r>
        <w:rPr>
          <w:rFonts w:ascii="Arial" w:cs="Arial" w:eastAsia="Arial" w:hAnsi="Arial"/>
          <w:sz w:val="20"/>
          <w:szCs w:val="20"/>
          <w:color w:val="auto"/>
        </w:rPr>
        <w:t>operations or its consolidated statements of cash flows. See Note 15, Leases, for further information and disclosures related to the adoption of this standard.</w:t>
      </w:r>
    </w:p>
    <w:p>
      <w:pPr>
        <w:spacing w:after="0" w:line="209"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 xml:space="preserve">In December 2019, the FASB issued ASU No. 2019-12, </w:t>
      </w:r>
      <w:r>
        <w:rPr>
          <w:rFonts w:ascii="Arial" w:cs="Arial" w:eastAsia="Arial" w:hAnsi="Arial"/>
          <w:sz w:val="20"/>
          <w:szCs w:val="20"/>
          <w:i w:val="1"/>
          <w:iCs w:val="1"/>
          <w:color w:val="auto"/>
        </w:rPr>
        <w:t>Income Taxes (Topic 740): Simplifying the Accounting for Income Taxes</w:t>
      </w:r>
      <w:r>
        <w:rPr>
          <w:rFonts w:ascii="Arial" w:cs="Arial" w:eastAsia="Arial" w:hAnsi="Arial"/>
          <w:sz w:val="20"/>
          <w:szCs w:val="20"/>
          <w:color w:val="auto"/>
        </w:rPr>
        <w:t xml:space="preserve"> (“ASU No. 2019-12”), which is intended to simplify various aspects of the accounting for income taxes. ASU No. 2019-12 removes certain exceptions to the general principles in Topic 740 and clarifies and amends existing guidance to improve consistent application. This standard is effective for fiscal years and interim periods within those fiscal years, beginning after December 15, 2020. Early adoption is permitted. The Company has adopted the pronouncement and it did not have a material impact on its consolidated financial statements and related disclosures.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Corporate Conversion and Stock Split</w:t>
      </w:r>
    </w:p>
    <w:p>
      <w:pPr>
        <w:spacing w:after="0" w:line="24"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On October 14, 2020, prior to the issuance of any of our shares of common stock in our initial public offering (the “IPO”), we converted from a Delaware limited liability company to a Delaware corporation. In connection with the corporate conversion, we converted all 1,000 of our outstanding member units into 100,000,000 shares of common stock and then completed a stock split of 1.19994-for-1. The corporate conversion and stock split representing 119,994,467 shares of common stock have been adjusted retroactively for the purposes of calculating basic and diluted 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Principles of Consolidation</w:t>
      </w:r>
    </w:p>
    <w:p>
      <w:pPr>
        <w:spacing w:after="0" w:line="37" w:lineRule="exact"/>
        <w:rPr>
          <w:sz w:val="20"/>
          <w:szCs w:val="20"/>
          <w:color w:val="auto"/>
        </w:rPr>
      </w:pPr>
    </w:p>
    <w:p>
      <w:pPr>
        <w:ind w:right="540"/>
        <w:spacing w:after="0" w:line="261" w:lineRule="auto"/>
        <w:rPr>
          <w:sz w:val="20"/>
          <w:szCs w:val="20"/>
          <w:color w:val="auto"/>
        </w:rPr>
      </w:pPr>
      <w:r>
        <w:rPr>
          <w:rFonts w:ascii="Arial" w:cs="Arial" w:eastAsia="Arial" w:hAnsi="Arial"/>
          <w:sz w:val="20"/>
          <w:szCs w:val="20"/>
          <w:color w:val="auto"/>
        </w:rPr>
        <w:t>The condensed consolidated financial statements include the accounts of Array Technologies, Inc. and its Subsidiaries. All intercompany accounts and transactions have been eliminated upon consolidation.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w:t>
      </w:r>
    </w:p>
    <w:p>
      <w:pPr>
        <w:spacing w:after="0" w:line="37"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Significant estimates include impairment of goodwill, impairment of long-lived assets, fair value of contingent consideration, allowance for doubtful accounts, reserve for excess or obsolete inventories, valuation of deferred tax assets and warranty reserve. Due to the COVID-19 pandemic, there has been and will continue to be uncertainty and disruption in the global economy and financial markets. Management has made estimates and assumptions taking into consideration certain possible impacts due to COVID-19. These estimates may change, as new events occur, and additional information is obtained. Actual results may differ from previously estimated amounts, and such differences may be material to the condensed consolidated financial statements; however, management believes that these estimates and assumptions provide a reasonable basis for the fair presentation of the consolidated financial statements. Estimates and assumptions are reviewed periodically, and the effects of revisions are reflected in the period they occur.</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Impact of COVID-19 Pandemic</w:t>
      </w:r>
    </w:p>
    <w:p>
      <w:pPr>
        <w:spacing w:after="0" w:line="37"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In December 2019, a novel strain of coronavirus, SARS-CoV-2, which causes coronavirus disease 2019, or COVID-19, surfaced in Wuhan, China. Since then, COVID-19 has spread to multiple countries, including the United States. On March 11, 2020, the World Health Organization declared COVID-19 a pandemic. Due to economic conditions our industry has seen rapid commodity price increases and strained logistics, causing us to experience temporary decreased margins and thus decreased cash from operations. We have taken, and continue to take, mitigating steps to overcome the economic challenges and, therefore, believe the impact to be temporary, but cannot be certain the timing of when we will achieve better margins. We have sufficient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liquidity and financing options available, and we expect to have sufficient liquidity to operate for the next 12 months.</w:t>
      </w:r>
    </w:p>
    <w:p>
      <w:pPr>
        <w:spacing w:after="0" w:line="256"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color w:val="auto"/>
        </w:rPr>
        <w:t>The Company has implemented adjustments to its operations designed to keep employees safe and comply with federal, state and local guidelines, including those regarding social distancing. The extent to which COVID-19 may further impact the Company’s business, results of operations, financial condition and cash flows will depend on future developments, which are highly uncertain and cannot be predicted with confidence. In response to COVID-19, the United States government has passed legislation and taken other actions to provide financial relief to companies and other organizations affected by the pandemic.</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Equity-Based Compensation</w:t>
      </w:r>
    </w:p>
    <w:p>
      <w:pPr>
        <w:spacing w:after="0" w:line="280"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On October 14, 2020, the Company’s 2020 Equity Incentive Plan (the “2020 Plan”) became effective. Under the 2020 Plan, the Company may grant (i) restricted stock units (RSU’s) to its employees and non-employee directors in connection with their service on the board of directors, and (ii) performance stock units (“PSUs”) to certain of its executive officers and members of management. The PSUs contain performance and market conditions. The RSUs are valued at the closing stock price on the date of grant and recognized on a straight-line basis over vesting term. The PSU grants are valued using the Monte Carlo simulation method and the assigned fair value on grant date will be recognized on a straight-line basis over the vesting term of the awards. The probability of the awards meeting the performance related vested conditions is not included in the grant date fair value, but rather will be estimated quarterly, and the Company will true-up the expense recognition accordingly upon any probability to vest revision. The Company accounts for forfeitures as they occur.</w:t>
      </w:r>
    </w:p>
    <w:p>
      <w:pPr>
        <w:spacing w:after="0" w:line="239"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In the case of Class B units (the “Class B Units”) and Class C units (the “Class C Units” and, together with the Class B Units, the “Units”) of Former Parent granted to certain employees and directors of the Company, the determination of the fair value of equity awards issued to employees of the Company was based upon the underlying share price and a number of assumptions, including volatility, performance period, risk-free interest rate and expected dividends. The Class B Units fully vested upon the completion of the Company’s follow-on offering of its common stock in March 2021 (the “2021 Follow-on Offering”) as it was considered a sale of Former Parent and the Company recognized expense of $8.9 million.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Temporary Equity</w:t>
      </w:r>
    </w:p>
    <w:p>
      <w:pPr>
        <w:spacing w:after="0" w:line="280"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Equity instruments that are redeemable for cash or other assets are classified as temporary equity if the instrument is redeemable, at the option of the holder, at a fixed or determinable price on a fixed or determinable date or upon the occurrence of an event that is not solely within the control of the issuer. Redeemable equity instruments are initially carried at the fair value of the equity instrument at the issuance date, which is subsequently adjusted at each balance sheet date if the instrument is currently redeemable, or probable of becoming redeemable. The Series A Redeemable Preferred Stock issued in connection with the Securities Purchase Agreement as described in Note 9 is classified as temporary equity in the accompanying condensed consolidated financial statements. The Company elected the accreted redemption value method under which it accretes changes in redemption value over the period from the date of issuance of the Series A Redeemable Perpetual Preferred Stock to the earliest costless redemption date (the fifth anniversary) using the effective interest method. Such adjustments are included in preferred undeclared dividends and accretion on Series A Redeemable Perpetual Preferred Stock on the Company’s condensed consolidated statements of changes in equity and treated similarly to a dividend on preferred stock for GAAP purposes.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New Accounting Standards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To be adopted</w:t>
      </w:r>
    </w:p>
    <w:p>
      <w:pPr>
        <w:spacing w:after="0" w:line="13"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 xml:space="preserve">In June 2016, the FASB issued ASU No. 2016-13, </w:t>
      </w:r>
      <w:r>
        <w:rPr>
          <w:rFonts w:ascii="Arial" w:cs="Arial" w:eastAsia="Arial" w:hAnsi="Arial"/>
          <w:sz w:val="20"/>
          <w:szCs w:val="20"/>
          <w:i w:val="1"/>
          <w:iCs w:val="1"/>
          <w:color w:val="auto"/>
        </w:rPr>
        <w:t>Financial Instruments - Credit Losses</w:t>
      </w:r>
      <w:r>
        <w:rPr>
          <w:rFonts w:ascii="Arial" w:cs="Arial" w:eastAsia="Arial" w:hAnsi="Arial"/>
          <w:sz w:val="20"/>
          <w:szCs w:val="20"/>
          <w:color w:val="auto"/>
        </w:rPr>
        <w:t>, which was subsequently amended by ASU No. 2018-19 and ASU No. 2019-10, requires the measurement of expected credit losses for financial instruments carried at amortized cost held at the reporting date based on historical experience, current conditions and reasonable forecasts. The updated guidance also amends the current other-than-temporary impairment model for available-for-sale debt securities by requiring the recognition of impairments relating to credit losses through an allowance account and limits the amount of credit loss to the difference between a security’s amortized cost basis and its fair value. In addition, the length of time a security has been in an unrealized loss position will no longer impact the determination of whether a credit loss exists. The main objective of this ASU is to provide financial statement users with more decision-useful information about the expected credit losses on financial instruments and other commitments to extend credit held by a reporting entity at each reporting date. The standard is effective for EGCs for the fiscal year beginning after December 15, 2022, or December 15, 2021 if we were to lose EGC status in 2021. The Company will continue to assess the possible impact of this standard, but currently does not expect the adoption of this standard will have a significant impact on its consolidated financial statements and its limited history of bad debt expense relating to trade accounts receivable.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000" w:type="dxa"/>
            <w:vAlign w:val="bottom"/>
          </w:tcPr>
          <w:p>
            <w:pPr>
              <w:spacing w:after="0"/>
              <w:rPr>
                <w:sz w:val="20"/>
                <w:szCs w:val="20"/>
                <w:color w:val="auto"/>
              </w:rPr>
            </w:pPr>
            <w:r>
              <w:rPr>
                <w:rFonts w:ascii="Arial" w:cs="Arial" w:eastAsia="Arial" w:hAnsi="Arial"/>
                <w:sz w:val="20"/>
                <w:szCs w:val="20"/>
                <w:b w:val="1"/>
                <w:bCs w:val="1"/>
                <w:color w:val="auto"/>
              </w:rPr>
              <w:t>3.  Inventories</w:t>
            </w:r>
          </w:p>
        </w:tc>
        <w:tc>
          <w:tcPr>
            <w:tcW w:w="3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486"/>
        </w:trPr>
        <w:tc>
          <w:tcPr>
            <w:tcW w:w="7000" w:type="dxa"/>
            <w:vAlign w:val="bottom"/>
          </w:tcPr>
          <w:p>
            <w:pPr>
              <w:spacing w:after="0"/>
              <w:rPr>
                <w:sz w:val="20"/>
                <w:szCs w:val="20"/>
                <w:color w:val="auto"/>
              </w:rPr>
            </w:pPr>
            <w:r>
              <w:rPr>
                <w:rFonts w:ascii="Arial" w:cs="Arial" w:eastAsia="Arial" w:hAnsi="Arial"/>
                <w:sz w:val="20"/>
                <w:szCs w:val="20"/>
                <w:color w:val="auto"/>
              </w:rPr>
              <w:t>Inventories consist of the following (in thousands):</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24"/>
        </w:trPr>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30,</w:t>
            </w:r>
          </w:p>
        </w:tc>
        <w:tc>
          <w:tcPr>
            <w:tcW w:w="300" w:type="dxa"/>
            <w:vAlign w:val="bottom"/>
          </w:tcPr>
          <w:p>
            <w:pPr>
              <w:spacing w:after="0"/>
              <w:rPr>
                <w:sz w:val="24"/>
                <w:szCs w:val="24"/>
                <w:color w:val="auto"/>
              </w:rPr>
            </w:pPr>
          </w:p>
        </w:tc>
        <w:tc>
          <w:tcPr>
            <w:tcW w:w="1780" w:type="dxa"/>
            <w:vAlign w:val="bottom"/>
          </w:tcPr>
          <w:p>
            <w:pPr>
              <w:jc w:val="right"/>
              <w:ind w:right="301"/>
              <w:spacing w:after="0"/>
              <w:rPr>
                <w:sz w:val="20"/>
                <w:szCs w:val="20"/>
                <w:color w:val="auto"/>
              </w:rPr>
            </w:pPr>
            <w:r>
              <w:rPr>
                <w:rFonts w:ascii="Arial" w:cs="Arial" w:eastAsia="Arial" w:hAnsi="Arial"/>
                <w:sz w:val="20"/>
                <w:szCs w:val="20"/>
                <w:b w:val="1"/>
                <w:bCs w:val="1"/>
                <w:color w:val="auto"/>
              </w:rPr>
              <w:t>December 31,</w:t>
            </w:r>
          </w:p>
        </w:tc>
      </w:tr>
      <w:tr>
        <w:trPr>
          <w:trHeight w:val="315"/>
        </w:trPr>
        <w:tc>
          <w:tcPr>
            <w:tcW w:w="70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b w:val="1"/>
                <w:bCs w:val="1"/>
                <w:color w:val="auto"/>
              </w:rPr>
              <w:t>2020</w:t>
            </w:r>
          </w:p>
        </w:tc>
      </w:tr>
      <w:tr>
        <w:trPr>
          <w:trHeight w:val="268"/>
        </w:trPr>
        <w:tc>
          <w:tcPr>
            <w:tcW w:w="7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Raw materials</w:t>
            </w:r>
          </w:p>
        </w:tc>
        <w:tc>
          <w:tcPr>
            <w:tcW w:w="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73,514</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39,051</w:t>
            </w:r>
          </w:p>
        </w:tc>
      </w:tr>
      <w:tr>
        <w:trPr>
          <w:trHeight w:val="265"/>
        </w:trPr>
        <w:tc>
          <w:tcPr>
            <w:tcW w:w="7000" w:type="dxa"/>
            <w:vAlign w:val="bottom"/>
          </w:tcPr>
          <w:p>
            <w:pPr>
              <w:ind w:left="20"/>
              <w:spacing w:after="0"/>
              <w:rPr>
                <w:sz w:val="20"/>
                <w:szCs w:val="20"/>
                <w:color w:val="auto"/>
              </w:rPr>
            </w:pPr>
            <w:r>
              <w:rPr>
                <w:rFonts w:ascii="Arial" w:cs="Arial" w:eastAsia="Arial" w:hAnsi="Arial"/>
                <w:sz w:val="20"/>
                <w:szCs w:val="20"/>
                <w:color w:val="auto"/>
              </w:rPr>
              <w:t>Finished goods</w:t>
            </w:r>
          </w:p>
        </w:tc>
        <w:tc>
          <w:tcPr>
            <w:tcW w:w="3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106,690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85,833</w:t>
            </w:r>
          </w:p>
        </w:tc>
      </w:tr>
      <w:tr>
        <w:trPr>
          <w:trHeight w:val="275"/>
        </w:trPr>
        <w:tc>
          <w:tcPr>
            <w:tcW w:w="7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Reserve for excess or obsolete inventory</w:t>
            </w:r>
          </w:p>
        </w:tc>
        <w:tc>
          <w:tcPr>
            <w:tcW w:w="30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(7,078)</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(6,425)</w:t>
            </w:r>
          </w:p>
        </w:tc>
      </w:tr>
      <w:tr>
        <w:trPr>
          <w:trHeight w:val="259"/>
        </w:trPr>
        <w:tc>
          <w:tcPr>
            <w:tcW w:w="7000" w:type="dxa"/>
            <w:vAlign w:val="bottom"/>
          </w:tcPr>
          <w:p>
            <w:pPr>
              <w:ind w:left="20"/>
              <w:spacing w:after="0"/>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173,126</w:t>
            </w: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118,459</w:t>
            </w:r>
          </w:p>
        </w:tc>
      </w:tr>
      <w:tr>
        <w:trPr>
          <w:trHeight w:val="25"/>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9"/>
          <w:szCs w:val="19"/>
          <w:b w:val="1"/>
          <w:bCs w:val="1"/>
          <w:color w:val="auto"/>
        </w:rPr>
        <w:t>Property, Plant and Equipment</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Property, plant and equipment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19"/>
                <w:szCs w:val="19"/>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8"/>
              </w:rPr>
              <w:t>Estimated</w:t>
            </w:r>
          </w:p>
        </w:tc>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19"/>
                <w:szCs w:val="19"/>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8"/>
              </w:rPr>
              <w:t>Useful Lives</w:t>
            </w:r>
          </w:p>
        </w:tc>
        <w:tc>
          <w:tcPr>
            <w:tcW w:w="340" w:type="dxa"/>
            <w:vAlign w:val="bottom"/>
          </w:tcPr>
          <w:p>
            <w:pPr>
              <w:spacing w:after="0"/>
              <w:rPr>
                <w:sz w:val="19"/>
                <w:szCs w:val="19"/>
                <w:color w:val="auto"/>
              </w:rPr>
            </w:pPr>
          </w:p>
        </w:tc>
        <w:tc>
          <w:tcPr>
            <w:tcW w:w="1860" w:type="dxa"/>
            <w:vAlign w:val="bottom"/>
            <w:gridSpan w:val="2"/>
          </w:tcPr>
          <w:p>
            <w:pPr>
              <w:ind w:left="40"/>
              <w:spacing w:after="0"/>
              <w:rPr>
                <w:sz w:val="20"/>
                <w:szCs w:val="20"/>
                <w:color w:val="auto"/>
              </w:rPr>
            </w:pPr>
            <w:r>
              <w:rPr>
                <w:rFonts w:ascii="Arial" w:cs="Arial" w:eastAsia="Arial" w:hAnsi="Arial"/>
                <w:sz w:val="20"/>
                <w:szCs w:val="20"/>
                <w:b w:val="1"/>
                <w:bCs w:val="1"/>
                <w:color w:val="auto"/>
              </w:rPr>
              <w:t>September 30,</w:t>
            </w:r>
          </w:p>
        </w:tc>
        <w:tc>
          <w:tcPr>
            <w:tcW w:w="360" w:type="dxa"/>
            <w:vAlign w:val="bottom"/>
          </w:tcPr>
          <w:p>
            <w:pPr>
              <w:spacing w:after="0"/>
              <w:rPr>
                <w:sz w:val="19"/>
                <w:szCs w:val="19"/>
                <w:color w:val="auto"/>
              </w:rPr>
            </w:pPr>
          </w:p>
        </w:tc>
        <w:tc>
          <w:tcPr>
            <w:tcW w:w="1760" w:type="dxa"/>
            <w:vAlign w:val="bottom"/>
          </w:tcPr>
          <w:p>
            <w:pPr>
              <w:jc w:val="right"/>
              <w:ind w:right="321"/>
              <w:spacing w:after="0"/>
              <w:rPr>
                <w:sz w:val="20"/>
                <w:szCs w:val="20"/>
                <w:color w:val="auto"/>
              </w:rPr>
            </w:pPr>
            <w:r>
              <w:rPr>
                <w:rFonts w:ascii="Arial" w:cs="Arial" w:eastAsia="Arial" w:hAnsi="Arial"/>
                <w:sz w:val="20"/>
                <w:szCs w:val="20"/>
                <w:b w:val="1"/>
                <w:bCs w:val="1"/>
                <w:color w:val="auto"/>
              </w:rPr>
              <w:t>December 31,</w:t>
            </w:r>
          </w:p>
        </w:tc>
        <w:tc>
          <w:tcPr>
            <w:tcW w:w="0" w:type="dxa"/>
            <w:vAlign w:val="bottom"/>
          </w:tcPr>
          <w:p>
            <w:pPr>
              <w:spacing w:after="0"/>
              <w:rPr>
                <w:sz w:val="1"/>
                <w:szCs w:val="1"/>
                <w:color w:val="auto"/>
              </w:rPr>
            </w:pPr>
          </w:p>
        </w:tc>
      </w:tr>
      <w:tr>
        <w:trPr>
          <w:trHeight w:val="261"/>
        </w:trPr>
        <w:tc>
          <w:tcPr>
            <w:tcW w:w="5280" w:type="dxa"/>
            <w:vAlign w:val="bottom"/>
          </w:tcPr>
          <w:p>
            <w:pPr>
              <w:spacing w:after="0"/>
              <w:rPr>
                <w:sz w:val="22"/>
                <w:szCs w:val="22"/>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7"/>
              </w:rPr>
              <w:t>(Years)</w:t>
            </w:r>
          </w:p>
        </w:tc>
        <w:tc>
          <w:tcPr>
            <w:tcW w:w="340" w:type="dxa"/>
            <w:vAlign w:val="bottom"/>
          </w:tcPr>
          <w:p>
            <w:pPr>
              <w:spacing w:after="0"/>
              <w:rPr>
                <w:sz w:val="22"/>
                <w:szCs w:val="22"/>
                <w:color w:val="auto"/>
              </w:rPr>
            </w:pPr>
          </w:p>
        </w:tc>
        <w:tc>
          <w:tcPr>
            <w:tcW w:w="1780" w:type="dxa"/>
            <w:vAlign w:val="bottom"/>
            <w:vMerge w:val="restart"/>
          </w:tcPr>
          <w:p>
            <w:pPr>
              <w:jc w:val="right"/>
              <w:ind w:right="741"/>
              <w:spacing w:after="0"/>
              <w:rPr>
                <w:sz w:val="20"/>
                <w:szCs w:val="20"/>
                <w:color w:val="auto"/>
              </w:rPr>
            </w:pPr>
            <w:r>
              <w:rPr>
                <w:rFonts w:ascii="Arial" w:cs="Arial" w:eastAsia="Arial" w:hAnsi="Arial"/>
                <w:sz w:val="20"/>
                <w:szCs w:val="20"/>
                <w:b w:val="1"/>
                <w:bCs w:val="1"/>
                <w:color w:val="auto"/>
              </w:rPr>
              <w:t>2021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60" w:type="dxa"/>
            <w:vAlign w:val="bottom"/>
            <w:vMerge w:val="restart"/>
          </w:tcPr>
          <w:p>
            <w:pPr>
              <w:jc w:val="right"/>
              <w:ind w:right="661"/>
              <w:spacing w:after="0"/>
              <w:rPr>
                <w:sz w:val="20"/>
                <w:szCs w:val="20"/>
                <w:color w:val="auto"/>
              </w:rPr>
            </w:pPr>
            <w:r>
              <w:rPr>
                <w:rFonts w:ascii="Arial" w:cs="Arial" w:eastAsia="Arial" w:hAnsi="Arial"/>
                <w:sz w:val="20"/>
                <w:szCs w:val="20"/>
                <w:b w:val="1"/>
                <w:bCs w:val="1"/>
                <w:color w:val="auto"/>
              </w:rPr>
              <w:t>2020</w:t>
            </w:r>
          </w:p>
        </w:tc>
        <w:tc>
          <w:tcPr>
            <w:tcW w:w="0" w:type="dxa"/>
            <w:vAlign w:val="bottom"/>
          </w:tcPr>
          <w:p>
            <w:pPr>
              <w:spacing w:after="0"/>
              <w:rPr>
                <w:sz w:val="1"/>
                <w:szCs w:val="1"/>
                <w:color w:val="auto"/>
              </w:rPr>
            </w:pPr>
          </w:p>
        </w:tc>
      </w:tr>
      <w:tr>
        <w:trPr>
          <w:trHeight w:val="72"/>
        </w:trPr>
        <w:tc>
          <w:tcPr>
            <w:tcW w:w="5280" w:type="dxa"/>
            <w:vAlign w:val="bottom"/>
            <w:tcBorders>
              <w:bottom w:val="single" w:sz="8" w:color="CCEEFF"/>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5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Land</w:t>
            </w: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20"/>
                <w:szCs w:val="20"/>
                <w:color w:val="auto"/>
                <w:w w:val="95"/>
              </w:rPr>
              <w:t>N/A</w:t>
            </w:r>
          </w:p>
        </w:tc>
        <w:tc>
          <w:tcPr>
            <w:tcW w:w="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1,340</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1,340</w:t>
            </w:r>
          </w:p>
        </w:tc>
        <w:tc>
          <w:tcPr>
            <w:tcW w:w="0" w:type="dxa"/>
            <w:vAlign w:val="bottom"/>
          </w:tcPr>
          <w:p>
            <w:pPr>
              <w:spacing w:after="0"/>
              <w:rPr>
                <w:sz w:val="1"/>
                <w:szCs w:val="1"/>
                <w:color w:val="auto"/>
              </w:rPr>
            </w:pPr>
          </w:p>
        </w:tc>
      </w:tr>
      <w:tr>
        <w:trPr>
          <w:trHeight w:val="265"/>
        </w:trPr>
        <w:tc>
          <w:tcPr>
            <w:tcW w:w="5280" w:type="dxa"/>
            <w:vAlign w:val="bottom"/>
          </w:tcPr>
          <w:p>
            <w:pPr>
              <w:ind w:left="20"/>
              <w:spacing w:after="0"/>
              <w:rPr>
                <w:sz w:val="20"/>
                <w:szCs w:val="20"/>
                <w:color w:val="auto"/>
              </w:rPr>
            </w:pPr>
            <w:r>
              <w:rPr>
                <w:rFonts w:ascii="Arial" w:cs="Arial" w:eastAsia="Arial" w:hAnsi="Arial"/>
                <w:sz w:val="20"/>
                <w:szCs w:val="20"/>
                <w:color w:val="auto"/>
              </w:rPr>
              <w:t>Buildings and land improvements</w:t>
            </w:r>
          </w:p>
        </w:tc>
        <w:tc>
          <w:tcPr>
            <w:tcW w:w="1560" w:type="dxa"/>
            <w:vAlign w:val="bottom"/>
          </w:tcPr>
          <w:p>
            <w:pPr>
              <w:jc w:val="center"/>
              <w:spacing w:after="0"/>
              <w:rPr>
                <w:sz w:val="20"/>
                <w:szCs w:val="20"/>
                <w:color w:val="auto"/>
              </w:rPr>
            </w:pPr>
            <w:r>
              <w:rPr>
                <w:rFonts w:ascii="Arial" w:cs="Arial" w:eastAsia="Arial" w:hAnsi="Arial"/>
                <w:sz w:val="20"/>
                <w:szCs w:val="20"/>
                <w:color w:val="auto"/>
                <w:w w:val="97"/>
              </w:rPr>
              <w:t>15-39</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2,486</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2,486</w:t>
            </w:r>
          </w:p>
        </w:tc>
        <w:tc>
          <w:tcPr>
            <w:tcW w:w="0" w:type="dxa"/>
            <w:vAlign w:val="bottom"/>
          </w:tcPr>
          <w:p>
            <w:pPr>
              <w:spacing w:after="0"/>
              <w:rPr>
                <w:sz w:val="1"/>
                <w:szCs w:val="1"/>
                <w:color w:val="auto"/>
              </w:rPr>
            </w:pPr>
          </w:p>
        </w:tc>
      </w:tr>
      <w:tr>
        <w:trPr>
          <w:trHeight w:val="275"/>
        </w:trPr>
        <w:tc>
          <w:tcPr>
            <w:tcW w:w="5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Manufacturing equipment</w:t>
            </w:r>
          </w:p>
        </w:tc>
        <w:tc>
          <w:tcPr>
            <w:tcW w:w="156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7</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13,791</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13,261</w:t>
            </w:r>
          </w:p>
        </w:tc>
        <w:tc>
          <w:tcPr>
            <w:tcW w:w="0" w:type="dxa"/>
            <w:vAlign w:val="bottom"/>
          </w:tcPr>
          <w:p>
            <w:pPr>
              <w:spacing w:after="0"/>
              <w:rPr>
                <w:sz w:val="1"/>
                <w:szCs w:val="1"/>
                <w:color w:val="auto"/>
              </w:rPr>
            </w:pPr>
          </w:p>
        </w:tc>
      </w:tr>
      <w:tr>
        <w:trPr>
          <w:trHeight w:val="265"/>
        </w:trPr>
        <w:tc>
          <w:tcPr>
            <w:tcW w:w="5280" w:type="dxa"/>
            <w:vAlign w:val="bottom"/>
          </w:tcPr>
          <w:p>
            <w:pPr>
              <w:ind w:left="20"/>
              <w:spacing w:after="0"/>
              <w:rPr>
                <w:sz w:val="20"/>
                <w:szCs w:val="20"/>
                <w:color w:val="auto"/>
              </w:rPr>
            </w:pPr>
            <w:r>
              <w:rPr>
                <w:rFonts w:ascii="Arial" w:cs="Arial" w:eastAsia="Arial" w:hAnsi="Arial"/>
                <w:sz w:val="20"/>
                <w:szCs w:val="20"/>
                <w:color w:val="auto"/>
              </w:rPr>
              <w:t>Furniture, fixtures and equipment</w:t>
            </w:r>
          </w:p>
        </w:tc>
        <w:tc>
          <w:tcPr>
            <w:tcW w:w="1560" w:type="dxa"/>
            <w:vAlign w:val="bottom"/>
          </w:tcPr>
          <w:p>
            <w:pPr>
              <w:jc w:val="center"/>
              <w:spacing w:after="0"/>
              <w:rPr>
                <w:sz w:val="20"/>
                <w:szCs w:val="20"/>
                <w:color w:val="auto"/>
              </w:rPr>
            </w:pPr>
            <w:r>
              <w:rPr>
                <w:rFonts w:ascii="Arial" w:cs="Arial" w:eastAsia="Arial" w:hAnsi="Arial"/>
                <w:sz w:val="20"/>
                <w:szCs w:val="20"/>
                <w:color w:val="auto"/>
                <w:w w:val="96"/>
              </w:rPr>
              <w:t>5-7</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477</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443</w:t>
            </w:r>
          </w:p>
        </w:tc>
        <w:tc>
          <w:tcPr>
            <w:tcW w:w="0" w:type="dxa"/>
            <w:vAlign w:val="bottom"/>
          </w:tcPr>
          <w:p>
            <w:pPr>
              <w:spacing w:after="0"/>
              <w:rPr>
                <w:sz w:val="1"/>
                <w:szCs w:val="1"/>
                <w:color w:val="auto"/>
              </w:rPr>
            </w:pPr>
          </w:p>
        </w:tc>
      </w:tr>
      <w:tr>
        <w:trPr>
          <w:trHeight w:val="275"/>
        </w:trPr>
        <w:tc>
          <w:tcPr>
            <w:tcW w:w="5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Vehicles</w:t>
            </w:r>
          </w:p>
        </w:tc>
        <w:tc>
          <w:tcPr>
            <w:tcW w:w="1560" w:type="dxa"/>
            <w:vAlign w:val="bottom"/>
            <w:shd w:val="clear" w:color="auto" w:fill="CCEEFF"/>
          </w:tcPr>
          <w:p>
            <w:pPr>
              <w:jc w:val="center"/>
              <w:spacing w:after="0"/>
              <w:rPr>
                <w:sz w:val="20"/>
                <w:szCs w:val="20"/>
                <w:color w:val="auto"/>
              </w:rPr>
            </w:pPr>
            <w:r>
              <w:rPr>
                <w:rFonts w:ascii="Arial" w:cs="Arial" w:eastAsia="Arial" w:hAnsi="Arial"/>
                <w:sz w:val="20"/>
                <w:szCs w:val="20"/>
                <w:color w:val="auto"/>
              </w:rPr>
              <w:t>5</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161</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140</w:t>
            </w:r>
          </w:p>
        </w:tc>
        <w:tc>
          <w:tcPr>
            <w:tcW w:w="0" w:type="dxa"/>
            <w:vAlign w:val="bottom"/>
          </w:tcPr>
          <w:p>
            <w:pPr>
              <w:spacing w:after="0"/>
              <w:rPr>
                <w:sz w:val="1"/>
                <w:szCs w:val="1"/>
                <w:color w:val="auto"/>
              </w:rPr>
            </w:pPr>
          </w:p>
        </w:tc>
      </w:tr>
      <w:tr>
        <w:trPr>
          <w:trHeight w:val="265"/>
        </w:trPr>
        <w:tc>
          <w:tcPr>
            <w:tcW w:w="5280" w:type="dxa"/>
            <w:vAlign w:val="bottom"/>
          </w:tcPr>
          <w:p>
            <w:pPr>
              <w:ind w:left="20"/>
              <w:spacing w:after="0"/>
              <w:rPr>
                <w:sz w:val="20"/>
                <w:szCs w:val="20"/>
                <w:color w:val="auto"/>
              </w:rPr>
            </w:pPr>
            <w:r>
              <w:rPr>
                <w:rFonts w:ascii="Arial" w:cs="Arial" w:eastAsia="Arial" w:hAnsi="Arial"/>
                <w:sz w:val="20"/>
                <w:szCs w:val="20"/>
                <w:color w:val="auto"/>
              </w:rPr>
              <w:t>Hardware and software</w:t>
            </w:r>
          </w:p>
        </w:tc>
        <w:tc>
          <w:tcPr>
            <w:tcW w:w="1560" w:type="dxa"/>
            <w:vAlign w:val="bottom"/>
          </w:tcPr>
          <w:p>
            <w:pPr>
              <w:jc w:val="center"/>
              <w:spacing w:after="0"/>
              <w:rPr>
                <w:sz w:val="20"/>
                <w:szCs w:val="20"/>
                <w:color w:val="auto"/>
              </w:rPr>
            </w:pPr>
            <w:r>
              <w:rPr>
                <w:rFonts w:ascii="Arial" w:cs="Arial" w:eastAsia="Arial" w:hAnsi="Arial"/>
                <w:sz w:val="20"/>
                <w:szCs w:val="20"/>
                <w:color w:val="auto"/>
                <w:w w:val="96"/>
              </w:rPr>
              <w:t>3-5</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1,603</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887</w:t>
            </w:r>
          </w:p>
        </w:tc>
        <w:tc>
          <w:tcPr>
            <w:tcW w:w="0" w:type="dxa"/>
            <w:vAlign w:val="bottom"/>
          </w:tcPr>
          <w:p>
            <w:pPr>
              <w:spacing w:after="0"/>
              <w:rPr>
                <w:sz w:val="1"/>
                <w:szCs w:val="1"/>
                <w:color w:val="auto"/>
              </w:rPr>
            </w:pPr>
          </w:p>
        </w:tc>
      </w:tr>
      <w:tr>
        <w:trPr>
          <w:trHeight w:val="275"/>
        </w:trPr>
        <w:tc>
          <w:tcPr>
            <w:tcW w:w="5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Machinery in progress</w:t>
            </w: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951</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5280" w:type="dxa"/>
            <w:vAlign w:val="bottom"/>
          </w:tcPr>
          <w:p>
            <w:pPr>
              <w:ind w:left="240"/>
              <w:spacing w:after="0"/>
              <w:rPr>
                <w:sz w:val="20"/>
                <w:szCs w:val="20"/>
                <w:color w:val="auto"/>
              </w:rPr>
            </w:pPr>
            <w:r>
              <w:rPr>
                <w:rFonts w:ascii="Arial" w:cs="Arial" w:eastAsia="Arial" w:hAnsi="Arial"/>
                <w:sz w:val="20"/>
                <w:szCs w:val="20"/>
                <w:color w:val="auto"/>
              </w:rPr>
              <w:t>Total</w:t>
            </w: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20,809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18,557</w:t>
            </w: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Less: accumulated depreciation</w:t>
            </w:r>
          </w:p>
        </w:tc>
        <w:tc>
          <w:tcPr>
            <w:tcW w:w="1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(10,607)</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(8,783)</w:t>
            </w:r>
          </w:p>
        </w:tc>
        <w:tc>
          <w:tcPr>
            <w:tcW w:w="0" w:type="dxa"/>
            <w:vAlign w:val="bottom"/>
          </w:tcPr>
          <w:p>
            <w:pPr>
              <w:spacing w:after="0"/>
              <w:rPr>
                <w:sz w:val="1"/>
                <w:szCs w:val="1"/>
                <w:color w:val="auto"/>
              </w:rPr>
            </w:pPr>
          </w:p>
        </w:tc>
      </w:tr>
      <w:tr>
        <w:trPr>
          <w:trHeight w:val="259"/>
        </w:trPr>
        <w:tc>
          <w:tcPr>
            <w:tcW w:w="528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10,202</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9,774</w:t>
            </w:r>
          </w:p>
        </w:tc>
        <w:tc>
          <w:tcPr>
            <w:tcW w:w="0" w:type="dxa"/>
            <w:vAlign w:val="bottom"/>
          </w:tcPr>
          <w:p>
            <w:pPr>
              <w:spacing w:after="0"/>
              <w:rPr>
                <w:sz w:val="1"/>
                <w:szCs w:val="1"/>
                <w:color w:val="auto"/>
              </w:rPr>
            </w:pPr>
          </w:p>
        </w:tc>
      </w:tr>
      <w:tr>
        <w:trPr>
          <w:trHeight w:val="25"/>
        </w:trPr>
        <w:tc>
          <w:tcPr>
            <w:tcW w:w="5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Depreciation expense was $0.6 million and $0.6 million for the three months ended September 30, 2021 and 2020, respectively, of which $0.5 million and $0.5 million, respectively, has been allocated to cost of revenue and $0.1 million and $0.1 million, respectively, is included in depreciation and amortization in the accompanying condensed consolidated statements of operations for the three months ended September 30, 2021 and 2020.</w:t>
      </w:r>
    </w:p>
    <w:p>
      <w:pPr>
        <w:spacing w:after="0" w:line="234" w:lineRule="exact"/>
        <w:rPr>
          <w:sz w:val="20"/>
          <w:szCs w:val="20"/>
          <w:color w:val="auto"/>
        </w:rPr>
      </w:pPr>
    </w:p>
    <w:p>
      <w:pPr>
        <w:ind w:right="140"/>
        <w:spacing w:after="0" w:line="256" w:lineRule="auto"/>
        <w:rPr>
          <w:sz w:val="20"/>
          <w:szCs w:val="20"/>
          <w:color w:val="auto"/>
        </w:rPr>
      </w:pPr>
      <w:r>
        <w:rPr>
          <w:rFonts w:ascii="Arial" w:cs="Arial" w:eastAsia="Arial" w:hAnsi="Arial"/>
          <w:sz w:val="20"/>
          <w:szCs w:val="20"/>
          <w:color w:val="auto"/>
        </w:rPr>
        <w:t>Depreciation expense was $1.8 million and $1.8 million for the nine months ended September 30, 2021 and 2020, respectively, of which $1.5 million and $1.5 million, respectively, has been allocated to cost of revenue and $0.3 million and $0.3 million, respectively, is included in depreciation and amortization in the accompanying consolidated statements of operations for the nine months ended September 30, 2021 and 2020.</w:t>
      </w:r>
    </w:p>
    <w:p>
      <w:pPr>
        <w:spacing w:after="0" w:line="210" w:lineRule="exact"/>
        <w:rPr>
          <w:sz w:val="20"/>
          <w:szCs w:val="20"/>
          <w:color w:val="auto"/>
        </w:rPr>
      </w:pPr>
    </w:p>
    <w:p>
      <w:pPr>
        <w:ind w:left="400" w:hanging="392"/>
        <w:spacing w:after="0"/>
        <w:tabs>
          <w:tab w:leader="none" w:pos="40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w:t>
      </w:r>
    </w:p>
    <w:p>
      <w:pPr>
        <w:spacing w:after="0" w:line="280" w:lineRule="exact"/>
        <w:rPr>
          <w:sz w:val="20"/>
          <w:szCs w:val="20"/>
          <w:color w:val="auto"/>
        </w:rPr>
      </w:pPr>
    </w:p>
    <w:p>
      <w:pPr>
        <w:ind w:right="500"/>
        <w:spacing w:after="0" w:line="257" w:lineRule="auto"/>
        <w:rPr>
          <w:sz w:val="20"/>
          <w:szCs w:val="20"/>
          <w:color w:val="auto"/>
        </w:rPr>
      </w:pPr>
      <w:r>
        <w:rPr>
          <w:rFonts w:ascii="Arial" w:cs="Arial" w:eastAsia="Arial" w:hAnsi="Arial"/>
          <w:sz w:val="20"/>
          <w:szCs w:val="20"/>
          <w:color w:val="auto"/>
        </w:rPr>
        <w:t>Goodwill relates to Former Parent’s acquisition of AT (the “Acquisition”) in 2016. As of July 8, 2016 (the “Acquisition Date”), goodwill was $121.6 million. As of September 30, 2021 and December 31, 2020 goodwill totaled $69.7 million, net of accumulated impairment of $51.9 million and is not deductible for tax purposes.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Intangible Assets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Other intangible assets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20"/>
          <w:szCs w:val="20"/>
          <w:color w:val="auto"/>
        </w:rPr>
        <w:t>Amortizable:</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Costs:</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Developed technology</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Customer relationships</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Internal-use software modification</w:t>
      </w:r>
    </w:p>
    <w:p>
      <w:pPr>
        <w:spacing w:after="0" w:line="52" w:lineRule="exact"/>
        <w:rPr>
          <w:sz w:val="20"/>
          <w:szCs w:val="20"/>
          <w:color w:val="auto"/>
        </w:rPr>
      </w:pPr>
    </w:p>
    <w:p>
      <w:pPr>
        <w:ind w:left="240"/>
        <w:spacing w:after="0"/>
        <w:rPr>
          <w:sz w:val="20"/>
          <w:szCs w:val="20"/>
          <w:color w:val="auto"/>
        </w:rPr>
      </w:pPr>
      <w:r>
        <w:rPr>
          <w:rFonts w:ascii="Arial" w:cs="Arial" w:eastAsia="Arial" w:hAnsi="Arial"/>
          <w:sz w:val="20"/>
          <w:szCs w:val="20"/>
          <w:color w:val="auto"/>
        </w:rPr>
        <w:t>Total amortizable intangibles</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rPr>
              <w:t>Estimated</w:t>
            </w:r>
          </w:p>
        </w:tc>
        <w:tc>
          <w:tcPr>
            <w:tcW w:w="260" w:type="dxa"/>
            <w:vAlign w:val="bottom"/>
          </w:tcPr>
          <w:p>
            <w:pPr>
              <w:spacing w:after="0"/>
              <w:rPr>
                <w:sz w:val="19"/>
                <w:szCs w:val="19"/>
                <w:color w:val="auto"/>
              </w:rPr>
            </w:pPr>
          </w:p>
        </w:tc>
        <w:tc>
          <w:tcPr>
            <w:tcW w:w="182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auto"/>
              </w:rPr>
              <w:t>September 30,</w:t>
            </w:r>
          </w:p>
        </w:tc>
        <w:tc>
          <w:tcPr>
            <w:tcW w:w="320" w:type="dxa"/>
            <w:vAlign w:val="bottom"/>
          </w:tcPr>
          <w:p>
            <w:pPr>
              <w:spacing w:after="0"/>
              <w:rPr>
                <w:sz w:val="19"/>
                <w:szCs w:val="19"/>
                <w:color w:val="auto"/>
              </w:rPr>
            </w:pPr>
          </w:p>
        </w:tc>
        <w:tc>
          <w:tcPr>
            <w:tcW w:w="1760" w:type="dxa"/>
            <w:vAlign w:val="bottom"/>
            <w:vMerge w:val="restart"/>
          </w:tcPr>
          <w:p>
            <w:pPr>
              <w:jc w:val="right"/>
              <w:ind w:right="301"/>
              <w:spacing w:after="0"/>
              <w:rPr>
                <w:sz w:val="20"/>
                <w:szCs w:val="20"/>
                <w:color w:val="auto"/>
              </w:rPr>
            </w:pPr>
            <w:r>
              <w:rPr>
                <w:rFonts w:ascii="Arial" w:cs="Arial" w:eastAsia="Arial" w:hAnsi="Arial"/>
                <w:sz w:val="20"/>
                <w:szCs w:val="20"/>
                <w:b w:val="1"/>
                <w:bCs w:val="1"/>
                <w:color w:val="auto"/>
              </w:rPr>
              <w:t>December 31,</w:t>
            </w:r>
          </w:p>
        </w:tc>
        <w:tc>
          <w:tcPr>
            <w:tcW w:w="0" w:type="dxa"/>
            <w:vAlign w:val="bottom"/>
          </w:tcPr>
          <w:p>
            <w:pPr>
              <w:spacing w:after="0"/>
              <w:rPr>
                <w:sz w:val="1"/>
                <w:szCs w:val="1"/>
                <w:color w:val="auto"/>
              </w:rPr>
            </w:pPr>
          </w:p>
        </w:tc>
      </w:tr>
      <w:tr>
        <w:trPr>
          <w:trHeight w:val="126"/>
        </w:trPr>
        <w:tc>
          <w:tcPr>
            <w:tcW w:w="1680" w:type="dxa"/>
            <w:vAlign w:val="bottom"/>
            <w:gridSpan w:val="2"/>
            <w:vMerge w:val="restart"/>
          </w:tcPr>
          <w:p>
            <w:pPr>
              <w:jc w:val="center"/>
              <w:ind w:right="80"/>
              <w:spacing w:after="0" w:line="203" w:lineRule="exact"/>
              <w:rPr>
                <w:sz w:val="20"/>
                <w:szCs w:val="20"/>
                <w:color w:val="auto"/>
              </w:rPr>
            </w:pPr>
            <w:r>
              <w:rPr>
                <w:rFonts w:ascii="Arial" w:cs="Arial" w:eastAsia="Arial" w:hAnsi="Arial"/>
                <w:sz w:val="20"/>
                <w:szCs w:val="20"/>
                <w:b w:val="1"/>
                <w:bCs w:val="1"/>
                <w:color w:val="auto"/>
                <w:w w:val="98"/>
              </w:rPr>
              <w:t>Useful Lives</w:t>
            </w:r>
          </w:p>
        </w:tc>
        <w:tc>
          <w:tcPr>
            <w:tcW w:w="260" w:type="dxa"/>
            <w:vAlign w:val="bottom"/>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6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68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97"/>
              </w:rPr>
              <w:t>(Years)</w:t>
            </w:r>
          </w:p>
        </w:tc>
        <w:tc>
          <w:tcPr>
            <w:tcW w:w="260" w:type="dxa"/>
            <w:vAlign w:val="bottom"/>
          </w:tcPr>
          <w:p>
            <w:pPr>
              <w:spacing w:after="0"/>
              <w:rPr>
                <w:sz w:val="23"/>
                <w:szCs w:val="23"/>
                <w:color w:val="auto"/>
              </w:rPr>
            </w:pPr>
          </w:p>
        </w:tc>
        <w:tc>
          <w:tcPr>
            <w:tcW w:w="1740" w:type="dxa"/>
            <w:vAlign w:val="bottom"/>
          </w:tcPr>
          <w:p>
            <w:pPr>
              <w:jc w:val="right"/>
              <w:ind w:right="681"/>
              <w:spacing w:after="0"/>
              <w:rPr>
                <w:sz w:val="20"/>
                <w:szCs w:val="20"/>
                <w:color w:val="auto"/>
              </w:rPr>
            </w:pPr>
            <w:r>
              <w:rPr>
                <w:rFonts w:ascii="Arial" w:cs="Arial" w:eastAsia="Arial" w:hAnsi="Arial"/>
                <w:sz w:val="20"/>
                <w:szCs w:val="20"/>
                <w:b w:val="1"/>
                <w:bCs w:val="1"/>
                <w:color w:val="auto"/>
              </w:rPr>
              <w:t>2021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60" w:type="dxa"/>
            <w:vAlign w:val="bottom"/>
          </w:tcPr>
          <w:p>
            <w:pPr>
              <w:jc w:val="right"/>
              <w:ind w:right="721"/>
              <w:spacing w:after="0"/>
              <w:rPr>
                <w:sz w:val="20"/>
                <w:szCs w:val="20"/>
                <w:color w:val="auto"/>
              </w:rPr>
            </w:pPr>
            <w:r>
              <w:rPr>
                <w:rFonts w:ascii="Arial" w:cs="Arial" w:eastAsia="Arial" w:hAnsi="Arial"/>
                <w:sz w:val="20"/>
                <w:szCs w:val="20"/>
                <w:b w:val="1"/>
                <w:bCs w:val="1"/>
                <w:color w:val="auto"/>
              </w:rPr>
              <w:t>2020</w:t>
            </w:r>
          </w:p>
        </w:tc>
        <w:tc>
          <w:tcPr>
            <w:tcW w:w="0" w:type="dxa"/>
            <w:vAlign w:val="bottom"/>
          </w:tcPr>
          <w:p>
            <w:pPr>
              <w:spacing w:after="0"/>
              <w:rPr>
                <w:sz w:val="1"/>
                <w:szCs w:val="1"/>
                <w:color w:val="auto"/>
              </w:rPr>
            </w:pPr>
          </w:p>
        </w:tc>
      </w:tr>
      <w:tr>
        <w:trPr>
          <w:trHeight w:val="780"/>
        </w:trPr>
        <w:tc>
          <w:tcPr>
            <w:tcW w:w="16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8"/>
              </w:rPr>
              <w:t>14</w:t>
            </w:r>
          </w:p>
        </w:tc>
        <w:tc>
          <w:tcPr>
            <w:tcW w:w="80" w:type="dxa"/>
            <w:vAlign w:val="bottom"/>
          </w:tcPr>
          <w:p>
            <w:pPr>
              <w:spacing w:after="0"/>
              <w:rPr>
                <w:sz w:val="24"/>
                <w:szCs w:val="24"/>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203,800</w:t>
            </w:r>
          </w:p>
        </w:tc>
        <w:tc>
          <w:tcPr>
            <w:tcW w:w="80" w:type="dxa"/>
            <w:vAlign w:val="bottom"/>
          </w:tcPr>
          <w:p>
            <w:pPr>
              <w:spacing w:after="0"/>
              <w:rPr>
                <w:sz w:val="24"/>
                <w:szCs w:val="24"/>
                <w:color w:val="auto"/>
              </w:rPr>
            </w:pPr>
          </w:p>
        </w:tc>
        <w:tc>
          <w:tcPr>
            <w:tcW w:w="32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203,800</w:t>
            </w:r>
          </w:p>
        </w:tc>
        <w:tc>
          <w:tcPr>
            <w:tcW w:w="0" w:type="dxa"/>
            <w:vAlign w:val="bottom"/>
          </w:tcPr>
          <w:p>
            <w:pPr>
              <w:spacing w:after="0"/>
              <w:rPr>
                <w:sz w:val="1"/>
                <w:szCs w:val="1"/>
                <w:color w:val="auto"/>
              </w:rPr>
            </w:pPr>
          </w:p>
        </w:tc>
      </w:tr>
      <w:tr>
        <w:trPr>
          <w:trHeight w:val="270"/>
        </w:trPr>
        <w:tc>
          <w:tcPr>
            <w:tcW w:w="1600" w:type="dxa"/>
            <w:vAlign w:val="bottom"/>
          </w:tcPr>
          <w:p>
            <w:pPr>
              <w:jc w:val="center"/>
              <w:spacing w:after="0"/>
              <w:rPr>
                <w:sz w:val="20"/>
                <w:szCs w:val="20"/>
                <w:color w:val="auto"/>
              </w:rPr>
            </w:pPr>
            <w:r>
              <w:rPr>
                <w:rFonts w:ascii="Arial" w:cs="Arial" w:eastAsia="Arial" w:hAnsi="Arial"/>
                <w:sz w:val="20"/>
                <w:szCs w:val="20"/>
                <w:color w:val="auto"/>
                <w:w w:val="98"/>
              </w:rPr>
              <w:t>10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89,500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89,500</w:t>
            </w:r>
          </w:p>
        </w:tc>
        <w:tc>
          <w:tcPr>
            <w:tcW w:w="0" w:type="dxa"/>
            <w:vAlign w:val="bottom"/>
          </w:tcPr>
          <w:p>
            <w:pPr>
              <w:spacing w:after="0"/>
              <w:rPr>
                <w:sz w:val="1"/>
                <w:szCs w:val="1"/>
                <w:color w:val="auto"/>
              </w:rPr>
            </w:pPr>
          </w:p>
        </w:tc>
      </w:tr>
      <w:tr>
        <w:trPr>
          <w:trHeight w:val="275"/>
        </w:trPr>
        <w:tc>
          <w:tcPr>
            <w:tcW w:w="1600" w:type="dxa"/>
            <w:vAlign w:val="bottom"/>
          </w:tcPr>
          <w:p>
            <w:pPr>
              <w:jc w:val="center"/>
              <w:spacing w:after="0"/>
              <w:rPr>
                <w:sz w:val="20"/>
                <w:szCs w:val="20"/>
                <w:color w:val="auto"/>
              </w:rPr>
            </w:pPr>
            <w:r>
              <w:rPr>
                <w:rFonts w:ascii="Arial" w:cs="Arial" w:eastAsia="Arial" w:hAnsi="Arial"/>
                <w:sz w:val="20"/>
                <w:szCs w:val="20"/>
                <w:color w:val="auto"/>
              </w:rPr>
              <w:t>2.5</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4,356</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4,356</w:t>
            </w:r>
          </w:p>
        </w:tc>
        <w:tc>
          <w:tcPr>
            <w:tcW w:w="0" w:type="dxa"/>
            <w:vAlign w:val="bottom"/>
          </w:tcPr>
          <w:p>
            <w:pPr>
              <w:spacing w:after="0"/>
              <w:rPr>
                <w:sz w:val="1"/>
                <w:szCs w:val="1"/>
                <w:color w:val="auto"/>
              </w:rPr>
            </w:pPr>
          </w:p>
        </w:tc>
      </w:tr>
      <w:tr>
        <w:trPr>
          <w:trHeight w:val="264"/>
        </w:trPr>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297,656</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297,656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-1045210</wp:posOffset>
            </wp:positionV>
            <wp:extent cx="708914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-702310</wp:posOffset>
            </wp:positionV>
            <wp:extent cx="708914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-359410</wp:posOffset>
            </wp:positionV>
            <wp:extent cx="708914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-7620</wp:posOffset>
            </wp:positionV>
            <wp:extent cx="708914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20" w:space="720"/>
            <w:col w:w="5860"/>
          </w:cols>
          <w:pgMar w:left="320" w:top="1440" w:right="379" w:bottom="1440" w:gutter="0" w:footer="0" w:header="0"/>
        </w:sectPr>
      </w:pP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020" w:type="dxa"/>
            <w:vAlign w:val="bottom"/>
          </w:tcPr>
          <w:p>
            <w:pPr>
              <w:ind w:left="240"/>
              <w:spacing w:after="0"/>
              <w:rPr>
                <w:sz w:val="20"/>
                <w:szCs w:val="20"/>
                <w:color w:val="auto"/>
              </w:rPr>
            </w:pPr>
            <w:r>
              <w:rPr>
                <w:rFonts w:ascii="Arial" w:cs="Arial" w:eastAsia="Arial" w:hAnsi="Arial"/>
                <w:sz w:val="20"/>
                <w:szCs w:val="20"/>
                <w:color w:val="auto"/>
              </w:rPr>
              <w:t>Accumulated amortization:</w:t>
            </w:r>
          </w:p>
        </w:tc>
        <w:tc>
          <w:tcPr>
            <w:tcW w:w="7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5"/>
        </w:trPr>
        <w:tc>
          <w:tcPr>
            <w:tcW w:w="70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Developed technology</w:t>
            </w:r>
          </w:p>
        </w:tc>
        <w:tc>
          <w:tcPr>
            <w:tcW w:w="7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76,151</w:t>
            </w: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65,233</w:t>
            </w:r>
          </w:p>
        </w:tc>
      </w:tr>
      <w:tr>
        <w:trPr>
          <w:trHeight w:val="265"/>
        </w:trPr>
        <w:tc>
          <w:tcPr>
            <w:tcW w:w="7020" w:type="dxa"/>
            <w:vAlign w:val="bottom"/>
          </w:tcPr>
          <w:p>
            <w:pPr>
              <w:ind w:left="360"/>
              <w:spacing w:after="0"/>
              <w:rPr>
                <w:sz w:val="20"/>
                <w:szCs w:val="20"/>
                <w:color w:val="auto"/>
              </w:rPr>
            </w:pPr>
            <w:r>
              <w:rPr>
                <w:rFonts w:ascii="Arial" w:cs="Arial" w:eastAsia="Arial" w:hAnsi="Arial"/>
                <w:sz w:val="20"/>
                <w:szCs w:val="20"/>
                <w:color w:val="auto"/>
              </w:rPr>
              <w:t>Customer relationships</w:t>
            </w:r>
          </w:p>
        </w:tc>
        <w:tc>
          <w:tcPr>
            <w:tcW w:w="7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46,819</w:t>
            </w: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40,107</w:t>
            </w:r>
          </w:p>
        </w:tc>
      </w:tr>
      <w:tr>
        <w:trPr>
          <w:trHeight w:val="275"/>
        </w:trPr>
        <w:tc>
          <w:tcPr>
            <w:tcW w:w="70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Internal-use software modification costs</w:t>
            </w:r>
          </w:p>
        </w:tc>
        <w:tc>
          <w:tcPr>
            <w:tcW w:w="7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4,356</w:t>
            </w:r>
          </w:p>
        </w:tc>
        <w:tc>
          <w:tcPr>
            <w:tcW w:w="8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4,356</w:t>
            </w:r>
          </w:p>
        </w:tc>
      </w:tr>
      <w:tr>
        <w:trPr>
          <w:trHeight w:val="259"/>
        </w:trPr>
        <w:tc>
          <w:tcPr>
            <w:tcW w:w="70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Total accumulated amortization</w:t>
            </w:r>
          </w:p>
        </w:tc>
        <w:tc>
          <w:tcPr>
            <w:tcW w:w="7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127,326</w:t>
            </w:r>
          </w:p>
        </w:tc>
        <w:tc>
          <w:tcPr>
            <w:tcW w:w="8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109,696</w:t>
            </w:r>
          </w:p>
        </w:tc>
      </w:tr>
      <w:tr>
        <w:trPr>
          <w:trHeight w:val="263"/>
        </w:trPr>
        <w:tc>
          <w:tcPr>
            <w:tcW w:w="7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amortizable intangibles, net</w:t>
            </w:r>
          </w:p>
        </w:tc>
        <w:tc>
          <w:tcPr>
            <w:tcW w:w="7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170,330</w:t>
            </w:r>
          </w:p>
        </w:tc>
        <w:tc>
          <w:tcPr>
            <w:tcW w:w="8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187,960</w:t>
            </w:r>
          </w:p>
        </w:tc>
      </w:tr>
      <w:tr>
        <w:trPr>
          <w:trHeight w:val="255"/>
        </w:trPr>
        <w:tc>
          <w:tcPr>
            <w:tcW w:w="70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0"/>
        </w:trPr>
        <w:tc>
          <w:tcPr>
            <w:tcW w:w="7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Non-amortizable costs:</w:t>
            </w:r>
          </w:p>
        </w:tc>
        <w:tc>
          <w:tcPr>
            <w:tcW w:w="7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5"/>
        </w:trPr>
        <w:tc>
          <w:tcPr>
            <w:tcW w:w="70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Trade name</w:t>
            </w:r>
          </w:p>
        </w:tc>
        <w:tc>
          <w:tcPr>
            <w:tcW w:w="7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10,300</w:t>
            </w:r>
          </w:p>
        </w:tc>
        <w:tc>
          <w:tcPr>
            <w:tcW w:w="8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10,300</w:t>
            </w:r>
          </w:p>
        </w:tc>
      </w:tr>
      <w:tr>
        <w:trPr>
          <w:trHeight w:val="289"/>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other intangible assets, net</w:t>
            </w:r>
          </w:p>
        </w:tc>
        <w:tc>
          <w:tcPr>
            <w:tcW w:w="72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180,630</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198,260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Amortization expense related to intangible assets amounted to $5.9 million for the three months ended September 30, 2021 and 2020, and $17.6 million for the nine months ended September 30, 2021 and 2020, respectively.</w:t>
      </w:r>
    </w:p>
    <w:p>
      <w:pPr>
        <w:spacing w:after="0" w:line="200" w:lineRule="exact"/>
        <w:rPr>
          <w:sz w:val="20"/>
          <w:szCs w:val="20"/>
          <w:color w:val="auto"/>
        </w:rPr>
      </w:pPr>
    </w:p>
    <w:p>
      <w:pPr>
        <w:spacing w:after="0" w:line="261" w:lineRule="exact"/>
        <w:rPr>
          <w:sz w:val="20"/>
          <w:szCs w:val="20"/>
          <w:color w:val="auto"/>
        </w:rPr>
      </w:pPr>
    </w:p>
    <w:p>
      <w:pPr>
        <w:ind w:left="420" w:hanging="412"/>
        <w:spacing w:after="0"/>
        <w:tabs>
          <w:tab w:leader="none" w:pos="42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Investment in Equity Security</w:t>
      </w:r>
    </w:p>
    <w:p>
      <w:pPr>
        <w:spacing w:after="0" w:line="267"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The Company made a $ 10.0 million and $2.0 million investment in preferred stock of a private company in February 2021 and April 2021, respectively. The investment is accounted for in accordance with ASC 321 at its cost less any impairment. The investment balance as of September 30, 2021 is $12.0 million and is recorded in other assets on the condensed consolidated balance sheet. There is no impairment recorded for the three and nine months ended September 30, 2021.</w:t>
      </w:r>
    </w:p>
    <w:p>
      <w:pPr>
        <w:spacing w:after="0" w:line="227"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80"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The Company follows guidance under ASC Topic 740-270, Interim Reporting, which requires that an estimated annual effective tax rate is applied to year-to-date ordinary income. At the end of each interim period, the Company estimates the effective tax rate expected to be applicable for the full fiscal year. The tax effect of discrete items is recorded in the quarter in which the discrete events occur.</w:t>
      </w:r>
    </w:p>
    <w:p>
      <w:pPr>
        <w:spacing w:after="0" w:line="220"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auto"/>
        </w:rPr>
        <w:t>The Company recorded income tax expense (benefit) of $ (4.0) million and $ 1.4 million for the three months ended September 30, 2021 and 2020, respectively, and income tax expense (benefit) of $(4.0) million and $18.1 million for the nine months ended September 30, 2021 and 2020. The tax benefit in the three months ended September 30, 2021 is unfavorably impacted by non-deductible amounts for equity-based compensation</w:t>
      </w:r>
    </w:p>
    <w:p>
      <w:pPr>
        <w:sectPr>
          <w:pgSz w:w="11900" w:h="16838" w:orient="portrait"/>
          <w:cols w:equalWidth="0" w:num="1">
            <w:col w:w="11200"/>
          </w:cols>
          <w:pgMar w:left="32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7" w:name="page18"/>
    <w:bookmarkEnd w:id="17"/>
    <w:p>
      <w:pPr>
        <w:spacing w:after="0" w:line="316" w:lineRule="exact"/>
        <w:rPr>
          <w:sz w:val="20"/>
          <w:szCs w:val="20"/>
          <w:color w:val="auto"/>
        </w:rPr>
      </w:pPr>
    </w:p>
    <w:p>
      <w:pPr>
        <w:ind w:right="220"/>
        <w:spacing w:after="0" w:line="229" w:lineRule="auto"/>
        <w:rPr>
          <w:sz w:val="20"/>
          <w:szCs w:val="20"/>
          <w:color w:val="auto"/>
        </w:rPr>
      </w:pPr>
      <w:r>
        <w:rPr>
          <w:rFonts w:ascii="Arial" w:cs="Arial" w:eastAsia="Arial" w:hAnsi="Arial"/>
          <w:sz w:val="20"/>
          <w:szCs w:val="20"/>
          <w:color w:val="auto"/>
        </w:rPr>
        <w:t>and Follow-on Offering costs. The tax benefit in the three months ended September 30, 2020 was favorably impacted by a tax benefit related to an NOL carryback as a result of the CARES Act. The tax benefit in the nine months ended September 30, 2021 was unfavorably impacted by non-deductible amounts for equity-based compensation and Follow-on Offering costs. The tax expense in the nine months ended September 30, 2020 was favorably impacted by a tax benefit related to an NOL carryback as a result of the CARES Act.</w:t>
      </w:r>
    </w:p>
    <w:p>
      <w:pPr>
        <w:spacing w:after="0" w:line="226"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For the three and nine ended September 30, 2021 and 2020, no reserves for uncertain tax positions have been recorded. The Company will continue to monitor this position each interim period.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980" w:type="dxa"/>
            <w:vAlign w:val="bottom"/>
          </w:tcPr>
          <w:p>
            <w:pPr>
              <w:spacing w:after="0"/>
              <w:rPr>
                <w:sz w:val="20"/>
                <w:szCs w:val="20"/>
                <w:color w:val="auto"/>
              </w:rPr>
            </w:pPr>
            <w:r>
              <w:rPr>
                <w:rFonts w:ascii="Arial" w:cs="Arial" w:eastAsia="Arial" w:hAnsi="Arial"/>
                <w:sz w:val="20"/>
                <w:szCs w:val="20"/>
                <w:b w:val="1"/>
                <w:bCs w:val="1"/>
                <w:color w:val="auto"/>
              </w:rPr>
              <w:t>8.  Long-Term Debt</w:t>
            </w:r>
          </w:p>
        </w:tc>
        <w:tc>
          <w:tcPr>
            <w:tcW w:w="2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518"/>
        </w:trPr>
        <w:tc>
          <w:tcPr>
            <w:tcW w:w="6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b w:val="1"/>
                <w:bCs w:val="1"/>
                <w:color w:val="auto"/>
              </w:rPr>
              <w:t>September 30,</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December 31,</w:t>
            </w:r>
          </w:p>
        </w:tc>
      </w:tr>
      <w:tr>
        <w:trPr>
          <w:trHeight w:val="255"/>
        </w:trPr>
        <w:tc>
          <w:tcPr>
            <w:tcW w:w="69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2020</w:t>
            </w:r>
          </w:p>
        </w:tc>
      </w:tr>
      <w:tr>
        <w:trPr>
          <w:trHeight w:val="263"/>
        </w:trPr>
        <w:tc>
          <w:tcPr>
            <w:tcW w:w="6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Term loan facility</w:t>
            </w: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71"/>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327,850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460,000</w:t>
            </w:r>
          </w:p>
        </w:tc>
      </w:tr>
      <w:tr>
        <w:trPr>
          <w:trHeight w:val="26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Revolving credit facility</w:t>
            </w:r>
          </w:p>
        </w:tc>
        <w:tc>
          <w:tcPr>
            <w:tcW w:w="24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68"/>
        </w:trPr>
        <w:tc>
          <w:tcPr>
            <w:tcW w:w="69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327,850</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460,000</w:t>
            </w:r>
          </w:p>
        </w:tc>
      </w:tr>
      <w:tr>
        <w:trPr>
          <w:trHeight w:val="26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discount and issuance costs</w:t>
            </w:r>
          </w:p>
        </w:tc>
        <w:tc>
          <w:tcPr>
            <w:tcW w:w="24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(24,338)</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(31,717)</w:t>
            </w:r>
          </w:p>
        </w:tc>
      </w:tr>
      <w:tr>
        <w:trPr>
          <w:trHeight w:val="268"/>
        </w:trPr>
        <w:tc>
          <w:tcPr>
            <w:tcW w:w="6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Long term debt, net of debt discount and issuance costs</w:t>
            </w:r>
          </w:p>
        </w:tc>
        <w:tc>
          <w:tcPr>
            <w:tcW w:w="24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303,512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428,283</w:t>
            </w:r>
          </w:p>
        </w:tc>
      </w:tr>
      <w:tr>
        <w:trPr>
          <w:trHeight w:val="265"/>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current portion of long-term debt</w:t>
            </w:r>
          </w:p>
        </w:tc>
        <w:tc>
          <w:tcPr>
            <w:tcW w:w="24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(4,300)</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(4,313)</w:t>
            </w:r>
          </w:p>
        </w:tc>
      </w:tr>
      <w:tr>
        <w:trPr>
          <w:trHeight w:val="283"/>
        </w:trPr>
        <w:tc>
          <w:tcPr>
            <w:tcW w:w="69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Long-term debt, net of current portion, debt discount and issuance costs</w:t>
            </w: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71"/>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299,212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423,970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Senior Secured Credit Facility</w:t>
      </w:r>
    </w:p>
    <w:p>
      <w:pPr>
        <w:spacing w:after="0" w:line="24"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On October 14, 2020, the Company entered into a senior secured credit facility consisting of (i) a $575 million senior secured seven-year term loan facility (the “Term Loan Facility”) and (ii) a $150 million senior secured 5-year revolving credit facility (the “Revolving Credit Facility” and, together with the Term Loan Facility, the “Senior Secured Credit Facility”). As of September 30, 2021, the Term Loan Facility had a balance of $327.9 million. On August 11, 2021, in connection with the sale of the Series A, the Company used the proceeds to repay $100.0 million of the outstanding Term Loan Facility and $102.0 million of the Revolving Credit Facility. On February 23, 2021 the Company entered into the First Amendment (“First Amendment”) to its Senior Secured Credit Facility. The First Amendment, in the case of the Eurocurrency borrowings, lowers the London interbank offered rate floor to 50 basis points from 100 basis points and lowers the applicable margin to 325 basis points from 400 basis points per annum. This resulted in the current rate on the Term Loan Facility of 3.75%. On February 26, 2021, we entered into the incremental facility amendment No. 2 (the “Second Amendment”) to the Senior Secured Credit Facility. The Second Amendment increases the $ 150.0 million Revolving Credit Facility from $150.0 million to $200.0 million. The balance of the Term Loan Facility is presented in the accompanying condensed consolidated balance sheets net of debt discount and issuance costs of $24.3 million at September 30, 2021. The debt discount and issuance costs are being amortized using the effective interest method and the rate as of September 30, 2021 is 5.01%. The Term Loan Facility has an annual excess cash flow calculation, for which the prescribed formula does not result in requiring the Company to make any advance principal payments for the year ended December 31, 2021.</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Revolving Credit Facility</w:t>
      </w:r>
    </w:p>
    <w:p>
      <w:pPr>
        <w:spacing w:after="0" w:line="24"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Under the Revolving Credit Facility, the Company had a zero outstanding balance, $14.5 million in standby letters of credit and availability of $185.5 million as of September 30, 2021.</w:t>
      </w:r>
    </w:p>
    <w:p>
      <w:pPr>
        <w:spacing w:after="0" w:line="200" w:lineRule="exact"/>
        <w:rPr>
          <w:sz w:val="20"/>
          <w:szCs w:val="20"/>
          <w:color w:val="auto"/>
        </w:rPr>
      </w:pPr>
    </w:p>
    <w:p>
      <w:pPr>
        <w:spacing w:after="0" w:line="250"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Redeemable Perpetual Preferred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Series A Redeemable Perpetual Preferred</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On August 10, 2021, the Company entered into a Securities Purchase Agreement (the “Securities Purchase Agreement”)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pursuant to which on August 11, 2021, the Company issued and sold to certain investors (the Purchasers”) 350,000 shares of a</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newly designated Series A Redeemable Perpetual Preferred Stock of the Company, par value $0.001 per share (the “Series 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Redeemable Perpetual Preferred Stock” or “Series A”), and 7,098,765 shares of the Company’s common stock, par value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$0.001 per share (“Common Stock”), for an aggregate purchase price of $346.0 million (the “Initial Closing”). Further, pursuant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to the Securities Purchase Agreement, the Company issued and sold to the Purchaser 776,235 shares of Common Stock for an</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aggregate purchase price of $776</w:t>
      </w:r>
      <w:r>
        <w:rPr>
          <w:rFonts w:ascii="Arial" w:cs="Arial" w:eastAsia="Arial" w:hAnsi="Arial"/>
          <w:sz w:val="17"/>
          <w:szCs w:val="17"/>
          <w:color w:val="auto"/>
        </w:rPr>
        <w:t>.</w:t>
      </w:r>
      <w:r>
        <w:rPr>
          <w:rFonts w:ascii="Arial" w:cs="Arial" w:eastAsia="Arial" w:hAnsi="Arial"/>
          <w:sz w:val="20"/>
          <w:szCs w:val="20"/>
          <w:color w:val="auto"/>
        </w:rPr>
        <w:t xml:space="preserve"> The Company used net proceeds from the Initial Closing to repay all of the outstanding</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amounts under the Company’s existing revolving credit facility and prepaid $100 million under the Company’s term loan and for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general corporate purposes. The Purchaser is entitled to designate one representative to be appointed to the Company’s board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of directors, and to appoint three non-voting observers to the Board, in each case until such time as the Purchaser no longer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beneficially own shares of the Series A Redeemable Perpetual Preferred Stock with at least $100 million aggregate Liquidation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Preference (as defined below). The Series A have no maturity date.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Additional Closings</w:t>
      </w:r>
    </w:p>
    <w:p>
      <w:pPr>
        <w:spacing w:after="0" w:line="20"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The Securities Purchase Agreement gives the Company the option to require the Purchaser to purchase, in one or more additional closings, up to 150,000 shares, until June 30, 2023, of the Series A Redeemable Perpetual Preferred Stock and up to 3,375,000 shares of Common Stock (or up to 6,100,000 shares of Common Stock in the event of certain price-related adjustments) (subject to certain equitable adjustments pursuant to any stock dividend, stock split, stock combination, reclassification or similar transaction) for an aggregate purchase price up to $148 million. This represents a committed financing put right with an initial fair value of $12.4 million.</w:t>
      </w:r>
    </w:p>
    <w:p>
      <w:pPr>
        <w:spacing w:after="0" w:line="235"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The Series A preferred stock was recorded as temporary equity, net of issuance costs, on the condensed consolidated balance sheets as it has redemption features upon certain triggering events that are outside the Company’s control, such as a fundamental change. The net proceeds of the Series A offering of $334.6 million have been allocated on the balance sheet by each instruments relative fair values, net of fees, to the Series A Redeemable Perpetual Preferred Stock of $229.8 million, Common Stock of $105.4 million, a debit to additional paid-in capital of $12.4 million for the committed financing put right and $11.7 million for a prepaid forward contract on the issuance of 776,235 shares of Common Stock which was settled on September 27, 2021.</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2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On or prior to the fifth anniversary of the Initial Closing, the Company may pay dividends on the Series A Redeemable Perpetual Preferred Stock either in cash at the then-applicable Cash Regular Dividend Rate (as defined below), through accrual to the Liquidation Preference at the Accrued Regular Dividend Rate of 6.25% (the “Permitted Accrued Dividends”), or a combination thereof. Following the fifth anniversary of the Initial Closing, dividends shall be payable only in cash. To the extent the Company does not declare such dividends and pay in cash following the fifth anniversary of the Initial Closing, the dividends accrue to the Liquidation Preference (“Default Accrued Dividends”) at the then-applicable Cash Regular Dividend Rate plus 200 basis points. In the event there are Default Accrued Dividends outstanding for six consecutive quarters, the Company, at the option of the holder of the Series A Redeemable Perpetual Preferred Stock (each a “Holder”), will pay 100% of the amount of Default Accrued Dividends by delivering to the Holder a number of shares of</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30"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color w:val="auto"/>
        </w:rPr>
        <w:t>Common Stock equal to the quotient of (i) the amount of Default Accrued Dividends) divided by (ii) 95% of the 30-day VWAP of the Common Stock (“Non-Cash Dividend”).</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The “Cash Regular Dividend Rate” of the Series A Redeemable Perpetual Preferred Stock means (i) initially, 5.75% per annum on the Liquidation Preference and (ii) increased by (a) 50 basis points on each of the fifth, sixth and seventh anniversaries of the Initial Closing and (b) 100 basis points on each of the eighth, ninth and tenth anniversaries of the Initial Closing. The “Accrued Regular Dividend Rate” on the Series A Redeemable Perpetual Preferred Stock means 6.25% per annum on the Liquidation Preference.</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Series A preferred stock have similar characteristics of an “Increasing Rate Security” as described by SEC Staff Accounting Bulletin Topic 5Q, Increasing Rate Preferred Stock. As a result, the discount on Series A preferred stock is considered an unstated dividend cost that is amortized over the period preceding commencement of the perpetual dividend using the effective interest method, by charging imputed dividend cost against retained earnings, or additional paid in capital in the absence of retained earnings, and increasing the carrying amount of the Series A preferred stock by a corresponding amount. The discount of $120.2 million is therefore being amortized over five years using the effective yield method. The amortization in each period is the amount which, together with the stated dividend in the period, results in a constant rate of effective cost with regard to the carrying amount of the Series A preferred stock.</w:t>
      </w:r>
    </w:p>
    <w:p>
      <w:pPr>
        <w:spacing w:after="0" w:line="24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has presented the Series A Redeemable Perpetual Preferred Stock in temporary equity and is accreting the discount on the increasing rate dividends using the effective interest method. Such accretion totaled $2.7 million for the three and nine months ended September 30, 2021.</w:t>
      </w:r>
    </w:p>
    <w:p>
      <w:pPr>
        <w:spacing w:after="0" w:line="220" w:lineRule="exact"/>
        <w:rPr>
          <w:sz w:val="20"/>
          <w:szCs w:val="20"/>
          <w:color w:val="auto"/>
        </w:rPr>
      </w:pPr>
    </w:p>
    <w:p>
      <w:pPr>
        <w:ind w:right="560"/>
        <w:spacing w:after="0" w:line="236" w:lineRule="auto"/>
        <w:rPr>
          <w:sz w:val="20"/>
          <w:szCs w:val="20"/>
          <w:color w:val="auto"/>
        </w:rPr>
      </w:pPr>
      <w:r>
        <w:rPr>
          <w:rFonts w:ascii="Arial" w:cs="Arial" w:eastAsia="Arial" w:hAnsi="Arial"/>
          <w:sz w:val="20"/>
          <w:szCs w:val="20"/>
          <w:color w:val="auto"/>
        </w:rPr>
        <w:t>The Company accreted to the carrying value of the Series A Preferred the regular cash rate of dividends of 5.75%, or $2.8 million in dividends for the three and nine months ended September 30, 2021.</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Fees</w:t>
      </w:r>
    </w:p>
    <w:p>
      <w:pPr>
        <w:spacing w:after="0" w:line="6" w:lineRule="exact"/>
        <w:rPr>
          <w:sz w:val="20"/>
          <w:szCs w:val="20"/>
          <w:color w:val="auto"/>
        </w:rPr>
      </w:pPr>
    </w:p>
    <w:p>
      <w:pPr>
        <w:ind w:right="180"/>
        <w:spacing w:after="0" w:line="225" w:lineRule="auto"/>
        <w:rPr>
          <w:sz w:val="20"/>
          <w:szCs w:val="20"/>
          <w:color w:val="auto"/>
        </w:rPr>
      </w:pPr>
      <w:r>
        <w:rPr>
          <w:rFonts w:ascii="Arial" w:cs="Arial" w:eastAsia="Arial" w:hAnsi="Arial"/>
          <w:sz w:val="20"/>
          <w:szCs w:val="20"/>
          <w:color w:val="auto"/>
        </w:rPr>
        <w:t>Until June 30, 2023, the Company will pay the Purchaser a cash commitment premium on the unpurchased portion of Delayed Draw Commitment as follows:</w:t>
      </w:r>
    </w:p>
    <w:p>
      <w:pPr>
        <w:ind w:left="640" w:hanging="308"/>
        <w:spacing w:after="0" w:line="226" w:lineRule="auto"/>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0% through the six-month anniversary of the Initial Closing;</w:t>
      </w:r>
    </w:p>
    <w:p>
      <w:pPr>
        <w:ind w:left="640" w:hanging="308"/>
        <w:spacing w:after="0" w:line="225" w:lineRule="auto"/>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1.5% from the six-month anniversary of the Initial Closing through the 12-month anniversary of the Initial Closing; and</w:t>
      </w:r>
    </w:p>
    <w:p>
      <w:pPr>
        <w:ind w:left="640" w:hanging="308"/>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3.0% from the 12-month anniversary of the Initial Closing through June 30, 2023.</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Company may terminate some or all of the Delayed Draw Commitment, from time to time, at its sole discretion.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Customary Covenants</w:t>
      </w:r>
    </w:p>
    <w:p>
      <w:pPr>
        <w:spacing w:after="0" w:line="20"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color w:val="auto"/>
        </w:rPr>
        <w:t>The Securities Purchase Agreement, Certificate of Designations and Registration Rights Agreement (as defined below) contain other customary covenants and agreements, including certain standstill provisions and customary preemptive rights. The Delayed Draw Commitment is subject to certain customary anti-dilution adjustments provided under the Securities Purchase Agreement and Certificate of Designations, including for stock splits, reclassifications, combinations and dividends or distributions made by the Company on the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Transfer Restrictions</w:t>
      </w:r>
    </w:p>
    <w:p>
      <w:pPr>
        <w:spacing w:after="0" w:line="20" w:lineRule="exact"/>
        <w:rPr>
          <w:sz w:val="20"/>
          <w:szCs w:val="20"/>
          <w:color w:val="auto"/>
        </w:rPr>
      </w:pPr>
    </w:p>
    <w:p>
      <w:pPr>
        <w:ind w:right="220"/>
        <w:spacing w:after="0" w:line="261" w:lineRule="auto"/>
        <w:rPr>
          <w:sz w:val="20"/>
          <w:szCs w:val="20"/>
          <w:color w:val="auto"/>
        </w:rPr>
      </w:pPr>
      <w:r>
        <w:rPr>
          <w:rFonts w:ascii="Arial" w:cs="Arial" w:eastAsia="Arial" w:hAnsi="Arial"/>
          <w:sz w:val="20"/>
          <w:szCs w:val="20"/>
          <w:color w:val="auto"/>
        </w:rPr>
        <w:t>After the Initial Closing, subject to certain customary exceptions including transfers to Permitted Transferees (as defined in the Securities Purchase Agreement), the Purchaser will be restricted from transferring the Series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A Redeemable Perpetual Preferred Stock and Common Stock until the one-year anniversary of the Initial Closing.</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Ranking and Liquidation Preference</w:t>
      </w:r>
    </w:p>
    <w:p>
      <w:pPr>
        <w:spacing w:after="0" w:line="20" w:lineRule="exact"/>
        <w:rPr>
          <w:sz w:val="20"/>
          <w:szCs w:val="20"/>
          <w:color w:val="auto"/>
        </w:rPr>
      </w:pPr>
    </w:p>
    <w:p>
      <w:pPr>
        <w:ind w:right="140"/>
        <w:spacing w:after="0" w:line="269" w:lineRule="auto"/>
        <w:rPr>
          <w:sz w:val="20"/>
          <w:szCs w:val="20"/>
          <w:color w:val="auto"/>
        </w:rPr>
      </w:pPr>
      <w:r>
        <w:rPr>
          <w:rFonts w:ascii="Arial" w:cs="Arial" w:eastAsia="Arial" w:hAnsi="Arial"/>
          <w:sz w:val="19"/>
          <w:szCs w:val="19"/>
          <w:color w:val="auto"/>
        </w:rPr>
        <w:t>The Series A Redeemable Perpetual Preferred Stock ranks senior to the Common Stock with respect to dividend rights and rights upon the voluntary or involuntary liquidation, dissolution or winding up of the affairs of the Company (a “Liquidation”). Upon a Liquidation, each share of Series A Redeemable Perpetual Preferred Stock would be entitled to receive an amount per share (the “Liquidation, Redemption or Repurchase Amount”) equal to the greater of (i) the Liquidation Preference of such share, plus all accrued and unpaid dividends (including any Accrued Dividends) thereon and (ii) an amount in cash equal to the sum of (a) 130.0% of the Initial Liquidation Preference (as defined below) of such share, minus (b) the cumulative amount of cash dividends paid in respect of such share prior to such payment. As used herein, “Liquidation Preference” means, with respect to any share of the Series A Redeemable Perpetual Preferred Stock, the initial liquidation preference of $1,000 per share (the “Initial Liquidation Preference”) plus any Accrued Dividends of such share as of the time of determination.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Redemption Rights</w:t>
      </w:r>
    </w:p>
    <w:p>
      <w:pPr>
        <w:spacing w:after="0" w:line="20"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The Company may redeem all or any portion of the Series A Redeemable Perpetual Preferred Stock (in increments of not less than $200 million based on the Liquidation Preference of such shares of Series A Redeemable Perpetual Preferred Stock to be redeemed at such time (or such lesser amount to the extent the Company chooses to redeem all of the outstanding shares of Series A Redeemable Perpetual Preferred Stock)) for an amount in cash equal to the Liquidation, Redemption or Repurchase Amount. Upon a “Fundamental Change” (involving a change of control, bankruptcy, insolvency or liquidation of the Company as further described in the Certificate of Designations), each Holder shall have the right to require the Company to redeem all or any part of the Holder’s Series A Redeemable Perpetual Preferred Stock for an amount in cash equal to the Liquidation, Redemption or Repurchase Amount.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Voting and Consent Rights</w:t>
      </w:r>
    </w:p>
    <w:p>
      <w:pPr>
        <w:spacing w:after="0" w:line="2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Each Holder of Series A Redeemable Perpetual Preferred Stock will have one vote per share on any matter on which Holders of Series A Redeemable Perpetual Preferred Stock are entitled to vote separately as a class (as described below), whether at a meeting or by written consent. The Holders of shares of Series A Redeemable Perpetual Preferred Stock do not otherwise have any voting rights. The consent of the Holders of a majority of the outstanding shares of Series A Redeemable Perpetual Preferred Stock will be required for so long as the Threshold Amount remains outstanding for (i) amendments to the Company’s organizational documents that have an adverse effect on the Holders, (ii) issuances by the Company of securities that are senior to, or equal in priority with, the Series A Redeemable Perpetual Preferred Stock, (iii) entrance into, or amendments to, transactions with affiliates of the Company, (iv) incurrence by the Company of indebtedness, unless the Consolidated Total Leverage Ratio (as defined in the Certificate of Designations) would not exceed 8.5-to-1 after giving effect to such incurrence (other than drawdowns by the Company under the Company’s current Revolving Credit Facility) or (v) any payment of dividends or making of distributions on equity securities of the Company ranking junior to the Series A Redeemable Perpetual Preferred Stock or redemptions, purchases or direct or indirect acquisitions of such equity securities ranking junior to or parity with the Series A Redeemable Perpetual Preferred Stock by the Company, unless the Consolidated Total Leverage Ratio (as defined in the Certificate of Designations) would not exceed 8.5-to-1 after giving effect to such dividends, distributions, redemptions, purchases or acquisitions.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Registration Rights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330"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auto"/>
        </w:rPr>
        <w:t>In connection with the Securities Purchase Agreement, on August 10, 2021, the Company and the Purchaser entered into a Registration Rights Agreement pursuant to which, among other things, the Company granted the Purchaser certain registration rights with respect to Common Stock purchased pursuant to the Securities Purchase Agreement and Non-Cash Dividend pursuant to the Certificate of Designations, including customary shelf registration rights and “piggyback” registration rights.</w:t>
      </w:r>
    </w:p>
    <w:p>
      <w:pPr>
        <w:spacing w:after="0" w:line="19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10</w:t>
      </w:r>
      <w:r>
        <w:rPr>
          <w:rFonts w:ascii="Arial" w:cs="Arial" w:eastAsia="Arial" w:hAnsi="Arial"/>
          <w:sz w:val="20"/>
          <w:szCs w:val="20"/>
          <w:color w:val="auto"/>
        </w:rPr>
        <w:t>.</w:t>
      </w:r>
      <w:r>
        <w:rPr>
          <w:sz w:val="20"/>
          <w:szCs w:val="20"/>
          <w:color w:val="auto"/>
        </w:rPr>
        <w:tab/>
      </w:r>
      <w:r>
        <w:rPr>
          <w:rFonts w:ascii="Arial" w:cs="Arial" w:eastAsia="Arial" w:hAnsi="Arial"/>
          <w:sz w:val="19"/>
          <w:szCs w:val="19"/>
          <w:b w:val="1"/>
          <w:bCs w:val="1"/>
          <w:color w:val="auto"/>
        </w:rPr>
        <w:t>Related Party Loan</w:t>
      </w:r>
    </w:p>
    <w:p>
      <w:pPr>
        <w:spacing w:after="0" w:line="280"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The Company had a senior secured promissory note, as amended, with a unit holder of Former Parent that had a balance, net of debt discount and issuance costs as of June 30, 2020 of $41.8 million for which the Company paid off the balance on July 31, 2020 to settle the obligation with respect to the Senior Secured Loan. The Company paid interest expense for the three and nine months ended September 30, 2020 of $0.3 million and $3.8 million, which consisted of cash interest, PIK interest and amortization of the debt discount. The note was no longer outstanding as of June 30, 2021 and had no balance or interest expense for the three months ended September 30, 2021.</w:t>
      </w:r>
    </w:p>
    <w:p>
      <w:pPr>
        <w:spacing w:after="0" w:line="211"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Revenue</w:t>
      </w:r>
    </w:p>
    <w:p>
      <w:pPr>
        <w:spacing w:after="0" w:line="280"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Based on Topic 606 provisions, the Company disaggregates its revenue from contracts with customers by those sales recorded over-time and sales recorded at a point in time. The following table presents the Company’s revenue disaggregated by sales recorded over-time and sales recorded at a point in time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00" w:type="dxa"/>
            <w:vAlign w:val="bottom"/>
            <w:gridSpan w:val="5"/>
          </w:tcPr>
          <w:p>
            <w:pPr>
              <w:ind w:left="440"/>
              <w:spacing w:after="0"/>
              <w:rPr>
                <w:sz w:val="20"/>
                <w:szCs w:val="20"/>
                <w:color w:val="auto"/>
              </w:rPr>
            </w:pPr>
            <w:r>
              <w:rPr>
                <w:rFonts w:ascii="Arial" w:cs="Arial" w:eastAsia="Arial" w:hAnsi="Arial"/>
                <w:sz w:val="20"/>
                <w:szCs w:val="20"/>
                <w:b w:val="1"/>
                <w:bCs w:val="1"/>
                <w:color w:val="auto"/>
              </w:rPr>
              <w:t>Three Months Ended</w:t>
            </w:r>
          </w:p>
        </w:tc>
        <w:tc>
          <w:tcPr>
            <w:tcW w:w="380" w:type="dxa"/>
            <w:vAlign w:val="bottom"/>
          </w:tcPr>
          <w:p>
            <w:pPr>
              <w:spacing w:after="0"/>
              <w:rPr>
                <w:sz w:val="19"/>
                <w:szCs w:val="19"/>
                <w:color w:val="auto"/>
              </w:rPr>
            </w:pPr>
          </w:p>
        </w:tc>
        <w:tc>
          <w:tcPr>
            <w:tcW w:w="3240" w:type="dxa"/>
            <w:vAlign w:val="bottom"/>
            <w:gridSpan w:val="4"/>
          </w:tcPr>
          <w:p>
            <w:pPr>
              <w:jc w:val="right"/>
              <w:ind w:right="781"/>
              <w:spacing w:after="0"/>
              <w:rPr>
                <w:sz w:val="20"/>
                <w:szCs w:val="20"/>
                <w:color w:val="auto"/>
              </w:rPr>
            </w:pPr>
            <w:r>
              <w:rPr>
                <w:rFonts w:ascii="Arial" w:cs="Arial" w:eastAsia="Arial" w:hAnsi="Arial"/>
                <w:sz w:val="20"/>
                <w:szCs w:val="20"/>
                <w:b w:val="1"/>
                <w:bCs w:val="1"/>
                <w:color w:val="auto"/>
              </w:rPr>
              <w:t>Nine Months Ended</w:t>
            </w:r>
          </w:p>
        </w:tc>
      </w:tr>
      <w:tr>
        <w:trPr>
          <w:trHeight w:val="243"/>
        </w:trPr>
        <w:tc>
          <w:tcPr>
            <w:tcW w:w="39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b w:val="1"/>
                <w:bCs w:val="1"/>
                <w:color w:val="auto"/>
              </w:rPr>
              <w:t>September 30,</w:t>
            </w:r>
          </w:p>
        </w:tc>
        <w:tc>
          <w:tcPr>
            <w:tcW w:w="11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b w:val="1"/>
                <w:bCs w:val="1"/>
                <w:color w:val="auto"/>
              </w:rPr>
              <w:t>September 30,</w:t>
            </w:r>
          </w:p>
        </w:tc>
        <w:tc>
          <w:tcPr>
            <w:tcW w:w="1120" w:type="dxa"/>
            <w:vAlign w:val="bottom"/>
            <w:tcBorders>
              <w:bottom w:val="single" w:sz="8" w:color="auto"/>
            </w:tcBorders>
          </w:tcPr>
          <w:p>
            <w:pPr>
              <w:spacing w:after="0"/>
              <w:rPr>
                <w:sz w:val="21"/>
                <w:szCs w:val="21"/>
                <w:color w:val="auto"/>
              </w:rPr>
            </w:pPr>
          </w:p>
        </w:tc>
      </w:tr>
      <w:tr>
        <w:trPr>
          <w:trHeight w:val="250"/>
        </w:trPr>
        <w:tc>
          <w:tcPr>
            <w:tcW w:w="39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w w:val="98"/>
              </w:rPr>
              <w:t>2020</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w w:val="98"/>
              </w:rPr>
              <w:t>2020</w:t>
            </w:r>
          </w:p>
        </w:tc>
      </w:tr>
      <w:tr>
        <w:trPr>
          <w:trHeight w:val="263"/>
        </w:trPr>
        <w:tc>
          <w:tcPr>
            <w:tcW w:w="3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Over-time revenue</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169,753</w:t>
            </w: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112,329</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591,117</w:t>
            </w: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620,447</w:t>
            </w:r>
          </w:p>
        </w:tc>
      </w:tr>
      <w:tr>
        <w:trPr>
          <w:trHeight w:val="265"/>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Point in time revenue</w:t>
            </w:r>
          </w:p>
        </w:tc>
        <w:tc>
          <w:tcPr>
            <w:tcW w:w="4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22,315</w:t>
            </w:r>
          </w:p>
        </w:tc>
        <w:tc>
          <w:tcPr>
            <w:tcW w:w="8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27,133</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49,679</w:t>
            </w:r>
          </w:p>
        </w:tc>
        <w:tc>
          <w:tcPr>
            <w:tcW w:w="8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71,649</w:t>
            </w:r>
          </w:p>
        </w:tc>
      </w:tr>
      <w:tr>
        <w:trPr>
          <w:trHeight w:val="283"/>
        </w:trPr>
        <w:tc>
          <w:tcPr>
            <w:tcW w:w="3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revenue</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192,068</w:t>
            </w: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139,462</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640,796</w:t>
            </w: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692,096</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33" w:lineRule="exact"/>
        <w:rPr>
          <w:sz w:val="20"/>
          <w:szCs w:val="20"/>
          <w:color w:val="auto"/>
        </w:rPr>
      </w:pPr>
    </w:p>
    <w:p>
      <w:pPr>
        <w:ind w:right="120"/>
        <w:spacing w:after="0" w:line="267" w:lineRule="auto"/>
        <w:rPr>
          <w:sz w:val="20"/>
          <w:szCs w:val="20"/>
          <w:color w:val="auto"/>
        </w:rPr>
      </w:pPr>
      <w:r>
        <w:rPr>
          <w:rFonts w:ascii="Arial" w:cs="Arial" w:eastAsia="Arial" w:hAnsi="Arial"/>
          <w:sz w:val="19"/>
          <w:szCs w:val="19"/>
          <w:color w:val="auto"/>
        </w:rPr>
        <w:t>The timing of revenue recognition, billings and cash collections results in billed accounts receivable, unbilled receivables (contract assets), and deferred revenue (contract liabilities) on the condensed consolidated balance sheets. The majority of the Company’s contract amounts are billed as work progresses in accordance with agreed-upon contractual terms, which generally coincide with the shipment of one or more phases of the project. Billing sometimes occurs subsequent to revenue recognition, resulting in contract assets. The changes in contract assets (i.e. unbilled receivables) and the corresponding amounts recorded in revenue relate to fluctuations in the timing and volume of billings for the Company’s revenue recognized over-time. Contract assets consisting of unbilled receivables are recorded within accounts receivable on the condensed consolidated balance sheets on a contract-by-contract basis at the end of the reporting period and consisted of the following (in thousands):</w:t>
      </w:r>
    </w:p>
    <w:tbl>
      <w:tblPr>
        <w:tblLayout w:type="fixed"/>
        <w:tblInd w:w="0" w:type="dxa"/>
        <w:tblCellMar>
          <w:top w:w="0" w:type="dxa"/>
          <w:left w:w="0" w:type="dxa"/>
          <w:bottom w:w="0" w:type="dxa"/>
          <w:right w:w="0" w:type="dxa"/>
        </w:tblCellMar>
      </w:tblPr>
      <w:tr>
        <w:trPr>
          <w:trHeight w:val="206"/>
        </w:trPr>
        <w:tc>
          <w:tcPr>
            <w:tcW w:w="7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center"/>
              <w:ind w:right="300"/>
              <w:spacing w:after="0" w:line="206" w:lineRule="exact"/>
              <w:rPr>
                <w:sz w:val="20"/>
                <w:szCs w:val="20"/>
                <w:color w:val="auto"/>
              </w:rPr>
            </w:pPr>
            <w:r>
              <w:rPr>
                <w:rFonts w:ascii="Arial" w:cs="Arial" w:eastAsia="Arial" w:hAnsi="Arial"/>
                <w:sz w:val="20"/>
                <w:szCs w:val="20"/>
                <w:b w:val="1"/>
                <w:bCs w:val="1"/>
                <w:color w:val="auto"/>
                <w:w w:val="97"/>
              </w:rPr>
              <w:t>September 30,</w:t>
            </w:r>
          </w:p>
        </w:tc>
        <w:tc>
          <w:tcPr>
            <w:tcW w:w="160" w:type="dxa"/>
            <w:vAlign w:val="bottom"/>
          </w:tcPr>
          <w:p>
            <w:pPr>
              <w:spacing w:after="0"/>
              <w:rPr>
                <w:sz w:val="17"/>
                <w:szCs w:val="17"/>
                <w:color w:val="auto"/>
              </w:rPr>
            </w:pPr>
          </w:p>
        </w:tc>
        <w:tc>
          <w:tcPr>
            <w:tcW w:w="1480" w:type="dxa"/>
            <w:vAlign w:val="bottom"/>
          </w:tcPr>
          <w:p>
            <w:pPr>
              <w:jc w:val="center"/>
              <w:ind w:right="61"/>
              <w:spacing w:after="0" w:line="206" w:lineRule="exact"/>
              <w:rPr>
                <w:sz w:val="20"/>
                <w:szCs w:val="20"/>
                <w:color w:val="auto"/>
              </w:rPr>
            </w:pPr>
            <w:r>
              <w:rPr>
                <w:rFonts w:ascii="Arial" w:cs="Arial" w:eastAsia="Arial" w:hAnsi="Arial"/>
                <w:sz w:val="20"/>
                <w:szCs w:val="20"/>
                <w:b w:val="1"/>
                <w:bCs w:val="1"/>
                <w:color w:val="auto"/>
                <w:w w:val="98"/>
              </w:rPr>
              <w:t>December 31,</w:t>
            </w:r>
          </w:p>
        </w:tc>
      </w:tr>
      <w:tr>
        <w:trPr>
          <w:trHeight w:val="243"/>
        </w:trPr>
        <w:tc>
          <w:tcPr>
            <w:tcW w:w="76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2020</w:t>
            </w:r>
          </w:p>
        </w:tc>
      </w:tr>
      <w:tr>
        <w:trPr>
          <w:trHeight w:val="261"/>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Unbilled receivables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61,108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18,073</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330" w:lineRule="exact"/>
        <w:rPr>
          <w:sz w:val="20"/>
          <w:szCs w:val="20"/>
          <w:color w:val="auto"/>
        </w:rPr>
      </w:pPr>
    </w:p>
    <w:p>
      <w:pPr>
        <w:ind w:right="460"/>
        <w:spacing w:after="0" w:line="254" w:lineRule="auto"/>
        <w:rPr>
          <w:sz w:val="20"/>
          <w:szCs w:val="20"/>
          <w:color w:val="auto"/>
        </w:rPr>
      </w:pPr>
      <w:r>
        <w:rPr>
          <w:rFonts w:ascii="Arial" w:cs="Arial" w:eastAsia="Arial" w:hAnsi="Arial"/>
          <w:sz w:val="20"/>
          <w:szCs w:val="20"/>
          <w:color w:val="auto"/>
        </w:rPr>
        <w:t>The Company also receives advances or deposits from its customers, before revenue is recognized, resulting in contract liabilities. The changes in contract liabilities (i.e. deferred revenue) relate to advanced orders and payments received by the Company. Contract liabilities consisting of deferred revenue recorded on a contract-by-contract basis at the end of each reporting period were as follows (in thousands):</w:t>
      </w:r>
    </w:p>
    <w:tbl>
      <w:tblPr>
        <w:tblLayout w:type="fixed"/>
        <w:tblInd w:w="0" w:type="dxa"/>
        <w:tblCellMar>
          <w:top w:w="0" w:type="dxa"/>
          <w:left w:w="0" w:type="dxa"/>
          <w:bottom w:w="0" w:type="dxa"/>
          <w:right w:w="0" w:type="dxa"/>
        </w:tblCellMar>
      </w:tblPr>
      <w:tr>
        <w:trPr>
          <w:trHeight w:val="205"/>
        </w:trPr>
        <w:tc>
          <w:tcPr>
            <w:tcW w:w="7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jc w:val="center"/>
              <w:ind w:right="260"/>
              <w:spacing w:after="0" w:line="205" w:lineRule="exact"/>
              <w:rPr>
                <w:sz w:val="20"/>
                <w:szCs w:val="20"/>
                <w:color w:val="auto"/>
              </w:rPr>
            </w:pPr>
            <w:r>
              <w:rPr>
                <w:rFonts w:ascii="Arial" w:cs="Arial" w:eastAsia="Arial" w:hAnsi="Arial"/>
                <w:sz w:val="20"/>
                <w:szCs w:val="20"/>
                <w:b w:val="1"/>
                <w:bCs w:val="1"/>
                <w:color w:val="auto"/>
                <w:w w:val="99"/>
              </w:rPr>
              <w:t>September 30,</w:t>
            </w:r>
          </w:p>
        </w:tc>
        <w:tc>
          <w:tcPr>
            <w:tcW w:w="180" w:type="dxa"/>
            <w:vAlign w:val="bottom"/>
          </w:tcPr>
          <w:p>
            <w:pPr>
              <w:spacing w:after="0"/>
              <w:rPr>
                <w:sz w:val="17"/>
                <w:szCs w:val="17"/>
                <w:color w:val="auto"/>
              </w:rPr>
            </w:pPr>
          </w:p>
        </w:tc>
        <w:tc>
          <w:tcPr>
            <w:tcW w:w="1580" w:type="dxa"/>
            <w:vAlign w:val="bottom"/>
          </w:tcPr>
          <w:p>
            <w:pPr>
              <w:jc w:val="center"/>
              <w:ind w:right="81"/>
              <w:spacing w:after="0" w:line="205" w:lineRule="exact"/>
              <w:rPr>
                <w:sz w:val="20"/>
                <w:szCs w:val="20"/>
                <w:color w:val="auto"/>
              </w:rPr>
            </w:pPr>
            <w:r>
              <w:rPr>
                <w:rFonts w:ascii="Arial" w:cs="Arial" w:eastAsia="Arial" w:hAnsi="Arial"/>
                <w:sz w:val="20"/>
                <w:szCs w:val="20"/>
                <w:b w:val="1"/>
                <w:bCs w:val="1"/>
                <w:color w:val="auto"/>
                <w:w w:val="98"/>
              </w:rPr>
              <w:t>December 31,</w:t>
            </w:r>
          </w:p>
        </w:tc>
      </w:tr>
      <w:tr>
        <w:trPr>
          <w:trHeight w:val="243"/>
        </w:trPr>
        <w:tc>
          <w:tcPr>
            <w:tcW w:w="76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2020</w:t>
            </w:r>
          </w:p>
        </w:tc>
      </w:tr>
      <w:tr>
        <w:trPr>
          <w:trHeight w:val="261"/>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Deferred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81,347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149,821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ind w:right="140"/>
        <w:spacing w:after="0" w:line="261" w:lineRule="auto"/>
        <w:rPr>
          <w:sz w:val="20"/>
          <w:szCs w:val="20"/>
          <w:color w:val="auto"/>
        </w:rPr>
      </w:pPr>
      <w:r>
        <w:rPr>
          <w:rFonts w:ascii="Arial" w:cs="Arial" w:eastAsia="Arial" w:hAnsi="Arial"/>
          <w:sz w:val="20"/>
          <w:szCs w:val="20"/>
          <w:color w:val="auto"/>
        </w:rPr>
        <w:t>During the nine months ended September 30, 2021, the Company converted $149.8 million deferred revenue to revenue which represented 100.0% of the prior years deferred revenue balance.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Remaining Performance Obligations</w:t>
      </w:r>
    </w:p>
    <w:p>
      <w:pPr>
        <w:spacing w:after="0" w:line="33" w:lineRule="exact"/>
        <w:rPr>
          <w:sz w:val="20"/>
          <w:szCs w:val="20"/>
          <w:color w:val="auto"/>
        </w:rPr>
      </w:pPr>
    </w:p>
    <w:p>
      <w:pPr>
        <w:ind w:right="360"/>
        <w:spacing w:after="0" w:line="261" w:lineRule="auto"/>
        <w:rPr>
          <w:sz w:val="20"/>
          <w:szCs w:val="20"/>
          <w:color w:val="auto"/>
        </w:rPr>
      </w:pPr>
      <w:r>
        <w:rPr>
          <w:rFonts w:ascii="Arial" w:cs="Arial" w:eastAsia="Arial" w:hAnsi="Arial"/>
          <w:sz w:val="20"/>
          <w:szCs w:val="20"/>
          <w:color w:val="auto"/>
        </w:rPr>
        <w:t>As of September 30, 2021, the Company had $591.0 million of remaining performance obligations. The Company expects to recognize revenue on 100% of these performance obligations in the next twelve months.</w:t>
      </w:r>
    </w:p>
    <w:p>
      <w:pPr>
        <w:spacing w:after="0" w:line="200" w:lineRule="exact"/>
        <w:rPr>
          <w:sz w:val="20"/>
          <w:szCs w:val="20"/>
          <w:color w:val="auto"/>
        </w:rPr>
      </w:pPr>
    </w:p>
    <w:p>
      <w:pPr>
        <w:spacing w:after="0" w:line="248"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Earnings (loss) per Share</w:t>
      </w:r>
    </w:p>
    <w:p>
      <w:pPr>
        <w:spacing w:after="0" w:line="280" w:lineRule="exact"/>
        <w:rPr>
          <w:sz w:val="20"/>
          <w:szCs w:val="20"/>
          <w:color w:val="auto"/>
        </w:rPr>
      </w:pPr>
    </w:p>
    <w:p>
      <w:pPr>
        <w:ind w:right="420"/>
        <w:spacing w:after="0" w:line="261" w:lineRule="auto"/>
        <w:rPr>
          <w:sz w:val="20"/>
          <w:szCs w:val="20"/>
          <w:color w:val="auto"/>
        </w:rPr>
      </w:pPr>
      <w:r>
        <w:rPr>
          <w:rFonts w:ascii="Arial" w:cs="Arial" w:eastAsia="Arial" w:hAnsi="Arial"/>
          <w:sz w:val="20"/>
          <w:szCs w:val="20"/>
          <w:color w:val="auto"/>
        </w:rPr>
        <w:t>The following table sets forth the computation of basic and diluted earnings (loss) per share (in thousands,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00" w:type="dxa"/>
            <w:vAlign w:val="bottom"/>
            <w:gridSpan w:val="5"/>
          </w:tcPr>
          <w:p>
            <w:pPr>
              <w:ind w:left="440"/>
              <w:spacing w:after="0"/>
              <w:rPr>
                <w:sz w:val="20"/>
                <w:szCs w:val="20"/>
                <w:color w:val="auto"/>
              </w:rPr>
            </w:pPr>
            <w:r>
              <w:rPr>
                <w:rFonts w:ascii="Arial" w:cs="Arial" w:eastAsia="Arial" w:hAnsi="Arial"/>
                <w:sz w:val="20"/>
                <w:szCs w:val="20"/>
                <w:b w:val="1"/>
                <w:bCs w:val="1"/>
                <w:color w:val="auto"/>
              </w:rPr>
              <w:t>Three Months Ended</w:t>
            </w:r>
          </w:p>
        </w:tc>
        <w:tc>
          <w:tcPr>
            <w:tcW w:w="400" w:type="dxa"/>
            <w:vAlign w:val="bottom"/>
          </w:tcPr>
          <w:p>
            <w:pPr>
              <w:spacing w:after="0"/>
              <w:rPr>
                <w:sz w:val="19"/>
                <w:szCs w:val="19"/>
                <w:color w:val="auto"/>
              </w:rPr>
            </w:pPr>
          </w:p>
        </w:tc>
        <w:tc>
          <w:tcPr>
            <w:tcW w:w="3220" w:type="dxa"/>
            <w:vAlign w:val="bottom"/>
            <w:gridSpan w:val="4"/>
          </w:tcPr>
          <w:p>
            <w:pPr>
              <w:jc w:val="right"/>
              <w:ind w:right="781"/>
              <w:spacing w:after="0"/>
              <w:rPr>
                <w:sz w:val="20"/>
                <w:szCs w:val="20"/>
                <w:color w:val="auto"/>
              </w:rPr>
            </w:pPr>
            <w:r>
              <w:rPr>
                <w:rFonts w:ascii="Arial" w:cs="Arial" w:eastAsia="Arial" w:hAnsi="Arial"/>
                <w:sz w:val="20"/>
                <w:szCs w:val="20"/>
                <w:b w:val="1"/>
                <w:bCs w:val="1"/>
                <w:color w:val="auto"/>
              </w:rPr>
              <w:t>Nine Months Ended</w:t>
            </w: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b w:val="1"/>
                <w:bCs w:val="1"/>
                <w:color w:val="auto"/>
              </w:rPr>
              <w:t>September 30,</w:t>
            </w:r>
          </w:p>
        </w:tc>
        <w:tc>
          <w:tcPr>
            <w:tcW w:w="11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b w:val="1"/>
                <w:bCs w:val="1"/>
                <w:color w:val="auto"/>
              </w:rPr>
              <w:t>September 30,</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c>
          <w:tcPr>
            <w:tcW w:w="8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w w:val="98"/>
              </w:rPr>
              <w:t>2020</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b w:val="1"/>
                <w:bCs w:val="1"/>
                <w:color w:val="auto"/>
              </w:rPr>
              <w:t>2021</w:t>
            </w:r>
          </w:p>
        </w:tc>
        <w:tc>
          <w:tcPr>
            <w:tcW w:w="8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w w:val="98"/>
              </w:rPr>
              <w:t>2020</w:t>
            </w: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(loss) income</w:t>
            </w:r>
          </w:p>
        </w:tc>
        <w:tc>
          <w:tcPr>
            <w:tcW w:w="40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(25,552)</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(7,232)</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(22,682)</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68,845</w:t>
            </w:r>
          </w:p>
        </w:tc>
        <w:tc>
          <w:tcPr>
            <w:tcW w:w="0" w:type="dxa"/>
            <w:vAlign w:val="bottom"/>
          </w:tcPr>
          <w:p>
            <w:pPr>
              <w:spacing w:after="0"/>
              <w:rPr>
                <w:sz w:val="1"/>
                <w:szCs w:val="1"/>
                <w:color w:val="auto"/>
              </w:rPr>
            </w:pPr>
          </w:p>
        </w:tc>
      </w:tr>
      <w:tr>
        <w:trPr>
          <w:trHeight w:val="27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Preferred dividends and accretion</w:t>
            </w:r>
          </w:p>
        </w:tc>
        <w:tc>
          <w:tcPr>
            <w:tcW w:w="4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(5,479)</w:t>
            </w:r>
          </w:p>
        </w:tc>
        <w:tc>
          <w:tcPr>
            <w:tcW w:w="8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(5,479)</w:t>
            </w:r>
          </w:p>
        </w:tc>
        <w:tc>
          <w:tcPr>
            <w:tcW w:w="8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6"/>
        </w:trPr>
        <w:tc>
          <w:tcPr>
            <w:tcW w:w="3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 to common shareholders</w:t>
            </w:r>
          </w:p>
        </w:tc>
        <w:tc>
          <w:tcPr>
            <w:tcW w:w="40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(31,031)</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(7,232)</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(28,161)</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68,845</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Basic:</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9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3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Weighted-average shares</w:t>
            </w:r>
          </w:p>
        </w:tc>
        <w:tc>
          <w:tcPr>
            <w:tcW w:w="4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130,955</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119,994</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128,315</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20"/>
                <w:szCs w:val="20"/>
                <w:color w:val="auto"/>
              </w:rPr>
              <w:t>Earnings (loss) per share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920" w:type="dxa"/>
            <w:vAlign w:val="bottom"/>
            <w:vMerge w:val="continue"/>
          </w:tcPr>
          <w:p>
            <w:pPr>
              <w:spacing w:after="0"/>
              <w:rPr>
                <w:sz w:val="20"/>
                <w:szCs w:val="20"/>
                <w:color w:val="auto"/>
              </w:rPr>
            </w:pP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(0.24)</w:t>
            </w:r>
          </w:p>
        </w:tc>
        <w:tc>
          <w:tcPr>
            <w:tcW w:w="720" w:type="dxa"/>
            <w:vAlign w:val="bottom"/>
            <w:gridSpan w:val="2"/>
          </w:tcPr>
          <w:p>
            <w:pPr>
              <w:jc w:val="right"/>
              <w:ind w:right="54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(0.06)</w:t>
            </w:r>
          </w:p>
        </w:tc>
        <w:tc>
          <w:tcPr>
            <w:tcW w:w="80" w:type="dxa"/>
            <w:vAlign w:val="bottom"/>
          </w:tcPr>
          <w:p>
            <w:pPr>
              <w:spacing w:after="0"/>
              <w:rPr>
                <w:sz w:val="20"/>
                <w:szCs w:val="20"/>
                <w:color w:val="auto"/>
              </w:rPr>
            </w:pP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tcPr>
          <w:p>
            <w:pPr>
              <w:jc w:val="right"/>
              <w:spacing w:after="0"/>
              <w:rPr>
                <w:sz w:val="20"/>
                <w:szCs w:val="20"/>
                <w:color w:val="auto"/>
              </w:rPr>
            </w:pPr>
            <w:r>
              <w:rPr>
                <w:rFonts w:ascii="Arial" w:cs="Arial" w:eastAsia="Arial" w:hAnsi="Arial"/>
                <w:sz w:val="20"/>
                <w:szCs w:val="20"/>
                <w:color w:val="auto"/>
              </w:rPr>
              <w:t>(0.22)</w:t>
            </w:r>
          </w:p>
        </w:tc>
        <w:tc>
          <w:tcPr>
            <w:tcW w:w="720" w:type="dxa"/>
            <w:vAlign w:val="bottom"/>
            <w:gridSpan w:val="2"/>
          </w:tcPr>
          <w:p>
            <w:pPr>
              <w:jc w:val="right"/>
              <w:ind w:right="54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0.57</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Diluted:</w:t>
            </w: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20"/>
                <w:szCs w:val="20"/>
                <w:color w:val="auto"/>
              </w:rPr>
              <w:t>Weighted-average shares</w:t>
            </w:r>
          </w:p>
        </w:tc>
        <w:tc>
          <w:tcPr>
            <w:tcW w:w="400" w:type="dxa"/>
            <w:vAlign w:val="bottom"/>
          </w:tcPr>
          <w:p>
            <w:pPr>
              <w:spacing w:after="0"/>
              <w:rPr>
                <w:sz w:val="23"/>
                <w:szCs w:val="23"/>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130,955</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119,994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ind w:right="1"/>
              <w:spacing w:after="0"/>
              <w:rPr>
                <w:sz w:val="20"/>
                <w:szCs w:val="20"/>
                <w:color w:val="auto"/>
              </w:rPr>
            </w:pPr>
            <w:r>
              <w:rPr>
                <w:rFonts w:ascii="Arial" w:cs="Arial" w:eastAsia="Arial" w:hAnsi="Arial"/>
                <w:sz w:val="20"/>
                <w:szCs w:val="20"/>
                <w:color w:val="auto"/>
              </w:rPr>
              <w:t>128,315</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90"/>
        </w:trPr>
        <w:tc>
          <w:tcPr>
            <w:tcW w:w="39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Equity compensation dilutive securities</w:t>
            </w: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20"/>
                <w:szCs w:val="20"/>
                <w:color w:val="auto"/>
              </w:rPr>
              <w:t>Weighted average dilutive shares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92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130,955</w:t>
            </w:r>
          </w:p>
        </w:tc>
        <w:tc>
          <w:tcPr>
            <w:tcW w:w="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119,994</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128,315</w:t>
            </w:r>
          </w:p>
        </w:tc>
        <w:tc>
          <w:tcPr>
            <w:tcW w:w="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119,994</w:t>
            </w:r>
          </w:p>
        </w:tc>
        <w:tc>
          <w:tcPr>
            <w:tcW w:w="0" w:type="dxa"/>
            <w:vAlign w:val="bottom"/>
          </w:tcPr>
          <w:p>
            <w:pPr>
              <w:spacing w:after="0"/>
              <w:rPr>
                <w:sz w:val="1"/>
                <w:szCs w:val="1"/>
                <w:color w:val="auto"/>
              </w:rPr>
            </w:pPr>
          </w:p>
        </w:tc>
      </w:tr>
      <w:tr>
        <w:trPr>
          <w:trHeight w:val="283"/>
        </w:trPr>
        <w:tc>
          <w:tcPr>
            <w:tcW w:w="39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Earnings (loss) per share</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(0.24)</w:t>
            </w: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(0.06)</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(0.22)</w:t>
            </w:r>
          </w:p>
        </w:tc>
        <w:tc>
          <w:tcPr>
            <w:tcW w:w="72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0.57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right="440"/>
        <w:spacing w:after="0" w:line="261" w:lineRule="auto"/>
        <w:rPr>
          <w:sz w:val="20"/>
          <w:szCs w:val="20"/>
          <w:color w:val="auto"/>
        </w:rPr>
      </w:pPr>
      <w:r>
        <w:rPr>
          <w:rFonts w:ascii="Arial" w:cs="Arial" w:eastAsia="Arial" w:hAnsi="Arial"/>
          <w:sz w:val="20"/>
          <w:szCs w:val="20"/>
          <w:color w:val="auto"/>
        </w:rPr>
        <w:t>Potentially dilutive common shares issuable pursuant to equity-based awards were not included for the three months ended September 30, 2021 as their potential effect was anti-dilutive as the Company generated a 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06"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Litigation</w:t>
      </w:r>
    </w:p>
    <w:p>
      <w:pPr>
        <w:spacing w:after="0" w:line="37" w:lineRule="exact"/>
        <w:rPr>
          <w:sz w:val="20"/>
          <w:szCs w:val="20"/>
          <w:color w:val="auto"/>
        </w:rPr>
      </w:pPr>
    </w:p>
    <w:p>
      <w:pPr>
        <w:ind w:right="420"/>
        <w:spacing w:after="0" w:line="277" w:lineRule="auto"/>
        <w:rPr>
          <w:sz w:val="20"/>
          <w:szCs w:val="20"/>
          <w:color w:val="auto"/>
        </w:rPr>
      </w:pPr>
      <w:r>
        <w:rPr>
          <w:rFonts w:ascii="Arial" w:cs="Arial" w:eastAsia="Arial" w:hAnsi="Arial"/>
          <w:sz w:val="19"/>
          <w:szCs w:val="19"/>
          <w:color w:val="auto"/>
        </w:rPr>
        <w:t>The Company, in the normal course of business, is subject to claims and litigation. 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spacing w:after="0" w:line="215"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On May 14, 2021, a putative class action was filed in the Southern District of New York against the Company and certain officers and directors alleging violations of Sections 10(b) and 20(a) of the Securities Exchange Act of 1934, and Rule 10b-5, promulgated thereunder, and Sections 11, 12(a)(2) and 15 of the Securities Exchange Act of 1933 (“Plymouth Action”). The Plymouth Action alleges misstatements and/or omissions in the Company’s registration statements and prospectuses related to the Company’s October 2020 initial public offering, the Company’s December 2020 offering, and the Company’s March 2021 offering during the putative class period of October 14, 2020 through May 11, 2021. The Court appointed the Array Institutional Investor Group as lead plaintiff and the deadline for an amended complaint is November 19, 2021.</w:t>
      </w:r>
    </w:p>
    <w:p>
      <w:pPr>
        <w:spacing w:after="0" w:line="240"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On June 30, 2021, a second putative class action was filed in the Southern District of New York against the Company and certain officers and directors alleging violations of Sections 10(b) and 20(a) of the Securities Exchange Act of 1934, and Rule 10b-5, promulgated thereunder, and Sections 11 and 15 of the Securities Exchange Act of 1933 (“Keippel Action”). The Keippel Action similarly alleged misstatements and/or omissions in certain of the Company’s registration statements and prospectuses related to the Company’s October 2020 initial public offering, the Company’s December 2020 offering, and the Company’s March 2021 offering during the putative class period of October 14, 2020 through May 11, 2021. On July 6, 2021, the Court entered an order that the Keippel Action was in all material respects substantially similar to the Plymouth Action that both actions arise out of the same or similar operative facts, and that the parties are substantially the same parties. The Court accordingly consolidated the Keippel Action with the Plymouth Action for all pretrial purposes and, ordered all filings to be made in the Plymouth Action.</w:t>
      </w:r>
    </w:p>
    <w:p>
      <w:pPr>
        <w:spacing w:after="0" w:line="239"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On July 16, 2021, a verified derivative complaint was filed against certain officers and directors of the Company (“First Derivative Action”). The complaint alleges: (1) violations of Section 14(a) of the Securities Exchange Act of 1934 for misleading proxy statements, (2) breach of fiduciary duty, (3) unjust enrichment, (4) abuse of control, (5) gross mismanagement, (6) corporate waste, (7) aiding and abetting breach of fiduciary duty, and (8) contribution under sections 10(b) and 21D of the Securities Exchange Act of 1934. On August 24, 2021, the case was consolidated with the Second Derivative Action, the Court appointed co-lead counsel, and the case was temporarily stayed pending the entry of an order on all motions to dismiss directed at the pleadings filed in the Plymouth Action. The stay shall remain in effect until the later of (a) the entry of an order on any motions to dismiss the Plymouth Action or, (b) to the extent the complaint in the Plymouth Action is amended, the entry of an order on any motions to dismiss any such amended complaints in the Plymouth Action.</w:t>
      </w:r>
    </w:p>
    <w:p>
      <w:pPr>
        <w:spacing w:after="0" w:line="239"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On July 30, 2021, a second and related verified derivative complaint was filed against certain officers and directors of the Company (“Second Derivative Action”). The complaint alleges: (1) violations of Section 14(a) of the Securities Exchange Act of 1934 for causing the issuance of a false/misleading proxy statement, (2) breach of fiduciary duty, and (3) aiding and abetting breaches of fiduciary duty. On August 24, 2021, the Second Derivative Action was consolidated with the First Derivative Action, the Court appointed co-lead counsel, and the case was temporarily stayed pending the entry of an order on all motions to dismiss directed at the pleadings filed in the Plymouth Action. The stay shall remain in effect until the later of (a) the entry of an order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30" w:lineRule="exact"/>
        <w:rPr>
          <w:sz w:val="20"/>
          <w:szCs w:val="20"/>
          <w:color w:val="auto"/>
        </w:rPr>
      </w:pPr>
    </w:p>
    <w:p>
      <w:pPr>
        <w:ind w:right="220"/>
        <w:spacing w:after="0" w:line="261" w:lineRule="auto"/>
        <w:rPr>
          <w:sz w:val="20"/>
          <w:szCs w:val="20"/>
          <w:color w:val="auto"/>
        </w:rPr>
      </w:pPr>
      <w:r>
        <w:rPr>
          <w:rFonts w:ascii="Arial" w:cs="Arial" w:eastAsia="Arial" w:hAnsi="Arial"/>
          <w:sz w:val="20"/>
          <w:szCs w:val="20"/>
          <w:color w:val="auto"/>
        </w:rPr>
        <w:t>on any motions to dismiss the Plymouth Action or, (b) to the extent the complaint in the Plymouth Action is amended, the entry of an order on any motions to dismiss any such amended complaints in the Plymouth Action.</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On September 21, 2021, the Court appointed a group comprised of institutional investors Plymouth County Retirement Association and Carpenters Pension Trust Fund for Northern California as lead plaintiff in the Plymouth Action. The deadline for the lead plaintiff to file an amended complaint in the Plymouth action is November 19, 2021</w:t>
      </w:r>
    </w:p>
    <w:p>
      <w:pPr>
        <w:spacing w:after="0" w:line="233"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At this time the Company believes that the likelihood of any material loss related to these matters is remote given the preliminary stage of the claims and strength of the Company’s defenses. The Company has not recorded any material loss contingency in the condensed consolidated balance sheets as of September 30, 2021.</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Contingent Consideration</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Taxes Receivable Agreement</w:t>
      </w:r>
    </w:p>
    <w:p>
      <w:pPr>
        <w:spacing w:after="0" w:line="33"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Concurrent with the Acquisition, Array Tech, Inc. (f/k/a Array Technologies, Inc.) entered into a Taxes Receivable Agreement (“TRA”) with the former majority shareholder of Array. The TRA is valued based on the future expected payments under the agreement. The TRA provides for the payment by Array Tech, Inc. to the former owners for certain federal, state, local and non-U.S. tax benefits deemed realized in post-closing taxable periods by Array, from the use of certain deductions generated by the increase in the tax value of the developed technology. The TRA is accounted for as contingent consideration and subsequent changes in fair value of the contingent liability are recognized in contingent consideration in the accompanying condensed consolidated statements of operations. As of September 30, 2021 and December 31, 2020, the fair value of the TRA was $13.0 million and $19.7 million, respectively.</w:t>
      </w:r>
    </w:p>
    <w:p>
      <w:pPr>
        <w:spacing w:after="0" w:line="240"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Estimating the amount of payments that may be made under the TRA is by nature imprecise. The significant fair value inputs used to estimate the future expected TRA payments to the former owners include the timing of tax payments, a discount rate, book income projections, timing of expected adjustments to calculate taxable income and the projected rate of use for attributes defined in the TRA.</w:t>
      </w:r>
    </w:p>
    <w:p>
      <w:pPr>
        <w:spacing w:after="0" w:line="234" w:lineRule="exact"/>
        <w:rPr>
          <w:sz w:val="20"/>
          <w:szCs w:val="20"/>
          <w:color w:val="auto"/>
        </w:rPr>
      </w:pPr>
    </w:p>
    <w:p>
      <w:pPr>
        <w:ind w:right="100"/>
        <w:spacing w:after="0" w:line="256" w:lineRule="auto"/>
        <w:rPr>
          <w:sz w:val="20"/>
          <w:szCs w:val="20"/>
          <w:color w:val="auto"/>
        </w:rPr>
      </w:pPr>
      <w:r>
        <w:rPr>
          <w:rFonts w:ascii="Arial" w:cs="Arial" w:eastAsia="Arial" w:hAnsi="Arial"/>
          <w:sz w:val="20"/>
          <w:szCs w:val="20"/>
          <w:color w:val="auto"/>
        </w:rPr>
        <w:t>Payments made under the TRA consider tax positions taken by the Company and are due within 125 days following the filing of the Company’s U.S. federal and state income tax returns under procedures described in the agreement. The current portion of the TRA liability is based on tax returns. The TRA will continue until all tax benefit payments have been made or the Company elects early termination under the terms described in the TRA.</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Earn-Out Liability</w:t>
      </w:r>
    </w:p>
    <w:p>
      <w:pPr>
        <w:spacing w:after="0" w:line="33"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The Company had a liability to the selling stockholders of Array for contingent consideration consisting of earn-out payments in the form of cash upon the occurrence of certain events, including the sale, transfer, assignment, pledge, encumbrance, distribution or disposition of shares held by the acquirer to a third party; initial public offering of the equity securities of Former Parent, acquirer or the Company; the sale of equity securities or assets of Former Parent, acquirer or the Company to a third-party; or a merger, consolidation, recapitalization or reorganization of Former Parent, acquirer or the Company. The maximum aggregate earn-out consideration was $25.0 million. The earn-out liability was paid off in the fourth quarter of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p>
    <w:p>
      <w:pPr>
        <w:spacing w:after="0" w:line="373"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 fair value of the earn-out liability was initially determined as of the Acquisition Date using unobservable inputs. These inputs include the estimated amount and timing of future cash flows, the probability of a qualifying event occurring, and a risk-free rate used to adjust the probability-weighted cash flows to their present value. Subsequent to the Acquisition Date, at each reporting period, the earn-out liability was re-measured to fair value with changes in fair value recorded in contingent consideration in the accompanying condensed consolidated statements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liability related to the estimated contingent consideration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TRA</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w w:val="99"/>
              </w:rPr>
              <w:t>Earn-Out Liability</w:t>
            </w:r>
          </w:p>
        </w:tc>
        <w:tc>
          <w:tcPr>
            <w:tcW w:w="80" w:type="dxa"/>
            <w:vAlign w:val="bottom"/>
            <w:vMerge w:val="restart"/>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gridSpan w:val="2"/>
          </w:tcPr>
          <w:p>
            <w:pPr>
              <w:jc w:val="right"/>
              <w:ind w:right="501"/>
              <w:spacing w:after="0"/>
              <w:rPr>
                <w:sz w:val="20"/>
                <w:szCs w:val="20"/>
                <w:color w:val="auto"/>
              </w:rPr>
            </w:pPr>
            <w:r>
              <w:rPr>
                <w:rFonts w:ascii="Arial" w:cs="Arial" w:eastAsia="Arial" w:hAnsi="Arial"/>
                <w:sz w:val="20"/>
                <w:szCs w:val="20"/>
                <w:b w:val="1"/>
                <w:bCs w:val="1"/>
                <w:color w:val="auto"/>
              </w:rPr>
              <w:t>Contingent</w:t>
            </w:r>
          </w:p>
        </w:tc>
        <w:tc>
          <w:tcPr>
            <w:tcW w:w="0" w:type="dxa"/>
            <w:vAlign w:val="bottom"/>
          </w:tcPr>
          <w:p>
            <w:pPr>
              <w:spacing w:after="0"/>
              <w:rPr>
                <w:sz w:val="1"/>
                <w:szCs w:val="1"/>
                <w:color w:val="auto"/>
              </w:rPr>
            </w:pPr>
          </w:p>
        </w:tc>
      </w:tr>
      <w:tr>
        <w:trPr>
          <w:trHeight w:val="266"/>
        </w:trPr>
        <w:tc>
          <w:tcPr>
            <w:tcW w:w="43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vMerge w:val="continue"/>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CCEEFF"/>
            </w:tcBorders>
            <w:vMerge w:val="continue"/>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b w:val="1"/>
                <w:bCs w:val="1"/>
                <w:color w:val="auto"/>
              </w:rPr>
              <w:t>Consideration</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4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Balance, June 30, 2021</w:t>
            </w:r>
          </w:p>
        </w:tc>
        <w:tc>
          <w:tcPr>
            <w:tcW w:w="1260" w:type="dxa"/>
            <w:vAlign w:val="bottom"/>
            <w:shd w:val="clear" w:color="auto" w:fill="CCEEFF"/>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12,016</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12,016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140"/>
              <w:spacing w:after="0"/>
              <w:rPr>
                <w:sz w:val="20"/>
                <w:szCs w:val="20"/>
                <w:color w:val="auto"/>
              </w:rPr>
            </w:pPr>
            <w:r>
              <w:rPr>
                <w:rFonts w:ascii="Arial" w:cs="Arial" w:eastAsia="Arial" w:hAnsi="Arial"/>
                <w:sz w:val="20"/>
                <w:szCs w:val="20"/>
                <w:color w:val="auto"/>
              </w:rPr>
              <w:t>Payments</w:t>
            </w:r>
          </w:p>
        </w:tc>
        <w:tc>
          <w:tcPr>
            <w:tcW w:w="126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23"/>
                <w:szCs w:val="23"/>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1900" w:type="dxa"/>
            <w:vAlign w:val="bottom"/>
            <w:gridSpan w:val="2"/>
          </w:tcPr>
          <w:p>
            <w:pPr>
              <w:jc w:val="right"/>
              <w:ind w:right="1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Fair value adjustment</w:t>
            </w:r>
          </w:p>
        </w:tc>
        <w:tc>
          <w:tcPr>
            <w:tcW w:w="12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936</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936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320" w:type="dxa"/>
            <w:vAlign w:val="bottom"/>
          </w:tcPr>
          <w:p>
            <w:pPr>
              <w:ind w:left="20"/>
              <w:spacing w:after="0"/>
              <w:rPr>
                <w:sz w:val="20"/>
                <w:szCs w:val="20"/>
                <w:color w:val="auto"/>
              </w:rPr>
            </w:pPr>
            <w:r>
              <w:rPr>
                <w:rFonts w:ascii="Arial" w:cs="Arial" w:eastAsia="Arial" w:hAnsi="Arial"/>
                <w:sz w:val="20"/>
                <w:szCs w:val="20"/>
                <w:b w:val="1"/>
                <w:bCs w:val="1"/>
                <w:color w:val="auto"/>
              </w:rPr>
              <w:t>Balance, September 30, 2021</w:t>
            </w:r>
          </w:p>
        </w:tc>
        <w:tc>
          <w:tcPr>
            <w:tcW w:w="1260" w:type="dxa"/>
            <w:vAlign w:val="bottom"/>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12,952</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9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spacing w:after="0"/>
              <w:rPr>
                <w:sz w:val="20"/>
                <w:szCs w:val="20"/>
                <w:color w:val="auto"/>
              </w:rPr>
            </w:pPr>
            <w:r>
              <w:rPr>
                <w:rFonts w:ascii="Arial" w:cs="Arial" w:eastAsia="Arial" w:hAnsi="Arial"/>
                <w:sz w:val="20"/>
                <w:szCs w:val="20"/>
                <w:color w:val="auto"/>
              </w:rPr>
              <w:t>12,952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20"/>
              <w:spacing w:after="0"/>
              <w:rPr>
                <w:sz w:val="20"/>
                <w:szCs w:val="20"/>
                <w:color w:val="auto"/>
              </w:rPr>
            </w:pPr>
            <w:r>
              <w:rPr>
                <w:rFonts w:ascii="Arial" w:cs="Arial" w:eastAsia="Arial" w:hAnsi="Arial"/>
                <w:sz w:val="20"/>
                <w:szCs w:val="20"/>
                <w:color w:val="auto"/>
              </w:rPr>
              <w:t>Balance, June 30, 2020</w:t>
            </w:r>
          </w:p>
        </w:tc>
        <w:tc>
          <w:tcPr>
            <w:tcW w:w="1260" w:type="dxa"/>
            <w:vAlign w:val="bottom"/>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18,845</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60" w:type="dxa"/>
            <w:vAlign w:val="bottom"/>
          </w:tcPr>
          <w:p>
            <w:pPr>
              <w:jc w:val="right"/>
              <w:ind w:right="1"/>
              <w:spacing w:after="0"/>
              <w:rPr>
                <w:sz w:val="20"/>
                <w:szCs w:val="20"/>
                <w:color w:val="auto"/>
              </w:rPr>
            </w:pPr>
            <w:r>
              <w:rPr>
                <w:rFonts w:ascii="Arial" w:cs="Arial" w:eastAsia="Arial" w:hAnsi="Arial"/>
                <w:sz w:val="20"/>
                <w:szCs w:val="20"/>
                <w:color w:val="auto"/>
              </w:rPr>
              <w:t>1,822</w:t>
            </w:r>
          </w:p>
        </w:tc>
        <w:tc>
          <w:tcPr>
            <w:tcW w:w="80" w:type="dxa"/>
            <w:vAlign w:val="bottom"/>
          </w:tcPr>
          <w:p>
            <w:pPr>
              <w:spacing w:after="0"/>
              <w:rPr>
                <w:sz w:val="23"/>
                <w:szCs w:val="23"/>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spacing w:after="0"/>
              <w:rPr>
                <w:sz w:val="20"/>
                <w:szCs w:val="20"/>
                <w:color w:val="auto"/>
              </w:rPr>
            </w:pPr>
            <w:r>
              <w:rPr>
                <w:rFonts w:ascii="Arial" w:cs="Arial" w:eastAsia="Arial" w:hAnsi="Arial"/>
                <w:sz w:val="20"/>
                <w:szCs w:val="20"/>
                <w:color w:val="auto"/>
              </w:rPr>
              <w:t>20,667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Fair value adjustment</w:t>
            </w:r>
          </w:p>
        </w:tc>
        <w:tc>
          <w:tcPr>
            <w:tcW w:w="12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(521)</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14,112</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13,591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320" w:type="dxa"/>
            <w:vAlign w:val="bottom"/>
          </w:tcPr>
          <w:p>
            <w:pPr>
              <w:ind w:left="20"/>
              <w:spacing w:after="0"/>
              <w:rPr>
                <w:sz w:val="20"/>
                <w:szCs w:val="20"/>
                <w:color w:val="auto"/>
              </w:rPr>
            </w:pPr>
            <w:r>
              <w:rPr>
                <w:rFonts w:ascii="Arial" w:cs="Arial" w:eastAsia="Arial" w:hAnsi="Arial"/>
                <w:sz w:val="20"/>
                <w:szCs w:val="20"/>
                <w:b w:val="1"/>
                <w:bCs w:val="1"/>
                <w:color w:val="auto"/>
              </w:rPr>
              <w:t>Balance, September 30, 2020</w:t>
            </w:r>
          </w:p>
        </w:tc>
        <w:tc>
          <w:tcPr>
            <w:tcW w:w="1260" w:type="dxa"/>
            <w:vAlign w:val="bottom"/>
            <w:tcBorders>
              <w:bottom w:val="single" w:sz="8" w:color="auto"/>
            </w:tcBorders>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18,324</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15,934</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34,258</w:t>
            </w:r>
          </w:p>
        </w:tc>
        <w:tc>
          <w:tcPr>
            <w:tcW w:w="120" w:type="dxa"/>
            <w:vAlign w:val="bottom"/>
            <w:vMerge w:val="restart"/>
          </w:tcPr>
          <w:p>
            <w:pPr>
              <w:jc w:val="right"/>
              <w:spacing w:after="0"/>
              <w:rPr>
                <w:sz w:val="20"/>
                <w:szCs w:val="20"/>
                <w:color w:val="auto"/>
              </w:rPr>
            </w:pPr>
            <w:r>
              <w:rPr>
                <w:rFonts w:ascii="Arial" w:cs="Arial" w:eastAsia="Arial" w:hAnsi="Arial"/>
                <w:sz w:val="20"/>
                <w:szCs w:val="20"/>
                <w:color w:val="auto"/>
                <w:w w:val="89"/>
              </w:rPr>
              <w:t>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5"/>
        </w:trPr>
        <w:tc>
          <w:tcPr>
            <w:tcW w:w="4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TRA</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w w:val="99"/>
              </w:rPr>
              <w:t>Earn-Out Liability</w:t>
            </w:r>
          </w:p>
        </w:tc>
        <w:tc>
          <w:tcPr>
            <w:tcW w:w="80" w:type="dxa"/>
            <w:vAlign w:val="bottom"/>
            <w:vMerge w:val="restart"/>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ind w:right="381"/>
              <w:spacing w:after="0"/>
              <w:rPr>
                <w:sz w:val="20"/>
                <w:szCs w:val="20"/>
                <w:color w:val="auto"/>
              </w:rPr>
            </w:pPr>
            <w:r>
              <w:rPr>
                <w:rFonts w:ascii="Arial" w:cs="Arial" w:eastAsia="Arial" w:hAnsi="Arial"/>
                <w:sz w:val="20"/>
                <w:szCs w:val="20"/>
                <w:b w:val="1"/>
                <w:bCs w:val="1"/>
                <w:color w:val="auto"/>
              </w:rPr>
              <w:t>Contingent</w:t>
            </w:r>
          </w:p>
        </w:tc>
        <w:tc>
          <w:tcPr>
            <w:tcW w:w="0" w:type="dxa"/>
            <w:vAlign w:val="bottom"/>
          </w:tcPr>
          <w:p>
            <w:pPr>
              <w:spacing w:after="0"/>
              <w:rPr>
                <w:sz w:val="1"/>
                <w:szCs w:val="1"/>
                <w:color w:val="auto"/>
              </w:rPr>
            </w:pPr>
          </w:p>
        </w:tc>
      </w:tr>
      <w:tr>
        <w:trPr>
          <w:trHeight w:val="266"/>
        </w:trPr>
        <w:tc>
          <w:tcPr>
            <w:tcW w:w="43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vMerge w:val="continue"/>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CCEEFF"/>
            </w:tcBorders>
            <w:vMerge w:val="continue"/>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221"/>
              <w:spacing w:after="0"/>
              <w:rPr>
                <w:sz w:val="20"/>
                <w:szCs w:val="20"/>
                <w:color w:val="auto"/>
              </w:rPr>
            </w:pPr>
            <w:r>
              <w:rPr>
                <w:rFonts w:ascii="Arial" w:cs="Arial" w:eastAsia="Arial" w:hAnsi="Arial"/>
                <w:sz w:val="20"/>
                <w:szCs w:val="20"/>
                <w:b w:val="1"/>
                <w:bCs w:val="1"/>
                <w:color w:val="auto"/>
              </w:rPr>
              <w:t>Consideration</w:t>
            </w:r>
          </w:p>
        </w:tc>
        <w:tc>
          <w:tcPr>
            <w:tcW w:w="0" w:type="dxa"/>
            <w:vAlign w:val="bottom"/>
          </w:tcPr>
          <w:p>
            <w:pPr>
              <w:spacing w:after="0"/>
              <w:rPr>
                <w:sz w:val="1"/>
                <w:szCs w:val="1"/>
                <w:color w:val="auto"/>
              </w:rPr>
            </w:pPr>
          </w:p>
        </w:tc>
      </w:tr>
      <w:tr>
        <w:trPr>
          <w:trHeight w:val="268"/>
        </w:trPr>
        <w:tc>
          <w:tcPr>
            <w:tcW w:w="4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Balance, December 31, 2020</w:t>
            </w:r>
          </w:p>
        </w:tc>
        <w:tc>
          <w:tcPr>
            <w:tcW w:w="1260" w:type="dxa"/>
            <w:vAlign w:val="bottom"/>
            <w:shd w:val="clear" w:color="auto" w:fill="CCEEFF"/>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19,691</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19,691</w:t>
            </w:r>
          </w:p>
        </w:tc>
        <w:tc>
          <w:tcPr>
            <w:tcW w:w="0" w:type="dxa"/>
            <w:vAlign w:val="bottom"/>
          </w:tcPr>
          <w:p>
            <w:pPr>
              <w:spacing w:after="0"/>
              <w:rPr>
                <w:sz w:val="1"/>
                <w:szCs w:val="1"/>
                <w:color w:val="auto"/>
              </w:rPr>
            </w:pPr>
          </w:p>
        </w:tc>
      </w:tr>
      <w:tr>
        <w:trPr>
          <w:trHeight w:val="270"/>
        </w:trPr>
        <w:tc>
          <w:tcPr>
            <w:tcW w:w="4320" w:type="dxa"/>
            <w:vAlign w:val="bottom"/>
          </w:tcPr>
          <w:p>
            <w:pPr>
              <w:ind w:left="140"/>
              <w:spacing w:after="0"/>
              <w:rPr>
                <w:sz w:val="20"/>
                <w:szCs w:val="20"/>
                <w:color w:val="auto"/>
              </w:rPr>
            </w:pPr>
            <w:r>
              <w:rPr>
                <w:rFonts w:ascii="Arial" w:cs="Arial" w:eastAsia="Arial" w:hAnsi="Arial"/>
                <w:sz w:val="20"/>
                <w:szCs w:val="20"/>
                <w:color w:val="auto"/>
              </w:rPr>
              <w:t>Payments</w:t>
            </w:r>
          </w:p>
        </w:tc>
        <w:tc>
          <w:tcPr>
            <w:tcW w:w="1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(7,810)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(7,810)</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Fair value adjustment</w:t>
            </w:r>
          </w:p>
        </w:tc>
        <w:tc>
          <w:tcPr>
            <w:tcW w:w="12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1,071</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1,071</w:t>
            </w:r>
          </w:p>
        </w:tc>
        <w:tc>
          <w:tcPr>
            <w:tcW w:w="0" w:type="dxa"/>
            <w:vAlign w:val="bottom"/>
          </w:tcPr>
          <w:p>
            <w:pPr>
              <w:spacing w:after="0"/>
              <w:rPr>
                <w:sz w:val="1"/>
                <w:szCs w:val="1"/>
                <w:color w:val="auto"/>
              </w:rPr>
            </w:pPr>
          </w:p>
        </w:tc>
      </w:tr>
      <w:tr>
        <w:trPr>
          <w:trHeight w:val="264"/>
        </w:trPr>
        <w:tc>
          <w:tcPr>
            <w:tcW w:w="4320" w:type="dxa"/>
            <w:vAlign w:val="bottom"/>
          </w:tcPr>
          <w:p>
            <w:pPr>
              <w:ind w:left="20"/>
              <w:spacing w:after="0"/>
              <w:rPr>
                <w:sz w:val="20"/>
                <w:szCs w:val="20"/>
                <w:color w:val="auto"/>
              </w:rPr>
            </w:pPr>
            <w:r>
              <w:rPr>
                <w:rFonts w:ascii="Arial" w:cs="Arial" w:eastAsia="Arial" w:hAnsi="Arial"/>
                <w:sz w:val="20"/>
                <w:szCs w:val="20"/>
                <w:b w:val="1"/>
                <w:bCs w:val="1"/>
                <w:color w:val="auto"/>
              </w:rPr>
              <w:t>Balance, September 30, 2021</w:t>
            </w:r>
          </w:p>
        </w:tc>
        <w:tc>
          <w:tcPr>
            <w:tcW w:w="1260" w:type="dxa"/>
            <w:vAlign w:val="bottom"/>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12,952</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9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spacing w:after="0"/>
              <w:rPr>
                <w:sz w:val="20"/>
                <w:szCs w:val="20"/>
                <w:color w:val="auto"/>
              </w:rPr>
            </w:pPr>
            <w:r>
              <w:rPr>
                <w:rFonts w:ascii="Arial" w:cs="Arial" w:eastAsia="Arial" w:hAnsi="Arial"/>
                <w:sz w:val="20"/>
                <w:szCs w:val="20"/>
                <w:color w:val="auto"/>
              </w:rPr>
              <w:t>12,952</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20"/>
              <w:spacing w:after="0"/>
              <w:rPr>
                <w:sz w:val="20"/>
                <w:szCs w:val="20"/>
                <w:color w:val="auto"/>
              </w:rPr>
            </w:pPr>
            <w:r>
              <w:rPr>
                <w:rFonts w:ascii="Arial" w:cs="Arial" w:eastAsia="Arial" w:hAnsi="Arial"/>
                <w:sz w:val="20"/>
                <w:szCs w:val="20"/>
                <w:color w:val="auto"/>
              </w:rPr>
              <w:t>Balance, December 31, 2019</w:t>
            </w:r>
          </w:p>
        </w:tc>
        <w:tc>
          <w:tcPr>
            <w:tcW w:w="1260" w:type="dxa"/>
            <w:vAlign w:val="bottom"/>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17,808</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860" w:type="dxa"/>
            <w:vAlign w:val="bottom"/>
          </w:tcPr>
          <w:p>
            <w:pPr>
              <w:jc w:val="right"/>
              <w:ind w:right="1"/>
              <w:spacing w:after="0"/>
              <w:rPr>
                <w:sz w:val="20"/>
                <w:szCs w:val="20"/>
                <w:color w:val="auto"/>
              </w:rPr>
            </w:pPr>
            <w:r>
              <w:rPr>
                <w:rFonts w:ascii="Arial" w:cs="Arial" w:eastAsia="Arial" w:hAnsi="Arial"/>
                <w:sz w:val="20"/>
                <w:szCs w:val="20"/>
                <w:color w:val="auto"/>
              </w:rPr>
              <w:t>442</w:t>
            </w:r>
          </w:p>
        </w:tc>
        <w:tc>
          <w:tcPr>
            <w:tcW w:w="80" w:type="dxa"/>
            <w:vAlign w:val="bottom"/>
          </w:tcPr>
          <w:p>
            <w:pPr>
              <w:spacing w:after="0"/>
              <w:rPr>
                <w:sz w:val="23"/>
                <w:szCs w:val="23"/>
                <w:color w:val="auto"/>
              </w:rPr>
            </w:pP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spacing w:after="0"/>
              <w:rPr>
                <w:sz w:val="20"/>
                <w:szCs w:val="20"/>
                <w:color w:val="auto"/>
              </w:rPr>
            </w:pPr>
            <w:r>
              <w:rPr>
                <w:rFonts w:ascii="Arial" w:cs="Arial" w:eastAsia="Arial" w:hAnsi="Arial"/>
                <w:sz w:val="20"/>
                <w:szCs w:val="20"/>
                <w:color w:val="auto"/>
              </w:rPr>
              <w:t>18,250</w:t>
            </w: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Fair value adjustment</w:t>
            </w:r>
          </w:p>
        </w:tc>
        <w:tc>
          <w:tcPr>
            <w:tcW w:w="12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516</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15,492</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16,008</w:t>
            </w:r>
          </w:p>
        </w:tc>
        <w:tc>
          <w:tcPr>
            <w:tcW w:w="0" w:type="dxa"/>
            <w:vAlign w:val="bottom"/>
          </w:tcPr>
          <w:p>
            <w:pPr>
              <w:spacing w:after="0"/>
              <w:rPr>
                <w:sz w:val="1"/>
                <w:szCs w:val="1"/>
                <w:color w:val="auto"/>
              </w:rPr>
            </w:pPr>
          </w:p>
        </w:tc>
      </w:tr>
      <w:tr>
        <w:trPr>
          <w:trHeight w:val="264"/>
        </w:trPr>
        <w:tc>
          <w:tcPr>
            <w:tcW w:w="4320" w:type="dxa"/>
            <w:vAlign w:val="bottom"/>
          </w:tcPr>
          <w:p>
            <w:pPr>
              <w:ind w:left="20"/>
              <w:spacing w:after="0"/>
              <w:rPr>
                <w:sz w:val="20"/>
                <w:szCs w:val="20"/>
                <w:color w:val="auto"/>
              </w:rPr>
            </w:pPr>
            <w:r>
              <w:rPr>
                <w:rFonts w:ascii="Arial" w:cs="Arial" w:eastAsia="Arial" w:hAnsi="Arial"/>
                <w:sz w:val="20"/>
                <w:szCs w:val="20"/>
                <w:b w:val="1"/>
                <w:bCs w:val="1"/>
                <w:color w:val="auto"/>
              </w:rPr>
              <w:t>Balance, September 30, 2020</w:t>
            </w:r>
          </w:p>
        </w:tc>
        <w:tc>
          <w:tcPr>
            <w:tcW w:w="1260" w:type="dxa"/>
            <w:vAlign w:val="bottom"/>
            <w:tcBorders>
              <w:bottom w:val="single" w:sz="8" w:color="auto"/>
            </w:tcBorders>
          </w:tcPr>
          <w:p>
            <w:pPr>
              <w:jc w:val="right"/>
              <w:ind w:right="1041"/>
              <w:spacing w:after="0"/>
              <w:rPr>
                <w:sz w:val="20"/>
                <w:szCs w:val="20"/>
                <w:color w:val="auto"/>
              </w:rPr>
            </w:pPr>
            <w:r>
              <w:rPr>
                <w:rFonts w:ascii="Arial" w:cs="Arial" w:eastAsia="Arial" w:hAnsi="Arial"/>
                <w:sz w:val="20"/>
                <w:szCs w:val="20"/>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18,324</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8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15,934</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34,258</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The TRA and earn-out liabilities require significant judgment and are classified as Level 3 in the fair value hierarchy.</w:t>
      </w:r>
    </w:p>
    <w:p>
      <w:pPr>
        <w:spacing w:after="0" w:line="200" w:lineRule="exact"/>
        <w:rPr>
          <w:sz w:val="20"/>
          <w:szCs w:val="20"/>
          <w:color w:val="auto"/>
        </w:rPr>
      </w:pPr>
    </w:p>
    <w:p>
      <w:pPr>
        <w:spacing w:after="0" w:line="275"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Incentive Plan</w:t>
      </w:r>
    </w:p>
    <w:p>
      <w:pPr>
        <w:spacing w:after="0" w:line="37" w:lineRule="exact"/>
        <w:rPr>
          <w:sz w:val="20"/>
          <w:szCs w:val="20"/>
          <w:color w:val="auto"/>
        </w:rPr>
      </w:pPr>
    </w:p>
    <w:p>
      <w:pPr>
        <w:ind w:right="80"/>
        <w:spacing w:after="0" w:line="261" w:lineRule="auto"/>
        <w:rPr>
          <w:sz w:val="20"/>
          <w:szCs w:val="20"/>
          <w:color w:val="auto"/>
        </w:rPr>
      </w:pPr>
      <w:r>
        <w:rPr>
          <w:rFonts w:ascii="Arial" w:cs="Arial" w:eastAsia="Arial" w:hAnsi="Arial"/>
          <w:sz w:val="20"/>
          <w:szCs w:val="20"/>
          <w:color w:val="auto"/>
        </w:rPr>
        <w:t>On October 14, 2020, the Company’s 2020 Plan became effective. The 2020 Plan authorized 6,683,919 new shares, subject to adjustments pursuant to the 2020 Plan.</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26" w:name="page27"/>
    <w:bookmarkEnd w:id="26"/>
    <w:p>
      <w:pPr>
        <w:spacing w:after="0" w:line="330" w:lineRule="exact"/>
        <w:rPr>
          <w:sz w:val="20"/>
          <w:szCs w:val="20"/>
          <w:color w:val="auto"/>
        </w:rPr>
      </w:pPr>
    </w:p>
    <w:p>
      <w:pPr>
        <w:jc w:val="both"/>
        <w:ind w:right="160"/>
        <w:spacing w:after="0" w:line="256" w:lineRule="auto"/>
        <w:rPr>
          <w:sz w:val="20"/>
          <w:szCs w:val="20"/>
          <w:color w:val="auto"/>
        </w:rPr>
      </w:pPr>
      <w:r>
        <w:rPr>
          <w:rFonts w:ascii="Arial" w:cs="Arial" w:eastAsia="Arial" w:hAnsi="Arial"/>
          <w:sz w:val="20"/>
          <w:szCs w:val="20"/>
          <w:color w:val="auto"/>
        </w:rPr>
        <w:t>In the nine months ended September 30, 2021, the Company granted an aggregate of 605,319 RSUs to employees and board of director members and 177,472 Performance Stock Units (PSUs) to certain executives. The PSUs cliff vest after three years and upon meeting certain revenue and adjusted EPS targets. The PSUs also contain a modifier based on the total stock return (TSR) compared to a certain Index which modifies the number of PSUs that vest.</w:t>
      </w:r>
    </w:p>
    <w:p>
      <w:pPr>
        <w:sectPr>
          <w:pgSz w:w="11900" w:h="16838" w:orient="portrait"/>
          <w:cols w:equalWidth="0" w:num="1">
            <w:col w:w="11240"/>
          </w:cols>
          <w:pgMar w:left="320" w:top="1440" w:right="33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Activity under the 2020 Plan was as follows: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RSU</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Unvested, December 31, 2020</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Granted</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Vested</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Forfeited</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Unvested, September 30, 2021</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20"/>
          <w:szCs w:val="20"/>
          <w:color w:val="auto"/>
        </w:rPr>
        <w:t>PSU</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20"/>
          <w:szCs w:val="20"/>
          <w:color w:val="auto"/>
        </w:rPr>
        <w:t>Unvested, December 31, 2020</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Granted</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Vested</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Forfeited</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Unvested, September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center"/>
              <w:ind w:right="21"/>
              <w:spacing w:after="0"/>
              <w:rPr>
                <w:sz w:val="20"/>
                <w:szCs w:val="20"/>
                <w:color w:val="auto"/>
              </w:rPr>
            </w:pPr>
            <w:r>
              <w:rPr>
                <w:rFonts w:ascii="Arial" w:cs="Arial" w:eastAsia="Arial" w:hAnsi="Arial"/>
                <w:sz w:val="20"/>
                <w:szCs w:val="20"/>
                <w:b w:val="1"/>
                <w:bCs w:val="1"/>
                <w:color w:val="auto"/>
                <w:w w:val="98"/>
              </w:rPr>
              <w:t>Weighted Average</w:t>
            </w:r>
          </w:p>
        </w:tc>
        <w:tc>
          <w:tcPr>
            <w:tcW w:w="0" w:type="dxa"/>
            <w:vAlign w:val="bottom"/>
          </w:tcPr>
          <w:p>
            <w:pPr>
              <w:spacing w:after="0"/>
              <w:rPr>
                <w:sz w:val="1"/>
                <w:szCs w:val="1"/>
                <w:color w:val="auto"/>
              </w:rPr>
            </w:pPr>
          </w:p>
        </w:tc>
      </w:tr>
      <w:tr>
        <w:trPr>
          <w:trHeight w:val="203"/>
        </w:trPr>
        <w:tc>
          <w:tcPr>
            <w:tcW w:w="1980" w:type="dxa"/>
            <w:vAlign w:val="bottom"/>
            <w:vMerge w:val="restart"/>
          </w:tcPr>
          <w:p>
            <w:pPr>
              <w:jc w:val="right"/>
              <w:ind w:right="4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center"/>
              <w:ind w:right="21"/>
              <w:spacing w:after="0" w:line="203" w:lineRule="exact"/>
              <w:rPr>
                <w:sz w:val="20"/>
                <w:szCs w:val="20"/>
                <w:color w:val="auto"/>
              </w:rPr>
            </w:pPr>
            <w:r>
              <w:rPr>
                <w:rFonts w:ascii="Arial" w:cs="Arial" w:eastAsia="Arial" w:hAnsi="Arial"/>
                <w:sz w:val="20"/>
                <w:szCs w:val="20"/>
                <w:b w:val="1"/>
                <w:bCs w:val="1"/>
                <w:color w:val="auto"/>
                <w:w w:val="99"/>
              </w:rPr>
              <w:t>Grant Date Fair</w:t>
            </w:r>
          </w:p>
        </w:tc>
        <w:tc>
          <w:tcPr>
            <w:tcW w:w="0" w:type="dxa"/>
            <w:vAlign w:val="bottom"/>
          </w:tcPr>
          <w:p>
            <w:pPr>
              <w:spacing w:after="0"/>
              <w:rPr>
                <w:sz w:val="1"/>
                <w:szCs w:val="1"/>
                <w:color w:val="auto"/>
              </w:rPr>
            </w:pPr>
          </w:p>
        </w:tc>
      </w:tr>
      <w:tr>
        <w:trPr>
          <w:trHeight w:val="266"/>
        </w:trPr>
        <w:tc>
          <w:tcPr>
            <w:tcW w:w="198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b w:val="1"/>
                <w:bCs w:val="1"/>
                <w:color w:val="auto"/>
                <w:w w:val="97"/>
              </w:rPr>
              <w:t>Value</w:t>
            </w:r>
          </w:p>
        </w:tc>
        <w:tc>
          <w:tcPr>
            <w:tcW w:w="0" w:type="dxa"/>
            <w:vAlign w:val="bottom"/>
          </w:tcPr>
          <w:p>
            <w:pPr>
              <w:spacing w:after="0"/>
              <w:rPr>
                <w:sz w:val="1"/>
                <w:szCs w:val="1"/>
                <w:color w:val="auto"/>
              </w:rPr>
            </w:pPr>
          </w:p>
        </w:tc>
      </w:tr>
      <w:tr>
        <w:trPr>
          <w:trHeight w:val="488"/>
        </w:trPr>
        <w:tc>
          <w:tcPr>
            <w:tcW w:w="1980" w:type="dxa"/>
            <w:vAlign w:val="bottom"/>
          </w:tcPr>
          <w:p>
            <w:pPr>
              <w:jc w:val="right"/>
              <w:spacing w:after="0"/>
              <w:rPr>
                <w:sz w:val="20"/>
                <w:szCs w:val="20"/>
                <w:color w:val="auto"/>
              </w:rPr>
            </w:pPr>
            <w:r>
              <w:rPr>
                <w:rFonts w:ascii="Arial" w:cs="Arial" w:eastAsia="Arial" w:hAnsi="Arial"/>
                <w:sz w:val="20"/>
                <w:szCs w:val="20"/>
                <w:color w:val="auto"/>
              </w:rPr>
              <w:t>500,006</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22.00</w:t>
            </w:r>
          </w:p>
        </w:tc>
        <w:tc>
          <w:tcPr>
            <w:tcW w:w="0" w:type="dxa"/>
            <w:vAlign w:val="bottom"/>
          </w:tcPr>
          <w:p>
            <w:pPr>
              <w:spacing w:after="0"/>
              <w:rPr>
                <w:sz w:val="1"/>
                <w:szCs w:val="1"/>
                <w:color w:val="auto"/>
              </w:rPr>
            </w:pPr>
          </w:p>
        </w:tc>
      </w:tr>
      <w:tr>
        <w:trPr>
          <w:trHeight w:val="270"/>
        </w:trPr>
        <w:tc>
          <w:tcPr>
            <w:tcW w:w="1980" w:type="dxa"/>
            <w:vAlign w:val="bottom"/>
          </w:tcPr>
          <w:p>
            <w:pPr>
              <w:jc w:val="right"/>
              <w:spacing w:after="0"/>
              <w:rPr>
                <w:sz w:val="20"/>
                <w:szCs w:val="20"/>
                <w:color w:val="auto"/>
              </w:rPr>
            </w:pPr>
            <w:r>
              <w:rPr>
                <w:rFonts w:ascii="Arial" w:cs="Arial" w:eastAsia="Arial" w:hAnsi="Arial"/>
                <w:sz w:val="20"/>
                <w:szCs w:val="20"/>
                <w:color w:val="auto"/>
              </w:rPr>
              <w:t>605,319</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23.77</w:t>
            </w:r>
          </w:p>
        </w:tc>
        <w:tc>
          <w:tcPr>
            <w:tcW w:w="0" w:type="dxa"/>
            <w:vAlign w:val="bottom"/>
          </w:tcPr>
          <w:p>
            <w:pPr>
              <w:spacing w:after="0"/>
              <w:rPr>
                <w:sz w:val="1"/>
                <w:szCs w:val="1"/>
                <w:color w:val="auto"/>
              </w:rPr>
            </w:pPr>
          </w:p>
        </w:tc>
      </w:tr>
      <w:tr>
        <w:trPr>
          <w:trHeight w:val="270"/>
        </w:trPr>
        <w:tc>
          <w:tcPr>
            <w:tcW w:w="19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3"/>
        </w:trPr>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(61,817)</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26.33</w:t>
            </w:r>
          </w:p>
        </w:tc>
        <w:tc>
          <w:tcPr>
            <w:tcW w:w="0" w:type="dxa"/>
            <w:vAlign w:val="bottom"/>
          </w:tcPr>
          <w:p>
            <w:pPr>
              <w:spacing w:after="0"/>
              <w:rPr>
                <w:sz w:val="1"/>
                <w:szCs w:val="1"/>
                <w:color w:val="auto"/>
              </w:rPr>
            </w:pPr>
          </w:p>
        </w:tc>
      </w:tr>
      <w:tr>
        <w:trPr>
          <w:trHeight w:val="263"/>
        </w:trPr>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1,043,508</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22.77</w:t>
            </w:r>
          </w:p>
        </w:tc>
        <w:tc>
          <w:tcPr>
            <w:tcW w:w="0" w:type="dxa"/>
            <w:vAlign w:val="bottom"/>
          </w:tcPr>
          <w:p>
            <w:pPr>
              <w:spacing w:after="0"/>
              <w:rPr>
                <w:sz w:val="1"/>
                <w:szCs w:val="1"/>
                <w:color w:val="auto"/>
              </w:rPr>
            </w:pPr>
          </w:p>
        </w:tc>
      </w:tr>
      <w:tr>
        <w:trPr>
          <w:trHeight w:val="27"/>
        </w:trPr>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vMerge w:val="restart"/>
          </w:tcPr>
          <w:p>
            <w:pPr>
              <w:jc w:val="center"/>
              <w:ind w:right="41"/>
              <w:spacing w:after="0" w:line="229" w:lineRule="exact"/>
              <w:rPr>
                <w:sz w:val="20"/>
                <w:szCs w:val="20"/>
                <w:color w:val="auto"/>
              </w:rPr>
            </w:pPr>
            <w:r>
              <w:rPr>
                <w:rFonts w:ascii="Arial" w:cs="Arial" w:eastAsia="Arial" w:hAnsi="Arial"/>
                <w:sz w:val="20"/>
                <w:szCs w:val="20"/>
                <w:b w:val="1"/>
                <w:bCs w:val="1"/>
                <w:color w:val="auto"/>
                <w:w w:val="97"/>
              </w:rPr>
              <w:t>Weighted Average</w:t>
            </w:r>
          </w:p>
        </w:tc>
        <w:tc>
          <w:tcPr>
            <w:tcW w:w="0" w:type="dxa"/>
            <w:vAlign w:val="bottom"/>
          </w:tcPr>
          <w:p>
            <w:pPr>
              <w:spacing w:after="0"/>
              <w:rPr>
                <w:sz w:val="1"/>
                <w:szCs w:val="1"/>
                <w:color w:val="auto"/>
              </w:rPr>
            </w:pPr>
          </w:p>
        </w:tc>
      </w:tr>
      <w:tr>
        <w:trPr>
          <w:trHeight w:val="182"/>
        </w:trPr>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ind w:right="21"/>
              <w:spacing w:after="0" w:line="216" w:lineRule="exact"/>
              <w:rPr>
                <w:sz w:val="20"/>
                <w:szCs w:val="20"/>
                <w:color w:val="auto"/>
              </w:rPr>
            </w:pPr>
            <w:r>
              <w:rPr>
                <w:rFonts w:ascii="Arial" w:cs="Arial" w:eastAsia="Arial" w:hAnsi="Arial"/>
                <w:sz w:val="20"/>
                <w:szCs w:val="20"/>
                <w:b w:val="1"/>
                <w:bCs w:val="1"/>
                <w:color w:val="auto"/>
                <w:w w:val="99"/>
              </w:rPr>
              <w:t>Grant Date Fair</w:t>
            </w:r>
          </w:p>
        </w:tc>
        <w:tc>
          <w:tcPr>
            <w:tcW w:w="0" w:type="dxa"/>
            <w:vAlign w:val="bottom"/>
          </w:tcPr>
          <w:p>
            <w:pPr>
              <w:spacing w:after="0"/>
              <w:rPr>
                <w:sz w:val="1"/>
                <w:szCs w:val="1"/>
                <w:color w:val="auto"/>
              </w:rPr>
            </w:pPr>
          </w:p>
        </w:tc>
      </w:tr>
      <w:tr>
        <w:trPr>
          <w:trHeight w:val="266"/>
        </w:trPr>
        <w:tc>
          <w:tcPr>
            <w:tcW w:w="19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b w:val="1"/>
                <w:bCs w:val="1"/>
                <w:color w:val="auto"/>
                <w:w w:val="97"/>
              </w:rPr>
              <w:t>Value</w:t>
            </w:r>
          </w:p>
        </w:tc>
        <w:tc>
          <w:tcPr>
            <w:tcW w:w="0" w:type="dxa"/>
            <w:vAlign w:val="bottom"/>
          </w:tcPr>
          <w:p>
            <w:pPr>
              <w:spacing w:after="0"/>
              <w:rPr>
                <w:sz w:val="1"/>
                <w:szCs w:val="1"/>
                <w:color w:val="auto"/>
              </w:rPr>
            </w:pPr>
          </w:p>
        </w:tc>
      </w:tr>
      <w:tr>
        <w:trPr>
          <w:trHeight w:val="259"/>
        </w:trPr>
        <w:tc>
          <w:tcPr>
            <w:tcW w:w="2180" w:type="dxa"/>
            <w:vAlign w:val="bottom"/>
            <w:gridSpan w:val="3"/>
          </w:tcPr>
          <w:p>
            <w:pPr>
              <w:jc w:val="right"/>
              <w:spacing w:after="0"/>
              <w:rPr>
                <w:sz w:val="20"/>
                <w:szCs w:val="20"/>
                <w:color w:val="auto"/>
              </w:rPr>
            </w:pPr>
            <w:r>
              <w:rPr>
                <w:rFonts w:ascii="Arial" w:cs="Arial" w:eastAsia="Arial" w:hAnsi="Arial"/>
                <w:sz w:val="20"/>
                <w:szCs w:val="20"/>
                <w:color w:val="auto"/>
              </w:rPr>
              <w:t>—  $</w:t>
            </w: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0"/>
        </w:trPr>
        <w:tc>
          <w:tcPr>
            <w:tcW w:w="1980" w:type="dxa"/>
            <w:vAlign w:val="bottom"/>
          </w:tcPr>
          <w:p>
            <w:pPr>
              <w:jc w:val="right"/>
              <w:spacing w:after="0"/>
              <w:rPr>
                <w:sz w:val="20"/>
                <w:szCs w:val="20"/>
                <w:color w:val="auto"/>
              </w:rPr>
            </w:pPr>
            <w:r>
              <w:rPr>
                <w:rFonts w:ascii="Arial" w:cs="Arial" w:eastAsia="Arial" w:hAnsi="Arial"/>
                <w:sz w:val="20"/>
                <w:szCs w:val="20"/>
                <w:color w:val="auto"/>
              </w:rPr>
              <w:t>177,472</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28.25</w:t>
            </w:r>
          </w:p>
        </w:tc>
        <w:tc>
          <w:tcPr>
            <w:tcW w:w="0" w:type="dxa"/>
            <w:vAlign w:val="bottom"/>
          </w:tcPr>
          <w:p>
            <w:pPr>
              <w:spacing w:after="0"/>
              <w:rPr>
                <w:sz w:val="1"/>
                <w:szCs w:val="1"/>
                <w:color w:val="auto"/>
              </w:rPr>
            </w:pPr>
          </w:p>
        </w:tc>
      </w:tr>
      <w:tr>
        <w:trPr>
          <w:trHeight w:val="270"/>
        </w:trPr>
        <w:tc>
          <w:tcPr>
            <w:tcW w:w="19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3"/>
        </w:trPr>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(17,460)</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30.74</w:t>
            </w:r>
          </w:p>
        </w:tc>
        <w:tc>
          <w:tcPr>
            <w:tcW w:w="0" w:type="dxa"/>
            <w:vAlign w:val="bottom"/>
          </w:tcPr>
          <w:p>
            <w:pPr>
              <w:spacing w:after="0"/>
              <w:rPr>
                <w:sz w:val="1"/>
                <w:szCs w:val="1"/>
                <w:color w:val="auto"/>
              </w:rPr>
            </w:pPr>
          </w:p>
        </w:tc>
      </w:tr>
      <w:tr>
        <w:trPr>
          <w:trHeight w:val="265"/>
        </w:trPr>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160,012</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880" w:type="dxa"/>
            <w:vAlign w:val="bottom"/>
          </w:tcPr>
          <w:p>
            <w:pPr>
              <w:jc w:val="right"/>
              <w:spacing w:after="0"/>
              <w:rPr>
                <w:sz w:val="20"/>
                <w:szCs w:val="20"/>
                <w:color w:val="auto"/>
              </w:rPr>
            </w:pPr>
            <w:r>
              <w:rPr>
                <w:rFonts w:ascii="Arial" w:cs="Arial" w:eastAsia="Arial" w:hAnsi="Arial"/>
                <w:sz w:val="20"/>
                <w:szCs w:val="20"/>
                <w:color w:val="auto"/>
              </w:rPr>
              <w:t>27.98</w:t>
            </w:r>
          </w:p>
        </w:tc>
        <w:tc>
          <w:tcPr>
            <w:tcW w:w="0" w:type="dxa"/>
            <w:vAlign w:val="bottom"/>
          </w:tcPr>
          <w:p>
            <w:pPr>
              <w:spacing w:after="0"/>
              <w:rPr>
                <w:sz w:val="1"/>
                <w:szCs w:val="1"/>
                <w:color w:val="auto"/>
              </w:rPr>
            </w:pPr>
          </w:p>
        </w:tc>
      </w:tr>
      <w:tr>
        <w:trPr>
          <w:trHeight w:val="25"/>
        </w:trPr>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-2391410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-2065020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-1722120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-1353820</wp:posOffset>
            </wp:positionV>
            <wp:extent cx="7132320" cy="445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-728345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-385445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60" w:space="720"/>
            <w:col w:w="4060"/>
          </w:cols>
          <w:pgMar w:left="320" w:top="1440"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Class B Units</w:t>
      </w:r>
    </w:p>
    <w:p>
      <w:pPr>
        <w:spacing w:after="0" w:line="37"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 xml:space="preserve">The Company accounted for equity grants to employees of Class B Units of Former Parent (the “Units”) as equity-based compensation under ASC 718, </w:t>
      </w:r>
      <w:r>
        <w:rPr>
          <w:rFonts w:ascii="Arial" w:cs="Arial" w:eastAsia="Arial" w:hAnsi="Arial"/>
          <w:sz w:val="20"/>
          <w:szCs w:val="20"/>
          <w:i w:val="1"/>
          <w:iCs w:val="1"/>
          <w:color w:val="auto"/>
        </w:rPr>
        <w:t>Compensation-Stock Compensation</w:t>
      </w:r>
      <w:r>
        <w:rPr>
          <w:rFonts w:ascii="Arial" w:cs="Arial" w:eastAsia="Arial" w:hAnsi="Arial"/>
          <w:sz w:val="20"/>
          <w:szCs w:val="20"/>
          <w:color w:val="auto"/>
        </w:rPr>
        <w:t>. The Units contained vesting provisions as defined in the agreement. Equity-based compensation cost was measured at the grant date fair value and recognized on a straight-line basis over the requisite service period, including those units with graded vesting with a corresponding credit to additional paid-in capital as a capital contribution from Former Parent; however, the amount of equity-based compensation at any date is equal to the portion of the grant date value of the award that is vested.</w:t>
      </w:r>
    </w:p>
    <w:p>
      <w:pPr>
        <w:spacing w:after="0" w:line="235"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The Units issued to employees were measured at fair value on the grant date using an option pricing model. The Company utilizes the estimated weighted average of the Company’s expected fund life dependent on various exit scenarios to estimate the expected term of the awards. Expected volatility is based on the average of historical and implied volatility of a set of comparable companies, adjusted for size and leverage. The risk-free rates are based on the yields of U.S. Treasury instruments with comparable terms. Actual results may vary depending on the assumptions applied within the model.</w:t>
      </w:r>
    </w:p>
    <w:p>
      <w:pPr>
        <w:spacing w:after="0" w:line="236"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color w:val="auto"/>
        </w:rPr>
        <w:t>On March 23, 2021, in connection with the closing of the 2021 Follow-on Offering, all of the outstanding Class B Units of Former Parent were immediately vested per the terms of the equity awards, resulting in the Company accelerating the recognition of expense of $8.9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For the three and nine months ended September 30, 2021, the Company recognized $2.2 million and $14.3 million in equity-</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based compensation, respectively. For the three and nine months ended September 30, 2020, the Company recognized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$0.9 million and $3.3 million in equity-based compensation, respectively. As of September 30, 2021, the Company had $18.4</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million of unrecognized compensation costs which is expected to be recognized over a period of 2.3 years. There were 18,772</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and 79,277 forfeitures during the three and nine months ended September 30, 2021 and no forfeitures during the three and nine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month ended September 30, 2020.</w:t>
      </w:r>
    </w:p>
    <w:p>
      <w:pPr>
        <w:spacing w:after="0" w:line="232"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Leases</w:t>
      </w:r>
    </w:p>
    <w:p>
      <w:pPr>
        <w:spacing w:after="0" w:line="280"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Effective January 1, 2021, the Company adopted ASC 842 Leases using the modified retrospective approach. The Company elected the use of the package of practical expedients permitted under the transition guidance which allows the Company not to reassess whether a contract contains a lease, carry forward the historical lease classification and not reassess initial direct lease costs. The Company also elected to apply the short-term measurement and recognition exemption in which the right-of-use (“ROU”) assets and lease liabilities are not recognized for short-term leases. Adoption of this standard resulted in recording of net operating lease ROU assets and corresponding operating lease liabilities of $13.2 million and $13.5 million, respectively. The standard did not materially affect the condensed consolidated statements of income and had no impact on the condensed consolidated statements of cash flows.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balances as it relates to leases at the end of the period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580" w:type="dxa"/>
            <w:vAlign w:val="bottom"/>
            <w:tcBorders>
              <w:bottom w:val="single" w:sz="8" w:color="CCEEFF"/>
            </w:tcBorders>
          </w:tcPr>
          <w:p>
            <w:pPr>
              <w:spacing w:after="0"/>
              <w:rPr>
                <w:sz w:val="22"/>
                <w:szCs w:val="22"/>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4"/>
              </w:rPr>
              <w:t>(*)</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w w:val="98"/>
              </w:rPr>
              <w:t>September 30, 2021</w:t>
            </w:r>
          </w:p>
        </w:tc>
      </w:tr>
      <w:tr>
        <w:trPr>
          <w:trHeight w:val="261"/>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ROU Asset</w:t>
            </w:r>
          </w:p>
        </w:tc>
        <w:tc>
          <w:tcPr>
            <w:tcW w:w="45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20"/>
                <w:szCs w:val="20"/>
                <w:color w:val="auto"/>
                <w:w w:val="98"/>
              </w:rPr>
              <w:t>Other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9,008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5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Lease liability, current portion</w:t>
            </w:r>
          </w:p>
        </w:tc>
        <w:tc>
          <w:tcPr>
            <w:tcW w:w="4560" w:type="dxa"/>
            <w:vAlign w:val="bottom"/>
            <w:gridSpan w:val="2"/>
            <w:shd w:val="clear" w:color="auto" w:fill="CCEEFF"/>
          </w:tcPr>
          <w:p>
            <w:pPr>
              <w:jc w:val="center"/>
              <w:ind w:right="80"/>
              <w:spacing w:after="0"/>
              <w:rPr>
                <w:sz w:val="20"/>
                <w:szCs w:val="20"/>
                <w:color w:val="auto"/>
              </w:rPr>
            </w:pPr>
            <w:r>
              <w:rPr>
                <w:rFonts w:ascii="Arial" w:cs="Arial" w:eastAsia="Arial" w:hAnsi="Arial"/>
                <w:sz w:val="20"/>
                <w:szCs w:val="20"/>
                <w:color w:val="auto"/>
                <w:w w:val="98"/>
              </w:rPr>
              <w:t>Other 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6,447</w:t>
            </w:r>
          </w:p>
        </w:tc>
      </w:tr>
      <w:tr>
        <w:trPr>
          <w:trHeight w:val="24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Lease liability, long-term portion</w:t>
            </w:r>
          </w:p>
        </w:tc>
        <w:tc>
          <w:tcPr>
            <w:tcW w:w="456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20"/>
                <w:szCs w:val="20"/>
                <w:color w:val="auto"/>
                <w:w w:val="99"/>
              </w:rPr>
              <w:t>Other long-term liabilities</w:t>
            </w:r>
          </w:p>
        </w:tc>
        <w:tc>
          <w:tcPr>
            <w:tcW w:w="1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2,817</w:t>
            </w:r>
          </w:p>
        </w:tc>
      </w:tr>
      <w:tr>
        <w:trPr>
          <w:trHeight w:val="262"/>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lease liability</w:t>
            </w:r>
          </w:p>
        </w:tc>
        <w:tc>
          <w:tcPr>
            <w:tcW w:w="44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9,264</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 Location on the condensed consolidated balance sheet</w:t>
      </w:r>
    </w:p>
    <w:p>
      <w:pPr>
        <w:spacing w:after="0" w:line="256"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The Company determines if an arrangement is a lease at its inception. Operating lease ROU assets and liabilities are recognized at commencement date based on the present value of lease payments over the lease term. Operating lease ROU assets also include any initial direct costs and prepayments less lease incentives. Lease terms may include options to extend or terminate the lease when it is reasonably certain that the Company will exercise such options. As the Company’s leases generally do not provide an implicit rate, the Company uses its collateralized incremental borrowing rate based on the information available at the lease commencement date, including lease term, in determining the present value of lease payments. Lease expense for these leases is recognized on a straight-line basis over the lease term.</w:t>
      </w:r>
    </w:p>
    <w:p>
      <w:pPr>
        <w:spacing w:after="0" w:line="240"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color w:val="auto"/>
        </w:rPr>
        <w:t>Operating lease arrangements are comprised primarily of real estate and equipment agreements for which the right-of-use assets are included in other assets and the corresponding lease liabilities, depending on their maturity, are included in accrued liabilities or other long-term liabilities in the condensed consolidated balance sheets.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The details of the Company’s operating leases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20"/>
          <w:szCs w:val="20"/>
          <w:color w:val="auto"/>
        </w:rPr>
        <w:t>Operating lease expense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Variable lease expense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auto"/>
        </w:rPr>
        <w:t>Short-term lease expense</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20"/>
          <w:szCs w:val="20"/>
          <w:color w:val="auto"/>
        </w:rPr>
        <w:t>Total lease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2500" w:type="dxa"/>
            <w:vAlign w:val="bottom"/>
            <w:gridSpan w:val="3"/>
          </w:tcPr>
          <w:p>
            <w:pPr>
              <w:ind w:left="20"/>
              <w:spacing w:after="0"/>
              <w:rPr>
                <w:sz w:val="20"/>
                <w:szCs w:val="20"/>
                <w:color w:val="auto"/>
              </w:rPr>
            </w:pPr>
            <w:r>
              <w:rPr>
                <w:rFonts w:ascii="Arial" w:cs="Arial" w:eastAsia="Arial" w:hAnsi="Arial"/>
                <w:sz w:val="20"/>
                <w:szCs w:val="20"/>
                <w:b w:val="1"/>
                <w:bCs w:val="1"/>
                <w:color w:val="auto"/>
              </w:rPr>
              <w:t>Three Months Ended</w:t>
            </w:r>
          </w:p>
        </w:tc>
        <w:tc>
          <w:tcPr>
            <w:tcW w:w="2300" w:type="dxa"/>
            <w:vAlign w:val="bottom"/>
            <w:gridSpan w:val="2"/>
          </w:tcPr>
          <w:p>
            <w:pPr>
              <w:ind w:left="20"/>
              <w:spacing w:after="0"/>
              <w:rPr>
                <w:sz w:val="20"/>
                <w:szCs w:val="20"/>
                <w:color w:val="auto"/>
              </w:rPr>
            </w:pPr>
            <w:r>
              <w:rPr>
                <w:rFonts w:ascii="Arial" w:cs="Arial" w:eastAsia="Arial" w:hAnsi="Arial"/>
                <w:sz w:val="20"/>
                <w:szCs w:val="20"/>
                <w:b w:val="1"/>
                <w:bCs w:val="1"/>
                <w:color w:val="auto"/>
              </w:rPr>
              <w:t>Nine Months Ended</w:t>
            </w:r>
          </w:p>
        </w:tc>
      </w:tr>
      <w:tr>
        <w:trPr>
          <w:trHeight w:val="257"/>
        </w:trPr>
        <w:tc>
          <w:tcPr>
            <w:tcW w:w="200" w:type="dxa"/>
            <w:vAlign w:val="bottom"/>
          </w:tcPr>
          <w:p>
            <w:pPr>
              <w:spacing w:after="0"/>
              <w:rPr>
                <w:sz w:val="22"/>
                <w:szCs w:val="22"/>
                <w:color w:val="auto"/>
              </w:rPr>
            </w:pPr>
          </w:p>
        </w:tc>
        <w:tc>
          <w:tcPr>
            <w:tcW w:w="2300" w:type="dxa"/>
            <w:vAlign w:val="bottom"/>
            <w:gridSpan w:val="2"/>
          </w:tcPr>
          <w:p>
            <w:pPr>
              <w:ind w:left="80"/>
              <w:spacing w:after="0"/>
              <w:rPr>
                <w:sz w:val="20"/>
                <w:szCs w:val="20"/>
                <w:color w:val="auto"/>
              </w:rPr>
            </w:pPr>
            <w:r>
              <w:rPr>
                <w:rFonts w:ascii="Arial" w:cs="Arial" w:eastAsia="Arial" w:hAnsi="Arial"/>
                <w:sz w:val="20"/>
                <w:szCs w:val="20"/>
                <w:b w:val="1"/>
                <w:bCs w:val="1"/>
                <w:color w:val="auto"/>
              </w:rPr>
              <w:t>September 30, 2021</w:t>
            </w:r>
          </w:p>
        </w:tc>
        <w:tc>
          <w:tcPr>
            <w:tcW w:w="180" w:type="dxa"/>
            <w:vAlign w:val="bottom"/>
          </w:tcPr>
          <w:p>
            <w:pPr>
              <w:spacing w:after="0"/>
              <w:rPr>
                <w:sz w:val="22"/>
                <w:szCs w:val="22"/>
                <w:color w:val="auto"/>
              </w:rPr>
            </w:pPr>
          </w:p>
        </w:tc>
        <w:tc>
          <w:tcPr>
            <w:tcW w:w="2120" w:type="dxa"/>
            <w:vAlign w:val="bottom"/>
          </w:tcPr>
          <w:p>
            <w:pPr>
              <w:jc w:val="right"/>
              <w:ind w:right="121"/>
              <w:spacing w:after="0"/>
              <w:rPr>
                <w:sz w:val="20"/>
                <w:szCs w:val="20"/>
                <w:color w:val="auto"/>
              </w:rPr>
            </w:pPr>
            <w:r>
              <w:rPr>
                <w:rFonts w:ascii="Arial" w:cs="Arial" w:eastAsia="Arial" w:hAnsi="Arial"/>
                <w:sz w:val="20"/>
                <w:szCs w:val="20"/>
                <w:b w:val="1"/>
                <w:bCs w:val="1"/>
                <w:color w:val="auto"/>
              </w:rPr>
              <w:t>September 30, 2021</w:t>
            </w:r>
          </w:p>
        </w:tc>
      </w:tr>
      <w:tr>
        <w:trPr>
          <w:trHeight w:val="241"/>
        </w:trPr>
        <w:tc>
          <w:tcPr>
            <w:tcW w:w="20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2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1,651</w:t>
            </w:r>
          </w:p>
        </w:tc>
        <w:tc>
          <w:tcPr>
            <w:tcW w:w="8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4,955</w:t>
            </w:r>
          </w:p>
        </w:tc>
      </w:tr>
      <w:tr>
        <w:trPr>
          <w:trHeight w:val="243"/>
        </w:trPr>
        <w:tc>
          <w:tcPr>
            <w:tcW w:w="2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20"/>
                <w:szCs w:val="20"/>
                <w:color w:val="auto"/>
              </w:rPr>
              <w:t>27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39"/>
        </w:trPr>
        <w:tc>
          <w:tcPr>
            <w:tcW w:w="200" w:type="dxa"/>
            <w:vAlign w:val="bottom"/>
          </w:tcPr>
          <w:p>
            <w:pPr>
              <w:spacing w:after="0"/>
              <w:rPr>
                <w:sz w:val="20"/>
                <w:szCs w:val="20"/>
                <w:color w:val="auto"/>
              </w:rPr>
            </w:pPr>
          </w:p>
        </w:tc>
        <w:tc>
          <w:tcPr>
            <w:tcW w:w="23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37"/>
        </w:trPr>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1,678</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5,034</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-4083685</wp:posOffset>
            </wp:positionH>
            <wp:positionV relativeFrom="paragraph">
              <wp:posOffset>-668020</wp:posOffset>
            </wp:positionV>
            <wp:extent cx="71323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-4083685</wp:posOffset>
            </wp:positionH>
            <wp:positionV relativeFrom="paragraph">
              <wp:posOffset>-350520</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720"/>
            <w:col w:w="4800"/>
          </w:cols>
          <w:pgMar w:left="320" w:top="1440" w:right="339" w:bottom="1440" w:gutter="0" w:footer="0" w:header="0"/>
        </w:sectPr>
      </w:pP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140" w:type="dxa"/>
            <w:vAlign w:val="bottom"/>
          </w:tcPr>
          <w:p>
            <w:pPr>
              <w:spacing w:after="0"/>
              <w:rPr>
                <w:sz w:val="20"/>
                <w:szCs w:val="20"/>
                <w:color w:val="auto"/>
              </w:rPr>
            </w:pPr>
            <w:r>
              <w:rPr>
                <w:rFonts w:ascii="Arial" w:cs="Arial" w:eastAsia="Arial" w:hAnsi="Arial"/>
                <w:sz w:val="20"/>
                <w:szCs w:val="20"/>
                <w:color w:val="auto"/>
              </w:rPr>
              <w:t>The following table presents the maturities of lease liabilities as of September 30, 2021 (in thousands):</w:t>
            </w: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66"/>
        </w:trPr>
        <w:tc>
          <w:tcPr>
            <w:tcW w:w="9140" w:type="dxa"/>
            <w:vAlign w:val="bottom"/>
            <w:tcBorders>
              <w:bottom w:val="single" w:sz="8" w:color="CCEEFF"/>
            </w:tcBorders>
          </w:tcPr>
          <w:p>
            <w:pPr>
              <w:jc w:val="center"/>
              <w:spacing w:after="0"/>
              <w:rPr>
                <w:sz w:val="20"/>
                <w:szCs w:val="20"/>
                <w:color w:val="auto"/>
              </w:rPr>
            </w:pPr>
            <w:r>
              <w:rPr>
                <w:rFonts w:ascii="Arial" w:cs="Arial" w:eastAsia="Arial" w:hAnsi="Arial"/>
                <w:sz w:val="20"/>
                <w:szCs w:val="20"/>
                <w:color w:val="auto"/>
                <w:w w:val="98"/>
              </w:rPr>
              <w:t>Fiscal year ending September 30,</w:t>
            </w:r>
          </w:p>
        </w:tc>
        <w:tc>
          <w:tcPr>
            <w:tcW w:w="20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Operating Leases</w:t>
            </w:r>
          </w:p>
        </w:tc>
      </w:tr>
      <w:tr>
        <w:trPr>
          <w:trHeight w:val="237"/>
        </w:trPr>
        <w:tc>
          <w:tcPr>
            <w:tcW w:w="91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2021</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1,868</w:t>
            </w:r>
          </w:p>
        </w:tc>
      </w:tr>
      <w:tr>
        <w:trPr>
          <w:trHeight w:val="243"/>
        </w:trPr>
        <w:tc>
          <w:tcPr>
            <w:tcW w:w="9140" w:type="dxa"/>
            <w:vAlign w:val="bottom"/>
          </w:tcPr>
          <w:p>
            <w:pPr>
              <w:jc w:val="center"/>
              <w:spacing w:after="0"/>
              <w:rPr>
                <w:sz w:val="20"/>
                <w:szCs w:val="20"/>
                <w:color w:val="auto"/>
              </w:rPr>
            </w:pPr>
            <w:r>
              <w:rPr>
                <w:rFonts w:ascii="Arial" w:cs="Arial" w:eastAsia="Arial" w:hAnsi="Arial"/>
                <w:sz w:val="20"/>
                <w:szCs w:val="20"/>
                <w:color w:val="auto"/>
                <w:w w:val="98"/>
              </w:rPr>
              <w:t>2022</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6,071</w:t>
            </w:r>
          </w:p>
        </w:tc>
      </w:tr>
      <w:tr>
        <w:trPr>
          <w:trHeight w:val="243"/>
        </w:trPr>
        <w:tc>
          <w:tcPr>
            <w:tcW w:w="91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2023</w:t>
            </w:r>
          </w:p>
        </w:tc>
        <w:tc>
          <w:tcPr>
            <w:tcW w:w="2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896</w:t>
            </w:r>
          </w:p>
        </w:tc>
      </w:tr>
      <w:tr>
        <w:trPr>
          <w:trHeight w:val="243"/>
        </w:trPr>
        <w:tc>
          <w:tcPr>
            <w:tcW w:w="9140" w:type="dxa"/>
            <w:vAlign w:val="bottom"/>
          </w:tcPr>
          <w:p>
            <w:pPr>
              <w:jc w:val="center"/>
              <w:spacing w:after="0"/>
              <w:rPr>
                <w:sz w:val="20"/>
                <w:szCs w:val="20"/>
                <w:color w:val="auto"/>
              </w:rPr>
            </w:pPr>
            <w:r>
              <w:rPr>
                <w:rFonts w:ascii="Arial" w:cs="Arial" w:eastAsia="Arial" w:hAnsi="Arial"/>
                <w:sz w:val="20"/>
                <w:szCs w:val="20"/>
                <w:color w:val="auto"/>
                <w:w w:val="98"/>
              </w:rPr>
              <w:t>2024</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794</w:t>
            </w:r>
          </w:p>
        </w:tc>
      </w:tr>
      <w:tr>
        <w:trPr>
          <w:trHeight w:val="243"/>
        </w:trPr>
        <w:tc>
          <w:tcPr>
            <w:tcW w:w="91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2025</w:t>
            </w:r>
          </w:p>
        </w:tc>
        <w:tc>
          <w:tcPr>
            <w:tcW w:w="2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w:t>
            </w:r>
          </w:p>
        </w:tc>
      </w:tr>
      <w:tr>
        <w:trPr>
          <w:trHeight w:val="243"/>
        </w:trPr>
        <w:tc>
          <w:tcPr>
            <w:tcW w:w="9140" w:type="dxa"/>
            <w:vAlign w:val="bottom"/>
            <w:tcBorders>
              <w:bottom w:val="single" w:sz="8" w:color="CCEEFF"/>
            </w:tcBorders>
          </w:tcPr>
          <w:p>
            <w:pPr>
              <w:jc w:val="center"/>
              <w:spacing w:after="0"/>
              <w:rPr>
                <w:sz w:val="20"/>
                <w:szCs w:val="20"/>
                <w:color w:val="auto"/>
              </w:rPr>
            </w:pPr>
            <w:r>
              <w:rPr>
                <w:rFonts w:ascii="Arial" w:cs="Arial" w:eastAsia="Arial" w:hAnsi="Arial"/>
                <w:sz w:val="20"/>
                <w:szCs w:val="20"/>
                <w:color w:val="auto"/>
                <w:w w:val="99"/>
              </w:rPr>
              <w:t>Thereafter</w:t>
            </w:r>
          </w:p>
        </w:tc>
        <w:tc>
          <w:tcPr>
            <w:tcW w:w="2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36"/>
        </w:trPr>
        <w:tc>
          <w:tcPr>
            <w:tcW w:w="91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7"/>
              </w:rPr>
              <w:t>Total lease payments</w:t>
            </w:r>
          </w:p>
        </w:tc>
        <w:tc>
          <w:tcPr>
            <w:tcW w:w="20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9,648</w:t>
            </w:r>
          </w:p>
        </w:tc>
      </w:tr>
      <w:tr>
        <w:trPr>
          <w:trHeight w:val="243"/>
        </w:trPr>
        <w:tc>
          <w:tcPr>
            <w:tcW w:w="9140" w:type="dxa"/>
            <w:vAlign w:val="bottom"/>
            <w:tcBorders>
              <w:bottom w:val="single" w:sz="8" w:color="CCEEFF"/>
            </w:tcBorders>
          </w:tcPr>
          <w:p>
            <w:pPr>
              <w:jc w:val="center"/>
              <w:spacing w:after="0"/>
              <w:rPr>
                <w:sz w:val="20"/>
                <w:szCs w:val="20"/>
                <w:color w:val="auto"/>
              </w:rPr>
            </w:pPr>
            <w:r>
              <w:rPr>
                <w:rFonts w:ascii="Arial" w:cs="Arial" w:eastAsia="Arial" w:hAnsi="Arial"/>
                <w:sz w:val="20"/>
                <w:szCs w:val="20"/>
                <w:color w:val="auto"/>
                <w:w w:val="99"/>
              </w:rPr>
              <w:t>Less: Imputed lease interest</w:t>
            </w:r>
          </w:p>
        </w:tc>
        <w:tc>
          <w:tcPr>
            <w:tcW w:w="2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(384)</w:t>
            </w:r>
          </w:p>
        </w:tc>
      </w:tr>
      <w:tr>
        <w:trPr>
          <w:trHeight w:val="262"/>
        </w:trPr>
        <w:tc>
          <w:tcPr>
            <w:tcW w:w="9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8"/>
              </w:rPr>
              <w:t>Total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9,264</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right="400"/>
        <w:spacing w:after="0" w:line="261" w:lineRule="auto"/>
        <w:rPr>
          <w:sz w:val="20"/>
          <w:szCs w:val="20"/>
          <w:color w:val="auto"/>
        </w:rPr>
      </w:pPr>
      <w:r>
        <w:rPr>
          <w:rFonts w:ascii="Arial" w:cs="Arial" w:eastAsia="Arial" w:hAnsi="Arial"/>
          <w:sz w:val="20"/>
          <w:szCs w:val="20"/>
          <w:color w:val="auto"/>
        </w:rPr>
        <w:t>The following table represents future minimum lease obligations under non-cancelable operating leases as of December 31, 2020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140" w:type="dxa"/>
            <w:vAlign w:val="bottom"/>
            <w:tcBorders>
              <w:bottom w:val="single" w:sz="8" w:color="CCEEFF"/>
            </w:tcBorders>
          </w:tcPr>
          <w:p>
            <w:pPr>
              <w:jc w:val="center"/>
              <w:spacing w:after="0"/>
              <w:rPr>
                <w:sz w:val="20"/>
                <w:szCs w:val="20"/>
                <w:color w:val="auto"/>
              </w:rPr>
            </w:pPr>
            <w:r>
              <w:rPr>
                <w:rFonts w:ascii="Arial" w:cs="Arial" w:eastAsia="Arial" w:hAnsi="Arial"/>
                <w:sz w:val="20"/>
                <w:szCs w:val="20"/>
                <w:color w:val="auto"/>
                <w:w w:val="98"/>
              </w:rPr>
              <w:t>Fiscal year ending December 31,</w:t>
            </w: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rPr>
              <w:t>Operating Leases</w:t>
            </w:r>
          </w:p>
        </w:tc>
      </w:tr>
      <w:tr>
        <w:trPr>
          <w:trHeight w:val="237"/>
        </w:trPr>
        <w:tc>
          <w:tcPr>
            <w:tcW w:w="91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2021</w:t>
            </w: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6,663</w:t>
            </w:r>
          </w:p>
        </w:tc>
      </w:tr>
      <w:tr>
        <w:trPr>
          <w:trHeight w:val="243"/>
        </w:trPr>
        <w:tc>
          <w:tcPr>
            <w:tcW w:w="9140" w:type="dxa"/>
            <w:vAlign w:val="bottom"/>
          </w:tcPr>
          <w:p>
            <w:pPr>
              <w:jc w:val="center"/>
              <w:spacing w:after="0"/>
              <w:rPr>
                <w:sz w:val="20"/>
                <w:szCs w:val="20"/>
                <w:color w:val="auto"/>
              </w:rPr>
            </w:pPr>
            <w:r>
              <w:rPr>
                <w:rFonts w:ascii="Arial" w:cs="Arial" w:eastAsia="Arial" w:hAnsi="Arial"/>
                <w:sz w:val="20"/>
                <w:szCs w:val="20"/>
                <w:color w:val="auto"/>
                <w:w w:val="98"/>
              </w:rPr>
              <w:t>2022</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6,073</w:t>
            </w:r>
          </w:p>
        </w:tc>
      </w:tr>
      <w:tr>
        <w:trPr>
          <w:trHeight w:val="243"/>
        </w:trPr>
        <w:tc>
          <w:tcPr>
            <w:tcW w:w="91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2023</w:t>
            </w:r>
          </w:p>
        </w:tc>
        <w:tc>
          <w:tcPr>
            <w:tcW w:w="2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893</w:t>
            </w:r>
          </w:p>
        </w:tc>
      </w:tr>
      <w:tr>
        <w:trPr>
          <w:trHeight w:val="243"/>
        </w:trPr>
        <w:tc>
          <w:tcPr>
            <w:tcW w:w="9140" w:type="dxa"/>
            <w:vAlign w:val="bottom"/>
          </w:tcPr>
          <w:p>
            <w:pPr>
              <w:jc w:val="center"/>
              <w:spacing w:after="0"/>
              <w:rPr>
                <w:sz w:val="20"/>
                <w:szCs w:val="20"/>
                <w:color w:val="auto"/>
              </w:rPr>
            </w:pPr>
            <w:r>
              <w:rPr>
                <w:rFonts w:ascii="Arial" w:cs="Arial" w:eastAsia="Arial" w:hAnsi="Arial"/>
                <w:sz w:val="20"/>
                <w:szCs w:val="20"/>
                <w:color w:val="auto"/>
                <w:w w:val="98"/>
              </w:rPr>
              <w:t>2024</w:t>
            </w:r>
          </w:p>
        </w:tc>
        <w:tc>
          <w:tcPr>
            <w:tcW w:w="2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791</w:t>
            </w:r>
          </w:p>
        </w:tc>
      </w:tr>
      <w:tr>
        <w:trPr>
          <w:trHeight w:val="243"/>
        </w:trPr>
        <w:tc>
          <w:tcPr>
            <w:tcW w:w="91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2025</w:t>
            </w:r>
          </w:p>
        </w:tc>
        <w:tc>
          <w:tcPr>
            <w:tcW w:w="2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w:t>
            </w:r>
          </w:p>
        </w:tc>
      </w:tr>
      <w:tr>
        <w:trPr>
          <w:trHeight w:val="243"/>
        </w:trPr>
        <w:tc>
          <w:tcPr>
            <w:tcW w:w="9140" w:type="dxa"/>
            <w:vAlign w:val="bottom"/>
            <w:tcBorders>
              <w:bottom w:val="single" w:sz="8" w:color="CCEEFF"/>
            </w:tcBorders>
          </w:tcPr>
          <w:p>
            <w:pPr>
              <w:jc w:val="center"/>
              <w:spacing w:after="0"/>
              <w:rPr>
                <w:sz w:val="20"/>
                <w:szCs w:val="20"/>
                <w:color w:val="auto"/>
              </w:rPr>
            </w:pPr>
            <w:r>
              <w:rPr>
                <w:rFonts w:ascii="Arial" w:cs="Arial" w:eastAsia="Arial" w:hAnsi="Arial"/>
                <w:sz w:val="20"/>
                <w:szCs w:val="20"/>
                <w:color w:val="auto"/>
                <w:w w:val="99"/>
              </w:rPr>
              <w:t>Thereafter</w:t>
            </w:r>
          </w:p>
        </w:tc>
        <w:tc>
          <w:tcPr>
            <w:tcW w:w="2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62"/>
        </w:trPr>
        <w:tc>
          <w:tcPr>
            <w:tcW w:w="9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20"/>
                <w:szCs w:val="20"/>
                <w:color w:val="auto"/>
                <w:w w:val="94"/>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14,435</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The Company’s weighted-average remaining lease-term and weighted-average discount rate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20" w:type="dxa"/>
            <w:vAlign w:val="bottom"/>
          </w:tcPr>
          <w:p>
            <w:pPr>
              <w:spacing w:after="0"/>
              <w:rPr>
                <w:sz w:val="21"/>
                <w:szCs w:val="21"/>
                <w:color w:val="auto"/>
              </w:rPr>
            </w:pPr>
          </w:p>
        </w:tc>
        <w:tc>
          <w:tcPr>
            <w:tcW w:w="2700" w:type="dxa"/>
            <w:vAlign w:val="bottom"/>
            <w:gridSpan w:val="2"/>
          </w:tcPr>
          <w:p>
            <w:pPr>
              <w:ind w:left="340"/>
              <w:spacing w:after="0"/>
              <w:rPr>
                <w:sz w:val="20"/>
                <w:szCs w:val="20"/>
                <w:color w:val="auto"/>
              </w:rPr>
            </w:pPr>
            <w:r>
              <w:rPr>
                <w:rFonts w:ascii="Arial" w:cs="Arial" w:eastAsia="Arial" w:hAnsi="Arial"/>
                <w:sz w:val="20"/>
                <w:szCs w:val="20"/>
                <w:b w:val="1"/>
                <w:bCs w:val="1"/>
                <w:color w:val="auto"/>
              </w:rPr>
              <w:t>Three Months Ended</w:t>
            </w:r>
          </w:p>
        </w:tc>
        <w:tc>
          <w:tcPr>
            <w:tcW w:w="2620" w:type="dxa"/>
            <w:vAlign w:val="bottom"/>
          </w:tcPr>
          <w:p>
            <w:pPr>
              <w:jc w:val="right"/>
              <w:ind w:right="281"/>
              <w:spacing w:after="0"/>
              <w:rPr>
                <w:sz w:val="20"/>
                <w:szCs w:val="20"/>
                <w:color w:val="auto"/>
              </w:rPr>
            </w:pPr>
            <w:r>
              <w:rPr>
                <w:rFonts w:ascii="Arial" w:cs="Arial" w:eastAsia="Arial" w:hAnsi="Arial"/>
                <w:sz w:val="20"/>
                <w:szCs w:val="20"/>
                <w:b w:val="1"/>
                <w:bCs w:val="1"/>
                <w:color w:val="auto"/>
              </w:rPr>
              <w:t>Nine Months Ended</w:t>
            </w:r>
          </w:p>
        </w:tc>
      </w:tr>
      <w:tr>
        <w:trPr>
          <w:trHeight w:val="257"/>
        </w:trPr>
        <w:tc>
          <w:tcPr>
            <w:tcW w:w="5920" w:type="dxa"/>
            <w:vAlign w:val="bottom"/>
            <w:tcBorders>
              <w:bottom w:val="single" w:sz="8" w:color="CCEEFF"/>
            </w:tcBorders>
          </w:tcPr>
          <w:p>
            <w:pPr>
              <w:spacing w:after="0"/>
              <w:rPr>
                <w:sz w:val="22"/>
                <w:szCs w:val="22"/>
                <w:color w:val="auto"/>
              </w:rPr>
            </w:pPr>
          </w:p>
        </w:tc>
        <w:tc>
          <w:tcPr>
            <w:tcW w:w="26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September 30, 2021</w:t>
            </w:r>
          </w:p>
        </w:tc>
        <w:tc>
          <w:tcPr>
            <w:tcW w:w="80" w:type="dxa"/>
            <w:vAlign w:val="bottom"/>
            <w:tcBorders>
              <w:bottom w:val="single" w:sz="8" w:color="CCEEFF"/>
            </w:tcBorders>
          </w:tcPr>
          <w:p>
            <w:pPr>
              <w:spacing w:after="0"/>
              <w:rPr>
                <w:sz w:val="22"/>
                <w:szCs w:val="22"/>
                <w:color w:val="auto"/>
              </w:rPr>
            </w:pPr>
          </w:p>
        </w:tc>
        <w:tc>
          <w:tcPr>
            <w:tcW w:w="262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September 30, 2021</w:t>
            </w:r>
          </w:p>
        </w:tc>
      </w:tr>
      <w:tr>
        <w:trPr>
          <w:trHeight w:val="236"/>
        </w:trPr>
        <w:tc>
          <w:tcPr>
            <w:tcW w:w="5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Weighted average remaining lease-term</w:t>
            </w:r>
          </w:p>
        </w:tc>
        <w:tc>
          <w:tcPr>
            <w:tcW w:w="27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1.7 years</w:t>
            </w:r>
          </w:p>
        </w:tc>
        <w:tc>
          <w:tcPr>
            <w:tcW w:w="2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 years</w:t>
            </w:r>
          </w:p>
        </w:tc>
      </w:tr>
      <w:tr>
        <w:trPr>
          <w:trHeight w:val="247"/>
        </w:trPr>
        <w:tc>
          <w:tcPr>
            <w:tcW w:w="5920" w:type="dxa"/>
            <w:vAlign w:val="bottom"/>
          </w:tcPr>
          <w:p>
            <w:pPr>
              <w:ind w:left="20"/>
              <w:spacing w:after="0"/>
              <w:rPr>
                <w:sz w:val="20"/>
                <w:szCs w:val="20"/>
                <w:color w:val="auto"/>
              </w:rPr>
            </w:pPr>
            <w:r>
              <w:rPr>
                <w:rFonts w:ascii="Arial" w:cs="Arial" w:eastAsia="Arial" w:hAnsi="Arial"/>
                <w:sz w:val="20"/>
                <w:szCs w:val="20"/>
                <w:color w:val="auto"/>
              </w:rPr>
              <w:t>Weighted average discount rate</w:t>
            </w:r>
          </w:p>
        </w:tc>
        <w:tc>
          <w:tcPr>
            <w:tcW w:w="2620" w:type="dxa"/>
            <w:vAlign w:val="bottom"/>
          </w:tcPr>
          <w:p>
            <w:pPr>
              <w:jc w:val="right"/>
              <w:spacing w:after="0"/>
              <w:rPr>
                <w:sz w:val="20"/>
                <w:szCs w:val="20"/>
                <w:color w:val="auto"/>
              </w:rPr>
            </w:pPr>
            <w:r>
              <w:rPr>
                <w:rFonts w:ascii="Arial" w:cs="Arial" w:eastAsia="Arial" w:hAnsi="Arial"/>
                <w:sz w:val="20"/>
                <w:szCs w:val="20"/>
                <w:color w:val="auto"/>
              </w:rPr>
              <w:t>5 %</w:t>
            </w:r>
          </w:p>
        </w:tc>
        <w:tc>
          <w:tcPr>
            <w:tcW w:w="80" w:type="dxa"/>
            <w:vAlign w:val="bottom"/>
          </w:tcPr>
          <w:p>
            <w:pPr>
              <w:spacing w:after="0"/>
              <w:rPr>
                <w:sz w:val="21"/>
                <w:szCs w:val="21"/>
                <w:color w:val="auto"/>
              </w:rPr>
            </w:pPr>
          </w:p>
        </w:tc>
        <w:tc>
          <w:tcPr>
            <w:tcW w:w="2620" w:type="dxa"/>
            <w:vAlign w:val="bottom"/>
          </w:tcPr>
          <w:p>
            <w:pPr>
              <w:jc w:val="right"/>
              <w:spacing w:after="0"/>
              <w:rPr>
                <w:sz w:val="20"/>
                <w:szCs w:val="20"/>
                <w:color w:val="auto"/>
              </w:rPr>
            </w:pPr>
            <w:r>
              <w:rPr>
                <w:rFonts w:ascii="Arial" w:cs="Arial" w:eastAsia="Arial" w:hAnsi="Arial"/>
                <w:sz w:val="20"/>
                <w:szCs w:val="20"/>
                <w:color w:val="auto"/>
              </w:rPr>
              <w:t>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Supplemental cash flow and other information related to operating leases are as follows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40" w:type="dxa"/>
            <w:vAlign w:val="bottom"/>
            <w:gridSpan w:val="3"/>
          </w:tcPr>
          <w:p>
            <w:pPr>
              <w:jc w:val="center"/>
              <w:ind w:right="260"/>
              <w:spacing w:after="0"/>
              <w:rPr>
                <w:sz w:val="20"/>
                <w:szCs w:val="20"/>
                <w:color w:val="auto"/>
              </w:rPr>
            </w:pPr>
            <w:r>
              <w:rPr>
                <w:rFonts w:ascii="Arial" w:cs="Arial" w:eastAsia="Arial" w:hAnsi="Arial"/>
                <w:sz w:val="20"/>
                <w:szCs w:val="20"/>
                <w:b w:val="1"/>
                <w:bCs w:val="1"/>
                <w:color w:val="auto"/>
                <w:w w:val="99"/>
              </w:rPr>
              <w:t>Three Months Ended</w:t>
            </w:r>
          </w:p>
        </w:tc>
        <w:tc>
          <w:tcPr>
            <w:tcW w:w="220" w:type="dxa"/>
            <w:vAlign w:val="bottom"/>
          </w:tcPr>
          <w:p>
            <w:pPr>
              <w:spacing w:after="0"/>
              <w:rPr>
                <w:sz w:val="21"/>
                <w:szCs w:val="21"/>
                <w:color w:val="auto"/>
              </w:rPr>
            </w:pPr>
          </w:p>
        </w:tc>
        <w:tc>
          <w:tcPr>
            <w:tcW w:w="2260" w:type="dxa"/>
            <w:vAlign w:val="bottom"/>
          </w:tcPr>
          <w:p>
            <w:pPr>
              <w:jc w:val="right"/>
              <w:ind w:right="221"/>
              <w:spacing w:after="0"/>
              <w:rPr>
                <w:sz w:val="20"/>
                <w:szCs w:val="20"/>
                <w:color w:val="auto"/>
              </w:rPr>
            </w:pPr>
            <w:r>
              <w:rPr>
                <w:rFonts w:ascii="Arial" w:cs="Arial" w:eastAsia="Arial" w:hAnsi="Arial"/>
                <w:sz w:val="20"/>
                <w:szCs w:val="20"/>
                <w:b w:val="1"/>
                <w:bCs w:val="1"/>
                <w:color w:val="auto"/>
              </w:rPr>
              <w:t>Nine Months Ended</w:t>
            </w:r>
          </w:p>
        </w:tc>
      </w:tr>
      <w:tr>
        <w:trPr>
          <w:trHeight w:val="257"/>
        </w:trPr>
        <w:tc>
          <w:tcPr>
            <w:tcW w:w="6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340" w:type="dxa"/>
            <w:vAlign w:val="bottom"/>
            <w:gridSpan w:val="3"/>
          </w:tcPr>
          <w:p>
            <w:pPr>
              <w:jc w:val="center"/>
              <w:ind w:right="260"/>
              <w:spacing w:after="0"/>
              <w:rPr>
                <w:sz w:val="20"/>
                <w:szCs w:val="20"/>
                <w:color w:val="auto"/>
              </w:rPr>
            </w:pPr>
            <w:r>
              <w:rPr>
                <w:rFonts w:ascii="Arial" w:cs="Arial" w:eastAsia="Arial" w:hAnsi="Arial"/>
                <w:sz w:val="20"/>
                <w:szCs w:val="20"/>
                <w:b w:val="1"/>
                <w:bCs w:val="1"/>
                <w:color w:val="auto"/>
                <w:w w:val="98"/>
              </w:rPr>
              <w:t>September 30, 2021</w:t>
            </w:r>
          </w:p>
        </w:tc>
        <w:tc>
          <w:tcPr>
            <w:tcW w:w="220" w:type="dxa"/>
            <w:vAlign w:val="bottom"/>
          </w:tcPr>
          <w:p>
            <w:pPr>
              <w:spacing w:after="0"/>
              <w:rPr>
                <w:sz w:val="22"/>
                <w:szCs w:val="22"/>
                <w:color w:val="auto"/>
              </w:rPr>
            </w:pPr>
          </w:p>
        </w:tc>
        <w:tc>
          <w:tcPr>
            <w:tcW w:w="2260" w:type="dxa"/>
            <w:vAlign w:val="bottom"/>
          </w:tcPr>
          <w:p>
            <w:pPr>
              <w:jc w:val="right"/>
              <w:ind w:right="221"/>
              <w:spacing w:after="0"/>
              <w:rPr>
                <w:sz w:val="20"/>
                <w:szCs w:val="20"/>
                <w:color w:val="auto"/>
              </w:rPr>
            </w:pPr>
            <w:r>
              <w:rPr>
                <w:rFonts w:ascii="Arial" w:cs="Arial" w:eastAsia="Arial" w:hAnsi="Arial"/>
                <w:sz w:val="20"/>
                <w:szCs w:val="20"/>
                <w:b w:val="1"/>
                <w:bCs w:val="1"/>
                <w:color w:val="auto"/>
              </w:rPr>
              <w:t>September 30, 2021</w:t>
            </w:r>
          </w:p>
        </w:tc>
      </w:tr>
      <w:tr>
        <w:trPr>
          <w:trHeight w:val="237"/>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Operating cash flows from operating leases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rPr>
              <w:t>1,465</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4,794</w:t>
            </w:r>
          </w:p>
        </w:tc>
      </w:tr>
      <w:tr>
        <w:trPr>
          <w:trHeight w:val="364"/>
        </w:trPr>
        <w:tc>
          <w:tcPr>
            <w:tcW w:w="62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140" w:type="dxa"/>
            <w:vAlign w:val="bottom"/>
            <w:tcBorders>
              <w:bottom w:val="single" w:sz="8" w:color="CCEEFF"/>
            </w:tcBorders>
          </w:tcPr>
          <w:p>
            <w:pPr>
              <w:spacing w:after="0"/>
              <w:rPr>
                <w:sz w:val="24"/>
                <w:szCs w:val="24"/>
                <w:color w:val="auto"/>
              </w:rPr>
            </w:pPr>
          </w:p>
        </w:tc>
        <w:tc>
          <w:tcPr>
            <w:tcW w:w="2680" w:type="dxa"/>
            <w:vAlign w:val="bottom"/>
            <w:tcBorders>
              <w:bottom w:val="single" w:sz="8" w:color="auto"/>
            </w:tcBorders>
            <w:gridSpan w:val="4"/>
          </w:tcPr>
          <w:p>
            <w:pPr>
              <w:ind w:left="20"/>
              <w:spacing w:after="0"/>
              <w:rPr>
                <w:sz w:val="20"/>
                <w:szCs w:val="20"/>
                <w:color w:val="auto"/>
              </w:rPr>
            </w:pPr>
            <w:r>
              <w:rPr>
                <w:rFonts w:ascii="Arial" w:cs="Arial" w:eastAsia="Arial" w:hAnsi="Arial"/>
                <w:sz w:val="20"/>
                <w:szCs w:val="20"/>
                <w:b w:val="1"/>
                <w:bCs w:val="1"/>
                <w:color w:val="auto"/>
              </w:rPr>
              <w:t>As of January 1, 2021</w:t>
            </w:r>
          </w:p>
        </w:tc>
      </w:tr>
      <w:tr>
        <w:trPr>
          <w:trHeight w:val="223"/>
        </w:trPr>
        <w:tc>
          <w:tcPr>
            <w:tcW w:w="624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color w:val="auto"/>
              </w:rPr>
              <w:t>Non cash investing activities:</w:t>
            </w:r>
          </w:p>
        </w:tc>
        <w:tc>
          <w:tcPr>
            <w:tcW w:w="18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47"/>
        </w:trPr>
        <w:tc>
          <w:tcPr>
            <w:tcW w:w="6240" w:type="dxa"/>
            <w:vAlign w:val="bottom"/>
          </w:tcPr>
          <w:p>
            <w:pPr>
              <w:ind w:left="20"/>
              <w:spacing w:after="0"/>
              <w:rPr>
                <w:sz w:val="20"/>
                <w:szCs w:val="20"/>
                <w:color w:val="auto"/>
              </w:rPr>
            </w:pPr>
            <w:r>
              <w:rPr>
                <w:rFonts w:ascii="Arial" w:cs="Arial" w:eastAsia="Arial" w:hAnsi="Arial"/>
                <w:sz w:val="20"/>
                <w:szCs w:val="20"/>
                <w:color w:val="auto"/>
              </w:rPr>
              <w:t>Lease liabilities arising from obtaining right-of-use assets</w:t>
            </w:r>
          </w:p>
        </w:tc>
        <w:tc>
          <w:tcPr>
            <w:tcW w:w="180" w:type="dxa"/>
            <w:vAlign w:val="bottom"/>
          </w:tcPr>
          <w:p>
            <w:pPr>
              <w:spacing w:after="0"/>
              <w:rPr>
                <w:sz w:val="21"/>
                <w:szCs w:val="21"/>
                <w:color w:val="auto"/>
              </w:rPr>
            </w:pPr>
          </w:p>
        </w:tc>
        <w:tc>
          <w:tcPr>
            <w:tcW w:w="2340" w:type="dxa"/>
            <w:vAlign w:val="bottom"/>
            <w:gridSpan w:val="3"/>
          </w:tcPr>
          <w:p>
            <w:pPr>
              <w:ind w:left="2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20"/>
                <w:szCs w:val="20"/>
                <w:color w:val="auto"/>
              </w:rPr>
              <w:t>13,464</w:t>
            </w:r>
          </w:p>
        </w:tc>
      </w:tr>
    </w:tbl>
    <w:p>
      <w:pPr>
        <w:spacing w:after="0" w:line="200" w:lineRule="exact"/>
        <w:rPr>
          <w:sz w:val="20"/>
          <w:szCs w:val="20"/>
          <w:color w:val="auto"/>
        </w:rPr>
      </w:pPr>
    </w:p>
    <w:p>
      <w:pPr>
        <w:spacing w:after="0" w:line="34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9"/>
          <w:szCs w:val="19"/>
          <w:b w:val="1"/>
          <w:bCs w:val="1"/>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Accounts Payable-Related Party</w:t>
      </w:r>
    </w:p>
    <w:p>
      <w:pPr>
        <w:spacing w:after="0" w:line="37"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The Company had $0.6 million and $2.2 million as of September 30, 2021 and December 31, 2020, respectively, of accounts payable-related party with the former shareholders of Array. The payables relate to a federal tax refund related to the pre-Acquisition periods, restricted cash at Acquisition Date which were due to the sellers of Array upon release of the restriction offset by a receivable related to a sales/use tax audit from the pre-Acquisition period for which the seller provided the Company with indemnification.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Related Party Loan - see Note 10</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Contingent Consideration - see Note 13</w:t>
      </w:r>
    </w:p>
    <w:p>
      <w:pPr>
        <w:spacing w:after="0" w:line="251"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Subsequent Events</w:t>
      </w:r>
    </w:p>
    <w:p>
      <w:pPr>
        <w:spacing w:after="0" w:line="262"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On November 11, 2021, the Company entered into a definitive agreement with Amixa Capital, S.L. and Aurica Trackers, S.L. to acquire 100% of the share capital of Soluciones Técnicas Integrales Norland, S.L. and its subsidiaries (collectively, “STI”), for a purchase price of € 579.0 million ($662.7 million at current exchange rates), €228.0 million ($264.0 million at current exchange rates), of which will be paid at closing in common stock of the Company with the remaining €351.0 million in cash ($ 401.7 million at current exchange rates) to be paid in cash. The purchase price will be increased by the amount that is four times the audited Earnings Before Interest, Taxes, Depreciation and Amortization (“EBITDA”) of the target less €47.0 million ($53.5 million at current exchange rates), such that the amount of contingent consideration is subject to a cap of €55.0 million ($63.0 million at current exchange rates).</w:t>
      </w:r>
    </w:p>
    <w:p>
      <w:pPr>
        <w:spacing w:after="0" w:line="237" w:lineRule="exact"/>
        <w:rPr>
          <w:sz w:val="20"/>
          <w:szCs w:val="20"/>
          <w:color w:val="auto"/>
        </w:rPr>
      </w:pPr>
    </w:p>
    <w:p>
      <w:pPr>
        <w:ind w:right="1000"/>
        <w:spacing w:after="0" w:line="261" w:lineRule="auto"/>
        <w:rPr>
          <w:sz w:val="20"/>
          <w:szCs w:val="20"/>
          <w:color w:val="auto"/>
        </w:rPr>
      </w:pPr>
      <w:r>
        <w:rPr>
          <w:rFonts w:ascii="Arial" w:cs="Arial" w:eastAsia="Arial" w:hAnsi="Arial"/>
          <w:sz w:val="20"/>
          <w:szCs w:val="20"/>
          <w:color w:val="auto"/>
        </w:rPr>
        <w:t>The transaction is expected to close in the first quarter of 2022, following receipt of required regulatory approvals and satisfaction of other customary closing conditions.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Bridge Loan Commitment</w:t>
      </w:r>
    </w:p>
    <w:p>
      <w:pPr>
        <w:spacing w:after="0" w:line="37"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In connection with the entry into the Purchase Agreement, the Company entered into a debt commitment letter dated November 11, 2021 pursuant to which third party financial institutions have committed, subject to the satisfaction of standard conditions, to provide the Company with a bridge loan facility in aggregate principal amount of up to $300 million. The Company currently intends to finance the transaction and related fees and expenses with cash on hand, borrowings under its senior credit facilities and through one or more debt capital markets transactions, subject to market conditions and other factors, and, only to the extent necessary, borrowings under the bridge loan facility.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ind w:right="2080"/>
        <w:spacing w:after="0" w:line="536" w:lineRule="auto"/>
        <w:rPr>
          <w:sz w:val="20"/>
          <w:szCs w:val="20"/>
          <w:color w:val="auto"/>
        </w:rPr>
      </w:pPr>
      <w:r>
        <w:rPr>
          <w:rFonts w:ascii="Arial" w:cs="Arial" w:eastAsia="Arial" w:hAnsi="Arial"/>
          <w:sz w:val="19"/>
          <w:szCs w:val="19"/>
          <w:b w:val="1"/>
          <w:bCs w:val="1"/>
          <w:color w:val="auto"/>
        </w:rPr>
        <w:t>Item 2. Management’s Discussion and Analysis of Financial Condition and Results of Operations. Management’s Discussion and Analysis of Financial Condition and Results of Operations</w:t>
      </w:r>
    </w:p>
    <w:p>
      <w:pPr>
        <w:spacing w:after="0" w:line="270" w:lineRule="auto"/>
        <w:rPr>
          <w:sz w:val="20"/>
          <w:szCs w:val="20"/>
          <w:color w:val="auto"/>
        </w:rPr>
      </w:pPr>
      <w:r>
        <w:rPr>
          <w:rFonts w:ascii="Arial" w:cs="Arial" w:eastAsia="Arial" w:hAnsi="Arial"/>
          <w:sz w:val="19"/>
          <w:szCs w:val="19"/>
          <w:i w:val="1"/>
          <w:iCs w:val="1"/>
          <w:color w:val="auto"/>
        </w:rPr>
        <w:t>This Management’s Discussion and Analysis of Financial Condition and Results of Operations should be read in conjunction with our unaudited condensed financial statements and the related notes and other financial information included in this Quarterly Report on Form 10-Q and our audited financial statements and notes thereto as of and for the years ended December 31, 2020, 2019 and 2018 and the related Management’s Discussion and Analysis of Financial Condition and Results of Operations, including Critical Accounting Policies and Significant Judgements and Estimates, included in our Annual Report on Form 10-K for the fiscal year ended December 31, 2020 filed with the Securities and Exchange Commission, (the “SEC”), on March 10, 2021. Each of the terms the “Company,” “Array,” “we,” or “us” as used herein refers collectively to Array Technologies, Inc. and its wholly owned subsidiaries, unless otherwise stated.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captioned “Forward-Looking Statements” and “Risk Factors” in this Quarterly Report on Form 10-Q and our Annual Report on Form 10-K for the fiscal year ended December 31, 2020.</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80"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or similar expressions and the negatives of those terms.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Important factors that could cause actual results to differ materially from our expectations include:</w:t>
      </w:r>
    </w:p>
    <w:p>
      <w:pPr>
        <w:spacing w:after="0" w:line="270" w:lineRule="exact"/>
        <w:rPr>
          <w:sz w:val="20"/>
          <w:szCs w:val="20"/>
          <w:color w:val="auto"/>
        </w:rPr>
      </w:pPr>
    </w:p>
    <w:p>
      <w:pPr>
        <w:ind w:left="1220" w:right="540" w:hanging="321"/>
        <w:spacing w:after="0" w:line="231" w:lineRule="auto"/>
        <w:tabs>
          <w:tab w:leader="none" w:pos="1215" w:val="left"/>
        </w:tabs>
        <w:numPr>
          <w:ilvl w:val="0"/>
          <w:numId w:val="19"/>
        </w:numPr>
        <w:rPr>
          <w:rFonts w:ascii="Arial" w:cs="Arial" w:eastAsia="Arial" w:hAnsi="Arial"/>
          <w:sz w:val="22"/>
          <w:szCs w:val="22"/>
          <w:color w:val="auto"/>
        </w:rPr>
      </w:pPr>
      <w:r>
        <w:rPr>
          <w:rFonts w:ascii="Arial" w:cs="Arial" w:eastAsia="Arial" w:hAnsi="Arial"/>
          <w:sz w:val="20"/>
          <w:szCs w:val="20"/>
          <w:color w:val="auto"/>
        </w:rPr>
        <w:t>the impacts on our business due to component shortages, disruptions in transportation or other supply chain related constraints including as a result of the COVID-19 pandemic;</w:t>
      </w:r>
    </w:p>
    <w:p>
      <w:pPr>
        <w:sectPr>
          <w:pgSz w:w="11900" w:h="16838" w:orient="portrait"/>
          <w:cols w:equalWidth="0" w:num="1">
            <w:col w:w="11220"/>
          </w:cols>
          <w:pgMar w:left="320" w:top="1097" w:right="359" w:bottom="1440" w:gutter="0" w:footer="0" w:header="0"/>
        </w:sectPr>
      </w:pPr>
    </w:p>
    <w:p>
      <w:pPr>
        <w:spacing w:after="0" w:line="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9020" w:val="left"/>
        </w:tabs>
        <w:rPr>
          <w:sz w:val="20"/>
          <w:szCs w:val="20"/>
          <w:color w:val="auto"/>
        </w:rPr>
      </w:pPr>
      <w:r>
        <w:rPr>
          <w:rFonts w:ascii="Arial" w:cs="Arial" w:eastAsia="Arial" w:hAnsi="Arial"/>
          <w:sz w:val="20"/>
          <w:szCs w:val="20"/>
          <w:color w:val="auto"/>
        </w:rPr>
        <w:t>if demand for solar energy projects does not continue to grow or grows at a slower rate than we</w:t>
      </w:r>
      <w:r>
        <w:rPr>
          <w:sz w:val="20"/>
          <w:szCs w:val="20"/>
          <w:color w:val="auto"/>
        </w:rPr>
        <w:tab/>
      </w:r>
      <w:r>
        <w:rPr>
          <w:rFonts w:ascii="Arial" w:cs="Arial" w:eastAsia="Arial" w:hAnsi="Arial"/>
          <w:sz w:val="19"/>
          <w:szCs w:val="19"/>
          <w:color w:val="auto"/>
        </w:rPr>
        <w:t>anticipate,</w:t>
      </w:r>
    </w:p>
    <w:p>
      <w:pPr>
        <w:spacing w:after="0"/>
        <w:rPr>
          <w:sz w:val="20"/>
          <w:szCs w:val="20"/>
          <w:color w:val="auto"/>
        </w:rPr>
      </w:pPr>
      <w:r>
        <w:rPr>
          <w:rFonts w:ascii="Arial" w:cs="Arial" w:eastAsia="Arial" w:hAnsi="Arial"/>
          <w:sz w:val="20"/>
          <w:szCs w:val="20"/>
          <w:color w:val="auto"/>
        </w:rPr>
        <w:t>our business will suffer;</w:t>
      </w:r>
    </w:p>
    <w:p>
      <w:pPr>
        <w:spacing w:after="0" w:line="7" w:lineRule="exact"/>
        <w:rPr>
          <w:sz w:val="20"/>
          <w:szCs w:val="20"/>
          <w:color w:val="auto"/>
        </w:rPr>
      </w:pPr>
    </w:p>
    <w:p>
      <w:pPr>
        <w:sectPr>
          <w:pgSz w:w="11900" w:h="16838" w:orient="portrait"/>
          <w:cols w:equalWidth="0" w:num="2">
            <w:col w:w="960" w:space="260"/>
            <w:col w:w="10000"/>
          </w:cols>
          <w:pgMar w:left="320" w:top="1097" w:right="359" w:bottom="1440" w:gutter="0" w:footer="0" w:header="0"/>
          <w:type w:val="continuous"/>
        </w:sectPr>
      </w:pPr>
    </w:p>
    <w:p>
      <w:pPr>
        <w:ind w:left="1220" w:right="480" w:hanging="321"/>
        <w:spacing w:after="0" w:line="235" w:lineRule="auto"/>
        <w:tabs>
          <w:tab w:leader="none" w:pos="1208"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viability and demand for solar energy are impacted by many factors outside of our control, which makes it difficult to predict our future prospects;</w:t>
      </w:r>
    </w:p>
    <w:p>
      <w:pPr>
        <w:spacing w:after="0" w:line="1" w:lineRule="exact"/>
        <w:rPr>
          <w:rFonts w:ascii="Arial" w:cs="Arial" w:eastAsia="Arial" w:hAnsi="Arial"/>
          <w:sz w:val="20"/>
          <w:szCs w:val="20"/>
          <w:color w:val="auto"/>
        </w:rPr>
      </w:pPr>
    </w:p>
    <w:p>
      <w:pPr>
        <w:ind w:left="1220" w:right="80" w:hanging="321"/>
        <w:spacing w:after="0" w:line="239" w:lineRule="auto"/>
        <w:tabs>
          <w:tab w:leader="none" w:pos="1208"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loss of one or more of our significant customers, their inability to perform under their contracts, or their default in payment, could harm our business and negatively impact revenue, results of operations and cash flow;</w:t>
      </w:r>
    </w:p>
    <w:p>
      <w:pPr>
        <w:ind w:left="1220" w:right="620" w:hanging="321"/>
        <w:spacing w:after="0" w:line="246" w:lineRule="auto"/>
        <w:tabs>
          <w:tab w:leader="none" w:pos="1208"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drop in the price of electricity derived from the utility grid or from alternative energy sources may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31" w:name="page32"/>
    <w:bookmarkEnd w:id="31"/>
    <w:p>
      <w:pPr>
        <w:jc w:val="both"/>
        <w:ind w:left="1220" w:right="580" w:hanging="321"/>
        <w:spacing w:after="0" w:line="239" w:lineRule="auto"/>
        <w:tabs>
          <w:tab w:leader="none" w:pos="1208" w:val="left"/>
        </w:tabs>
        <w:numPr>
          <w:ilvl w:val="0"/>
          <w:numId w:val="21"/>
        </w:numPr>
        <w:rPr>
          <w:rFonts w:ascii="Arial" w:cs="Arial" w:eastAsia="Arial" w:hAnsi="Arial"/>
          <w:sz w:val="20"/>
          <w:szCs w:val="20"/>
          <w:color w:val="auto"/>
        </w:rPr>
      </w:pPr>
      <w:r>
        <w:rPr>
          <w:rFonts w:ascii="Arial" w:cs="Arial" w:eastAsia="Arial" w:hAnsi="Arial"/>
          <w:sz w:val="20"/>
          <w:szCs w:val="20"/>
          <w:color w:val="auto"/>
        </w:rPr>
        <w:t>an increase in interest rates, or a reduction in the availability of tax equity or project debt capital in the global financial markets could make it difficult for customers to finance the cost of a solar energy system and could reduce the demand for our products;</w:t>
      </w:r>
    </w:p>
    <w:p>
      <w:pPr>
        <w:spacing w:after="0" w:line="1" w:lineRule="exact"/>
        <w:rPr>
          <w:rFonts w:ascii="Arial" w:cs="Arial" w:eastAsia="Arial" w:hAnsi="Arial"/>
          <w:sz w:val="20"/>
          <w:szCs w:val="20"/>
          <w:color w:val="auto"/>
        </w:rPr>
      </w:pPr>
    </w:p>
    <w:p>
      <w:pPr>
        <w:ind w:left="1220" w:right="20" w:hanging="321"/>
        <w:spacing w:after="0" w:line="239" w:lineRule="auto"/>
        <w:tabs>
          <w:tab w:leader="none" w:pos="1208" w:val="left"/>
        </w:tabs>
        <w:numPr>
          <w:ilvl w:val="0"/>
          <w:numId w:val="21"/>
        </w:numPr>
        <w:rPr>
          <w:rFonts w:ascii="Arial" w:cs="Arial" w:eastAsia="Arial" w:hAnsi="Arial"/>
          <w:sz w:val="20"/>
          <w:szCs w:val="20"/>
          <w:color w:val="auto"/>
        </w:rPr>
      </w:pPr>
      <w:r>
        <w:rPr>
          <w:rFonts w:ascii="Arial" w:cs="Arial" w:eastAsia="Arial" w:hAnsi="Arial"/>
          <w:sz w:val="20"/>
          <w:szCs w:val="20"/>
          <w:color w:val="auto"/>
        </w:rPr>
        <w:t>existing electric utility industry policies and regulations, and any subsequent changes, may present technical, regulatory and economic barriers to the purchase and use of solar energy systems, which may significantly reduce demand for our products or harm our ability to compete;</w:t>
      </w:r>
    </w:p>
    <w:p>
      <w:pPr>
        <w:spacing w:after="0" w:line="1" w:lineRule="exact"/>
        <w:rPr>
          <w:rFonts w:ascii="Arial" w:cs="Arial" w:eastAsia="Arial" w:hAnsi="Arial"/>
          <w:sz w:val="20"/>
          <w:szCs w:val="20"/>
          <w:color w:val="auto"/>
        </w:rPr>
      </w:pPr>
    </w:p>
    <w:p>
      <w:pPr>
        <w:ind w:left="1220" w:right="340" w:hanging="321"/>
        <w:spacing w:after="0" w:line="239" w:lineRule="auto"/>
        <w:tabs>
          <w:tab w:leader="none" w:pos="1208"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interruption of the flow of materials from international vendors could disrupt our supply chain, including as a result of the imposition of additional duties, tariffs and other charges on imports and exports;</w:t>
      </w:r>
    </w:p>
    <w:p>
      <w:pPr>
        <w:ind w:left="1220" w:right="60" w:hanging="321"/>
        <w:spacing w:after="0" w:line="239" w:lineRule="auto"/>
        <w:tabs>
          <w:tab w:leader="none" w:pos="1208" w:val="left"/>
        </w:tabs>
        <w:numPr>
          <w:ilvl w:val="0"/>
          <w:numId w:val="21"/>
        </w:numPr>
        <w:rPr>
          <w:rFonts w:ascii="Arial" w:cs="Arial" w:eastAsia="Arial" w:hAnsi="Arial"/>
          <w:sz w:val="20"/>
          <w:szCs w:val="20"/>
          <w:color w:val="auto"/>
        </w:rPr>
      </w:pPr>
      <w:r>
        <w:rPr>
          <w:rFonts w:ascii="Arial" w:cs="Arial" w:eastAsia="Arial" w:hAnsi="Arial"/>
          <w:sz w:val="20"/>
          <w:szCs w:val="20"/>
          <w:color w:val="auto"/>
        </w:rPr>
        <w:t>changes in the U.S. trade environment, including the imposition of import tariffs, could adversely affect the amount or timing of our revenues, results of operations or cash flows;</w:t>
      </w:r>
    </w:p>
    <w:p>
      <w:pPr>
        <w:ind w:left="1220" w:right="500" w:hanging="321"/>
        <w:spacing w:after="0" w:line="239" w:lineRule="auto"/>
        <w:tabs>
          <w:tab w:leader="none" w:pos="1208"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reduction, elimination or expiration of government incentives for, or regulations mandating the use of, renewable energy and solar energy specifically could reduce demand for solar energy systems and harm our business;</w:t>
      </w:r>
    </w:p>
    <w:p>
      <w:pPr>
        <w:spacing w:after="0" w:line="1" w:lineRule="exact"/>
        <w:rPr>
          <w:rFonts w:ascii="Arial" w:cs="Arial" w:eastAsia="Arial" w:hAnsi="Arial"/>
          <w:sz w:val="20"/>
          <w:szCs w:val="20"/>
          <w:color w:val="auto"/>
        </w:rPr>
      </w:pPr>
    </w:p>
    <w:p>
      <w:pPr>
        <w:ind w:left="1220" w:right="660" w:hanging="321"/>
        <w:spacing w:after="0" w:line="252" w:lineRule="auto"/>
        <w:tabs>
          <w:tab w:leader="none" w:pos="1208" w:val="left"/>
        </w:tabs>
        <w:numPr>
          <w:ilvl w:val="0"/>
          <w:numId w:val="21"/>
        </w:numPr>
        <w:rPr>
          <w:rFonts w:ascii="Arial" w:cs="Arial" w:eastAsia="Arial" w:hAnsi="Arial"/>
          <w:sz w:val="19"/>
          <w:szCs w:val="19"/>
          <w:color w:val="auto"/>
        </w:rPr>
      </w:pPr>
      <w:r>
        <w:rPr>
          <w:rFonts w:ascii="Arial" w:cs="Arial" w:eastAsia="Arial" w:hAnsi="Arial"/>
          <w:sz w:val="19"/>
          <w:szCs w:val="19"/>
          <w:color w:val="auto"/>
        </w:rPr>
        <w:t>if we fail to, or incur significant costs in order to, obtain, maintain, protect, defend or enforce, our intellectual property and other proprietary rights, our business and results of operations could be materially harmed;</w:t>
      </w:r>
    </w:p>
    <w:p>
      <w:pPr>
        <w:ind w:left="1220" w:right="220" w:hanging="321"/>
        <w:spacing w:after="0" w:line="239" w:lineRule="auto"/>
        <w:tabs>
          <w:tab w:leader="none" w:pos="1208" w:val="left"/>
        </w:tabs>
        <w:numPr>
          <w:ilvl w:val="0"/>
          <w:numId w:val="21"/>
        </w:numPr>
        <w:rPr>
          <w:rFonts w:ascii="Arial" w:cs="Arial" w:eastAsia="Arial" w:hAnsi="Arial"/>
          <w:sz w:val="20"/>
          <w:szCs w:val="20"/>
          <w:color w:val="auto"/>
        </w:rPr>
      </w:pPr>
      <w:r>
        <w:rPr>
          <w:rFonts w:ascii="Arial" w:cs="Arial" w:eastAsia="Arial" w:hAnsi="Arial"/>
          <w:sz w:val="20"/>
          <w:szCs w:val="20"/>
          <w:color w:val="auto"/>
        </w:rPr>
        <w:t>we may need to defend ourselves against third-party claims that we are infringing, misappropriating or otherwise violating others’ intellectual property rights, which could divert management’s attention, cause us to incur significant costs and prevent us from selling or using the technology to which such rights relate;</w:t>
      </w:r>
    </w:p>
    <w:p>
      <w:pPr>
        <w:spacing w:after="0" w:line="1" w:lineRule="exact"/>
        <w:rPr>
          <w:rFonts w:ascii="Arial" w:cs="Arial" w:eastAsia="Arial" w:hAnsi="Arial"/>
          <w:sz w:val="20"/>
          <w:szCs w:val="20"/>
          <w:color w:val="auto"/>
        </w:rPr>
      </w:pPr>
    </w:p>
    <w:p>
      <w:pPr>
        <w:ind w:left="1220" w:hanging="321"/>
        <w:spacing w:after="0"/>
        <w:tabs>
          <w:tab w:leader="none" w:pos="12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significant changes in the cost of raw materials could adversely affect our financial performance;</w:t>
      </w:r>
    </w:p>
    <w:p>
      <w:pPr>
        <w:jc w:val="both"/>
        <w:ind w:left="1220" w:right="580" w:hanging="321"/>
        <w:spacing w:after="0" w:line="239" w:lineRule="auto"/>
        <w:tabs>
          <w:tab w:leader="none" w:pos="1208" w:val="left"/>
        </w:tabs>
        <w:numPr>
          <w:ilvl w:val="0"/>
          <w:numId w:val="21"/>
        </w:numPr>
        <w:rPr>
          <w:rFonts w:ascii="Arial" w:cs="Arial" w:eastAsia="Arial" w:hAnsi="Arial"/>
          <w:sz w:val="20"/>
          <w:szCs w:val="20"/>
          <w:color w:val="auto"/>
        </w:rPr>
      </w:pPr>
      <w:r>
        <w:rPr>
          <w:rFonts w:ascii="Arial" w:cs="Arial" w:eastAsia="Arial" w:hAnsi="Arial"/>
          <w:sz w:val="20"/>
          <w:szCs w:val="20"/>
          <w:color w:val="auto"/>
        </w:rPr>
        <w:t>we are dependent on transportation and logistics providers to deliver our products in a cost efficient manner. Disruptions to transportation and logistics, including increases in shipping costs, could adversely impact our financial condition and results of operations;</w:t>
      </w:r>
    </w:p>
    <w:p>
      <w:pPr>
        <w:spacing w:after="0" w:line="1" w:lineRule="exact"/>
        <w:rPr>
          <w:rFonts w:ascii="Arial" w:cs="Arial" w:eastAsia="Arial" w:hAnsi="Arial"/>
          <w:sz w:val="20"/>
          <w:szCs w:val="20"/>
          <w:color w:val="auto"/>
        </w:rPr>
      </w:pPr>
    </w:p>
    <w:p>
      <w:pPr>
        <w:ind w:left="1220" w:right="280" w:hanging="321"/>
        <w:spacing w:after="0" w:line="239" w:lineRule="auto"/>
        <w:tabs>
          <w:tab w:leader="none" w:pos="1208"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requirements of being a public company may strain our resources, divert management’s attention and affect our ability to attract and retain qualified board members and officers;</w:t>
      </w:r>
    </w:p>
    <w:p>
      <w:pPr>
        <w:ind w:left="1220" w:right="700" w:hanging="321"/>
        <w:spacing w:after="0" w:line="239" w:lineRule="auto"/>
        <w:tabs>
          <w:tab w:leader="none" w:pos="1208" w:val="left"/>
        </w:tabs>
        <w:numPr>
          <w:ilvl w:val="0"/>
          <w:numId w:val="21"/>
        </w:numPr>
        <w:rPr>
          <w:rFonts w:ascii="Arial" w:cs="Arial" w:eastAsia="Arial" w:hAnsi="Arial"/>
          <w:sz w:val="20"/>
          <w:szCs w:val="20"/>
          <w:color w:val="auto"/>
        </w:rPr>
      </w:pPr>
      <w:r>
        <w:rPr>
          <w:rFonts w:ascii="Arial" w:cs="Arial" w:eastAsia="Arial" w:hAnsi="Arial"/>
          <w:sz w:val="20"/>
          <w:szCs w:val="20"/>
          <w:color w:val="auto"/>
        </w:rPr>
        <w:t>we face risks related to actual or threatened health epidemics, such as the COVID-19 pandemic, and other outbreaks, which could significantly disrupt our manufacturing and operations; and</w:t>
      </w:r>
    </w:p>
    <w:p>
      <w:pPr>
        <w:ind w:left="1220" w:hanging="321"/>
        <w:spacing w:after="0"/>
        <w:tabs>
          <w:tab w:leader="none" w:pos="12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certain provisions in our certificate of incorporation and our bylaws may delay or prevent a change of control;</w:t>
      </w:r>
    </w:p>
    <w:p>
      <w:pPr>
        <w:spacing w:after="0" w:line="10" w:lineRule="exact"/>
        <w:rPr>
          <w:rFonts w:ascii="Arial" w:cs="Arial" w:eastAsia="Arial" w:hAnsi="Arial"/>
          <w:sz w:val="20"/>
          <w:szCs w:val="20"/>
          <w:color w:val="auto"/>
        </w:rPr>
      </w:pPr>
    </w:p>
    <w:p>
      <w:pPr>
        <w:ind w:left="1220" w:hanging="321"/>
        <w:spacing w:after="0"/>
        <w:tabs>
          <w:tab w:leader="none" w:pos="1220" w:val="left"/>
        </w:tabs>
        <w:numPr>
          <w:ilvl w:val="0"/>
          <w:numId w:val="21"/>
        </w:numPr>
        <w:rPr>
          <w:rFonts w:ascii="Arial" w:cs="Arial" w:eastAsia="Arial" w:hAnsi="Arial"/>
          <w:sz w:val="22"/>
          <w:szCs w:val="22"/>
          <w:color w:val="auto"/>
        </w:rPr>
      </w:pPr>
      <w:r>
        <w:rPr>
          <w:rFonts w:ascii="Arial" w:cs="Arial" w:eastAsia="Arial" w:hAnsi="Arial"/>
          <w:sz w:val="20"/>
          <w:szCs w:val="20"/>
          <w:color w:val="auto"/>
        </w:rPr>
        <w:t>difficulties related to the integration of the Company and STI as a result of the Acquisition; and</w:t>
      </w:r>
    </w:p>
    <w:p>
      <w:pPr>
        <w:spacing w:after="0" w:line="6" w:lineRule="exact"/>
        <w:rPr>
          <w:rFonts w:ascii="Arial" w:cs="Arial" w:eastAsia="Arial" w:hAnsi="Arial"/>
          <w:sz w:val="22"/>
          <w:szCs w:val="22"/>
          <w:color w:val="auto"/>
        </w:rPr>
      </w:pPr>
    </w:p>
    <w:p>
      <w:pPr>
        <w:ind w:left="1220" w:hanging="321"/>
        <w:spacing w:after="0" w:line="237" w:lineRule="auto"/>
        <w:tabs>
          <w:tab w:leader="none" w:pos="1220" w:val="left"/>
        </w:tabs>
        <w:numPr>
          <w:ilvl w:val="0"/>
          <w:numId w:val="21"/>
        </w:numPr>
        <w:rPr>
          <w:rFonts w:ascii="Arial" w:cs="Arial" w:eastAsia="Arial" w:hAnsi="Arial"/>
          <w:sz w:val="22"/>
          <w:szCs w:val="22"/>
          <w:color w:val="auto"/>
        </w:rPr>
      </w:pPr>
      <w:r>
        <w:rPr>
          <w:rFonts w:ascii="Arial" w:cs="Arial" w:eastAsia="Arial" w:hAnsi="Arial"/>
          <w:sz w:val="20"/>
          <w:szCs w:val="20"/>
          <w:color w:val="auto"/>
        </w:rPr>
        <w:t>the effect of the acquisition on our relationships with customers, employees, regulators or suppliers.</w:t>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80"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auto"/>
        </w:rPr>
        <w:t>We are one of the world’s largest manufacturers of ground-mounting systems used in solar energy projects. Our principal product is an integrated system of steel supports, electric motors, gearboxes and electronic controllers commonly referred to as a single-axis “tracker.” Trackers move solar panels throughout the day to maintain an optimal orientation to the sun, which significantly increases their energy production. Solar energy projects that use trackers generate up to 25% more energy than projects that use “fixed tilt” mounting systems, which do not move.</w:t>
      </w:r>
    </w:p>
    <w:p>
      <w:pPr>
        <w:spacing w:after="0" w:line="236"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color w:val="auto"/>
        </w:rPr>
        <w:t>Our trackers use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2" w:name="page33"/>
    <w:bookmarkEnd w:id="32"/>
    <w:p>
      <w:pPr>
        <w:ind w:right="100"/>
        <w:spacing w:after="0" w:line="257" w:lineRule="auto"/>
        <w:rPr>
          <w:sz w:val="20"/>
          <w:szCs w:val="20"/>
          <w:color w:val="auto"/>
        </w:rPr>
      </w:pPr>
      <w:r>
        <w:rPr>
          <w:rFonts w:ascii="Arial" w:cs="Arial" w:eastAsia="Arial" w:hAnsi="Arial"/>
          <w:sz w:val="20"/>
          <w:szCs w:val="20"/>
          <w:color w:val="auto"/>
        </w:rPr>
        <w:t>motor for each row of solar panels. As a result, we believe our products have greater reliability, lower installation costs, reduced maintenance requirements and competitive manufacturing costs. Our core U.S. patent on a linked-row, rotating gear drive system does not expire until February 5, 2030.</w:t>
      </w:r>
    </w:p>
    <w:p>
      <w:pPr>
        <w:spacing w:after="0" w:line="233" w:lineRule="exact"/>
        <w:rPr>
          <w:sz w:val="20"/>
          <w:szCs w:val="20"/>
          <w:color w:val="auto"/>
        </w:rPr>
      </w:pPr>
    </w:p>
    <w:p>
      <w:pPr>
        <w:jc w:val="both"/>
        <w:ind w:right="160"/>
        <w:spacing w:after="0" w:line="256" w:lineRule="auto"/>
        <w:rPr>
          <w:sz w:val="20"/>
          <w:szCs w:val="20"/>
          <w:color w:val="auto"/>
        </w:rPr>
      </w:pPr>
      <w:r>
        <w:rPr>
          <w:rFonts w:ascii="Arial" w:cs="Arial" w:eastAsia="Arial" w:hAnsi="Arial"/>
          <w:sz w:val="20"/>
          <w:szCs w:val="20"/>
          <w:color w:val="auto"/>
        </w:rPr>
        <w:t>We sell our products to engineering, procurement and construction firms (“EPCs”) that build solar energy projects and to large solar developers, independent power producers and utilities, often under master supply agreements or multi-year procurement contracts. In the nine months ended September 30, 2021, we derived 99% and 1% of our revenues from customers in the U.S. and rest of the world, respectively.</w:t>
      </w:r>
    </w:p>
    <w:p>
      <w:pPr>
        <w:spacing w:after="0" w:line="234" w:lineRule="exact"/>
        <w:rPr>
          <w:sz w:val="20"/>
          <w:szCs w:val="20"/>
          <w:color w:val="auto"/>
        </w:rPr>
      </w:pPr>
    </w:p>
    <w:p>
      <w:pPr>
        <w:ind w:right="620"/>
        <w:spacing w:after="0" w:line="261" w:lineRule="auto"/>
        <w:rPr>
          <w:sz w:val="20"/>
          <w:szCs w:val="20"/>
          <w:color w:val="auto"/>
        </w:rPr>
      </w:pPr>
      <w:r>
        <w:rPr>
          <w:rFonts w:ascii="Arial" w:cs="Arial" w:eastAsia="Arial" w:hAnsi="Arial"/>
          <w:sz w:val="20"/>
          <w:szCs w:val="20"/>
          <w:color w:val="auto"/>
        </w:rPr>
        <w:t>We are a U.S. company and our headquarters and principal manufacturing facility are in Albuquerque, New Mexico. As of September 30, 2021, we had 387 full-time employees.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Developments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 of STI</w:t>
      </w:r>
    </w:p>
    <w:p>
      <w:pPr>
        <w:spacing w:after="0" w:line="267"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On November 11, 2021, the Company entered into a definitive agreement with Amixa Capital, S.L. and Aurica Trackers, S.L. to acquire 100% of the share capital of Soluciones Técnicas Integrales Norland, S.L. and its subsidiaries (collectively, “STI”), for a purchase price of € 579.0 million ($662.7 million at current exchange rates), €228.0 million ($264.0 million at current exchange rates), of which will be paid at closing in common stock of the Company with the remaining €351.0 million in cash ($ 401.7 million at current exchange rates) to be paid in cash. The purchase price will be increased by the amount that is four times the audited Earnings Before Interest, Taxes, Depreciation and Amortization (“EBITDA”) of the target less €47.0 million ($53.5 million at current exchange rates), such that the amount of contingent consideration is subject to a cap of €55.0 million ($63.0 million at current exchange rates).</w:t>
      </w:r>
    </w:p>
    <w:p>
      <w:pPr>
        <w:spacing w:after="0" w:line="237" w:lineRule="exact"/>
        <w:rPr>
          <w:sz w:val="20"/>
          <w:szCs w:val="20"/>
          <w:color w:val="auto"/>
        </w:rPr>
      </w:pPr>
    </w:p>
    <w:p>
      <w:pPr>
        <w:ind w:right="1000"/>
        <w:spacing w:after="0" w:line="261" w:lineRule="auto"/>
        <w:rPr>
          <w:sz w:val="20"/>
          <w:szCs w:val="20"/>
          <w:color w:val="auto"/>
        </w:rPr>
      </w:pPr>
      <w:r>
        <w:rPr>
          <w:rFonts w:ascii="Arial" w:cs="Arial" w:eastAsia="Arial" w:hAnsi="Arial"/>
          <w:sz w:val="20"/>
          <w:szCs w:val="20"/>
          <w:color w:val="auto"/>
        </w:rPr>
        <w:t>The transaction is expected to close in the first quarter of 2022, following receipt of required regulatory approvals and satisfaction of other customary closing conditions.</w:t>
      </w:r>
    </w:p>
    <w:p>
      <w:pPr>
        <w:spacing w:after="0" w:line="215"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In connection with the entry into the Purchase Agreement, the Company entered into a debt commitment letter dated November 10, 2021 pursuant to which third party financial institutions have committed, subject to the satisfaction of standard conditions, to provide the Company with a bridge loan facility in aggregate principal amount of up to $300 million. The Company currently intends to finance the transaction and related fees and expenses with cash on hand, borrowings under its senior credit facilities, proceeds from our option to require the holders of our Series A Perpetual Preferred Stock (the “Preferred Shares”) to purchase additional Preferred Shares, and through one or more debt capital markets transactions, subject to market conditions and other factors, and, only to the extent necessary, borrowings under the bridge loan facility.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Perpetual Preferred Stock</w:t>
      </w:r>
    </w:p>
    <w:p>
      <w:pPr>
        <w:spacing w:after="0" w:line="267"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On August 10, 2021, the Company entered into a Securities Purchase Agreement (the “Securities Purchase Agreement”) with BCP Helios Aggregator L.P., a Delaware limited partnership (the “Purchaser”), an investment vehicle of funds affiliated with Blackstone Inc. Pursuant to the Securities Purchase Agreement, on August 11, 2021, the Company issued and sold to the Purchaser 350,000 shares of a newly designated Series A Perpetual Preferred Stock of the Company, par value $0.001 per share (the “Series A Redeemable Perpetual Preferred Stock”), having the powers, designations, preferences, and other rights set forth in the Certificate of Designations, and 7,098,765 shares of the Company’s common stock, par value $0.001 per share (“Common Stock”), for an aggregate purchase price of $346.0 million. Further, pursuant to the Securities Purchase Agreement, the Company has issue and sold to the Purchaser 776,235 shares of Common Stock for an aggregate purchase price of $776 on September 27, 2021</w:t>
      </w:r>
      <w:r>
        <w:rPr>
          <w:rFonts w:ascii="Arial" w:cs="Arial" w:eastAsia="Arial" w:hAnsi="Arial"/>
          <w:sz w:val="17"/>
          <w:szCs w:val="17"/>
          <w:color w:val="auto"/>
        </w:rPr>
        <w:t>.</w:t>
      </w:r>
      <w:r>
        <w:rPr>
          <w:rFonts w:ascii="Arial" w:cs="Arial" w:eastAsia="Arial" w:hAnsi="Arial"/>
          <w:sz w:val="20"/>
          <w:szCs w:val="20"/>
          <w:color w:val="auto"/>
        </w:rPr>
        <w:t xml:space="preserve"> For more information related to the Series A Redeemable Perpetual Preferred Stock, see Note 9, Redeemable Perpetual Preferred, to the accompanying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Update on the Impact of COVID-19</w:t>
      </w:r>
    </w:p>
    <w:p>
      <w:pPr>
        <w:spacing w:after="0" w:line="280"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With the second wave of the pandemic including variants of COVID-19, we continue to closely monitor the situation in all the locations where we operate. Our priority remains the welfare of our employees. We expect persistent waves of COVID-19 to remain a headwind into the near future. Refer to “Risk Factors - The ongoing COVID-19 pandemic has materially and adversely affected our business and results of operations. The duration and extent to which it will continue to adversely impact our business and results of operations remains uncertain and could be material,” as disclosed in Part II, “Item 1A. Risk Factors.”</w:t>
      </w:r>
    </w:p>
    <w:p>
      <w:pPr>
        <w:spacing w:after="0" w:line="220" w:lineRule="exact"/>
        <w:rPr>
          <w:sz w:val="20"/>
          <w:szCs w:val="20"/>
          <w:color w:val="auto"/>
        </w:rPr>
      </w:pPr>
    </w:p>
    <w:p>
      <w:pPr>
        <w:jc w:val="both"/>
        <w:ind w:right="40"/>
        <w:spacing w:after="0" w:line="257" w:lineRule="auto"/>
        <w:rPr>
          <w:sz w:val="20"/>
          <w:szCs w:val="20"/>
          <w:color w:val="auto"/>
        </w:rPr>
      </w:pPr>
      <w:r>
        <w:rPr>
          <w:rFonts w:ascii="Arial" w:cs="Arial" w:eastAsia="Arial" w:hAnsi="Arial"/>
          <w:sz w:val="20"/>
          <w:szCs w:val="20"/>
          <w:color w:val="auto"/>
        </w:rPr>
        <w:t>We are continuously evaluating our capital structure in response to the current environment and expect that our current financial condition, including our liquidity sources will be adequate to fund future commitments. See additional discussion in the Liquidity and Capital Resources section below.</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Measures</w:t>
      </w:r>
    </w:p>
    <w:p>
      <w:pPr>
        <w:spacing w:after="0" w:line="280"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The primary operating metric we use to evaluate our sales performance and to track market acceptance of our products from year to year is megawatts (“MWs”) shipped generally and the change in MW shipped from period to period specifically. MWs are measured for each individual project and calculated based on the expected output of that project once installed and fully operational.</w:t>
      </w:r>
    </w:p>
    <w:p>
      <w:pPr>
        <w:spacing w:after="0" w:line="235"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We also utilize metrics related to price and cost of goods sold per MW, including average selling price (“ASP”) and cost per watt (“CPW”). ASP is calculated by dividing total applicable revenues by total applicable MWs, whereas CPW is calculated by dividing total applicable costs of goods sold by total applicable MWs. These metrics enable us to evaluate trends in pricing, manufacturing cost and customer profitability.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Components of Our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discussion describes certain line items in our consolidated statements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37"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We generate revenue from the sale of solar tracking systems and parts. Our customers include EPCs, utilities, solar developers and independent power producers. For each individual solar project, we enter into a contract with our customers covering the price, specifications, delivery dates and warranty for the products being purchased, among other things. Our contractual delivery period for the tracker system and parts can vary from days to several months. Contracts can range in value from hundreds of thousands to tens of millions of dollars.</w:t>
      </w:r>
    </w:p>
    <w:p>
      <w:pPr>
        <w:spacing w:after="0" w:line="236" w:lineRule="exact"/>
        <w:rPr>
          <w:sz w:val="20"/>
          <w:szCs w:val="20"/>
          <w:color w:val="auto"/>
        </w:rPr>
      </w:pPr>
    </w:p>
    <w:p>
      <w:pPr>
        <w:ind w:right="120"/>
        <w:spacing w:after="0" w:line="256" w:lineRule="auto"/>
        <w:rPr>
          <w:sz w:val="20"/>
          <w:szCs w:val="20"/>
          <w:color w:val="auto"/>
        </w:rPr>
      </w:pPr>
      <w:r>
        <w:rPr>
          <w:rFonts w:ascii="Arial" w:cs="Arial" w:eastAsia="Arial" w:hAnsi="Arial"/>
          <w:sz w:val="20"/>
          <w:szCs w:val="20"/>
          <w:color w:val="auto"/>
        </w:rPr>
        <w:t>Our revenue is affected by changes in the volume and ASPs of solar tracking systems purchased by our customers. The quarterly volume and ASP of our systems is driven by the supply of, and demand for, our products, changes in product mix between module type and wattage, geographic mix of our customers, strength of competitors’ product offerings, and availability of government incentives to the end-users of our products.</w:t>
      </w:r>
    </w:p>
    <w:p>
      <w:pPr>
        <w:spacing w:after="0" w:line="234"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Our revenue growth is dependent on continued growth in the amount of solar energy projects installed each year as well as our ability to increase our share of demand in each of the geographies where we compete, expand our global footprint to new evolving markets, grow our production capabilities to meet demand and to</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0" w:right="359" w:bottom="1440" w:gutter="0" w:footer="0" w:header="0"/>
        </w:sectPr>
      </w:pPr>
    </w:p>
    <w:bookmarkStart w:id="34" w:name="page35"/>
    <w:bookmarkEnd w:id="34"/>
    <w:p>
      <w:pPr>
        <w:ind w:right="760"/>
        <w:spacing w:after="0" w:line="261" w:lineRule="auto"/>
        <w:rPr>
          <w:sz w:val="20"/>
          <w:szCs w:val="20"/>
          <w:color w:val="auto"/>
        </w:rPr>
      </w:pPr>
      <w:r>
        <w:rPr>
          <w:rFonts w:ascii="Arial" w:cs="Arial" w:eastAsia="Arial" w:hAnsi="Arial"/>
          <w:sz w:val="20"/>
          <w:szCs w:val="20"/>
          <w:color w:val="auto"/>
        </w:rPr>
        <w:t>continue to develop and introduce new and innovative products that address the changing technology and performance requirements of our customers.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of Revenue and Gross Profit</w:t>
      </w:r>
    </w:p>
    <w:p>
      <w:pPr>
        <w:spacing w:after="0" w:line="37"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Cost of revenue consists primarily of product costs, including purchased components, as well as costs related to shipping, tariffs, customer support, product warranty, personnel and depreciation of test and manufacturing equipment. Personnel costs in cost of revenue includes both direct labor costs as well as costs attributable to any individuals whose activities relate to the transformation of raw materials or component parts into finished goods or the transportation of materials to the customer. Our product costs are affected by the underlying cost of raw materials, including steel and aluminum; component costs, including electric motors and gearboxes; technological innovation; economies of scale resulting in lower component costs, and improvements in production processes and automation. We do not currently hedge against changes in the price of raw materials. Some of these costs, primarily personnel and depreciation of test and manufacturing equipment, are not directly affected by sales volume.</w:t>
      </w:r>
    </w:p>
    <w:p>
      <w:pPr>
        <w:spacing w:after="0" w:line="239" w:lineRule="exact"/>
        <w:rPr>
          <w:sz w:val="20"/>
          <w:szCs w:val="20"/>
          <w:color w:val="auto"/>
        </w:rPr>
      </w:pPr>
    </w:p>
    <w:p>
      <w:pPr>
        <w:ind w:right="220"/>
        <w:spacing w:after="0" w:line="261" w:lineRule="auto"/>
        <w:rPr>
          <w:sz w:val="20"/>
          <w:szCs w:val="20"/>
          <w:color w:val="auto"/>
        </w:rPr>
      </w:pPr>
      <w:r>
        <w:rPr>
          <w:rFonts w:ascii="Arial" w:cs="Arial" w:eastAsia="Arial" w:hAnsi="Arial"/>
          <w:sz w:val="20"/>
          <w:szCs w:val="20"/>
          <w:color w:val="auto"/>
        </w:rPr>
        <w:t>Gross profit may vary from quarter to quarter and is primarily affected by our ASPs, product costs, product mix, customer mix, geographical mix, shipping method, warranty costs and seasonality.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37"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Operating expenses consist of general and administrative costs, contingent consideration, as well as depreciation and amortization expense. Personnel-related costs are the most significant component of our operating expenses and include salaries, benefits, payroll taxes and commissions. Our full-time employee headcount in our general and administrative departments has grown from approximately 150 as of December 31, 2019 to approximately 177 as of December 31, 2020 and 193 at September 30, 2021, and we expect to continue to hire new employees to support our growth. The timing of these additional hires could materially affect our operating expenses in any particular period, both in absolute dollars and as a percentage of revenue. We expect to continue to invest substantial resources to support our growth and continued technological advancement and anticipate that general and administrative and depreciation expenses will increase in absolute dollar amounts for the foreseeable future.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expenses</w:t>
      </w:r>
    </w:p>
    <w:p>
      <w:pPr>
        <w:spacing w:after="0" w:line="33"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General and administrative expenses consist primarily of salaries, equity-based compensation, employee benefits and payroll taxes related to our executives, sales, finance, human resources, information technology, engineering and legal organizations, as well as travel, facilities costs, marketing, bad debt and fees for professional services. Professional services consist of audit, legal, tax, insurance, information technology and other costs. We expect an increase in the number of sales and marketing personnel in connection with the expansion of our global sales and marketing footprint, enabling us to penetrate new markets. The majority of our sales in 2020 were in the U.S.; however, during the year we expanded our international presence with additional global sales staff. We currently have a sales presence in the U.S., Australia, the U.K. and Brazil. We intend to continue to expand our sales presence and marketing efforts to additional countries. We also expect that as a public company we will incur additional audit, tax, accounting, legal and other costs related to compliance with applicable securities and other regulations, as well as additional insurance, investor relations and other costs associated with being a public company. We also anticipate an increase in our spend related to product innovation as we hire additional engineering resources and increase our external research &amp; development spend.</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33" w:lineRule="exact"/>
        <w:rPr>
          <w:sz w:val="20"/>
          <w:szCs w:val="20"/>
          <w:color w:val="auto"/>
        </w:rPr>
      </w:pPr>
    </w:p>
    <w:p>
      <w:pPr>
        <w:ind w:right="420"/>
        <w:spacing w:after="0" w:line="261" w:lineRule="auto"/>
        <w:rPr>
          <w:sz w:val="20"/>
          <w:szCs w:val="20"/>
          <w:color w:val="auto"/>
        </w:rPr>
      </w:pPr>
      <w:r>
        <w:rPr>
          <w:rFonts w:ascii="Arial" w:cs="Arial" w:eastAsia="Arial" w:hAnsi="Arial"/>
          <w:sz w:val="20"/>
          <w:szCs w:val="20"/>
          <w:color w:val="auto"/>
        </w:rPr>
        <w:t>Contingent consideration consists of the changes in fair value of the earn-out and the Taxes Receivable Agreement (“TRA”) entered into with Ron P. Corio, a former indirect stockholder, concurrent with the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1" w:right="379" w:bottom="1440" w:gutter="0" w:footer="0" w:header="0"/>
        </w:sectPr>
      </w:pPr>
    </w:p>
    <w:bookmarkStart w:id="35" w:name="page36"/>
    <w:bookmarkEnd w:id="35"/>
    <w:p>
      <w:pPr>
        <w:ind w:right="380"/>
        <w:spacing w:after="0" w:line="261" w:lineRule="auto"/>
        <w:rPr>
          <w:sz w:val="20"/>
          <w:szCs w:val="20"/>
          <w:color w:val="auto"/>
        </w:rPr>
      </w:pPr>
      <w:r>
        <w:rPr>
          <w:rFonts w:ascii="Arial" w:cs="Arial" w:eastAsia="Arial" w:hAnsi="Arial"/>
          <w:sz w:val="20"/>
          <w:szCs w:val="20"/>
          <w:color w:val="auto"/>
        </w:rPr>
        <w:t>Acquisition of Array Technologies Patent Holdings Co., LLC (“Patent LLC”) by ATI Investment Parent, LLC (“Former Parent”) Former Parent’s acquisition of Patent LLC.</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color w:val="auto"/>
        </w:rPr>
        <w:t>The earn-out liability was recorded at fair value as of July 8, 2016 (the “Acquisition Date”), and subsequent changes in the fair value are recognized in earnings. Fair value of the earn-out liability is measured based upon the expected return of investment of Former Parent, among other things. Cash payments related to the earn-out liability are required to be evaluated upon the occurrence of certain events, including the consummation of an initial public offering; the sale, transfer, assignment, pledge, encumbrance, distribution or disposition of shares of Former Parent held by Oaktree Power Opportunities Fund IV (Delaware) Holdings, L.P. and Oaktree ATI Investors, L.P. to a third party; the sale of equity securities or assets of Former Parent, ATI Investment Sub, Inc. (“Investment Sub”) or the Company to a third-party; or a merger, consolidation, recapitalization or reorganization of Former Parent, Investment Sub, or the Company. Our initial public offering of common stock (“IPO”), the cash distribution of $589 million that we paid to ATI Investment Parent, LLC upon the closing of our IPO and our Follow-on Offering of common stock in December 2020 (the “2020 Follow-on Offering”) required the Company to make a cash payment of $9.1 million in October 2020 and $15.9 million in December 2020. As a result of these payments our earn-out liability has been paid in full.</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TRA liability was recorded at fair value at the Acquisition Date and subsequent changes in the fair value are recognized in earnings. The TRA will generally provide for the payment by Array Tech, Inc. (f/k/a Array Technologies, Inc.) to Ron P. Corio for certain federal, state, local and non-U.S. tax benefits deemed realized in post-closing taxable periods by Array Tech, Inc. from the use of certain deductions generated by the increase in the tax value of the developed technology. Estimating fair value of the TRA is by nature imprecise. The significant fair value inputs used to estimate the future expected TRA payments to Ron P. Corio include the timing of tax payments, a discount rate, book income projections, timing of expected adjustments to calculate taxable income and the projected rate of use for attributes defined in the TRA.</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w:t>
      </w:r>
    </w:p>
    <w:p>
      <w:pPr>
        <w:spacing w:after="0" w:line="33" w:lineRule="exact"/>
        <w:rPr>
          <w:sz w:val="20"/>
          <w:szCs w:val="20"/>
          <w:color w:val="auto"/>
        </w:rPr>
      </w:pPr>
    </w:p>
    <w:p>
      <w:pPr>
        <w:jc w:val="both"/>
        <w:ind w:right="440"/>
        <w:spacing w:after="0" w:line="277" w:lineRule="auto"/>
        <w:rPr>
          <w:sz w:val="20"/>
          <w:szCs w:val="20"/>
          <w:color w:val="auto"/>
        </w:rPr>
      </w:pPr>
      <w:r>
        <w:rPr>
          <w:rFonts w:ascii="Arial" w:cs="Arial" w:eastAsia="Arial" w:hAnsi="Arial"/>
          <w:sz w:val="19"/>
          <w:szCs w:val="19"/>
          <w:color w:val="auto"/>
        </w:rPr>
        <w:t>Depreciation in our operating expense consists of costs associated with property, plant and equipment (“PP&amp;E”) not used in manufacturing of our products. We expect that as we continue to grow both our revenue and our general and administrative personnel we will require some additional PP&amp;E to support this growth resulting in additional depreciation expense.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w:t>
      </w:r>
    </w:p>
    <w:p>
      <w:pPr>
        <w:spacing w:after="0" w:line="33"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auto"/>
        </w:rPr>
        <w:t>Amortization of intangibles consist of developed technology, customer relationships and internal-use software modifications over their expected period of use.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Non-Operating Expenses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19"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Interest expense consists of interest and other charges paid in connection with our Senior Secured Credit Facility and our Senior ABL Facility, interest on the Senior Secured Promissory Note, and interest on our term loan facility under the term loan agreement with Jefferies Finance LLC, dated June 23, 2016, (the “Prior Term Loan Facility”), which was fully repaid on February 2, 2020.</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33"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color w:val="auto"/>
        </w:rPr>
        <w:t>We are subject to federal and state income taxes in the United States. As we expand into foreign markets, we may be subject to foreign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color w:val="auto"/>
        </w:rPr>
        <w:t>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set forth our consolidated statement of operations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5"/>
          </w:tcPr>
          <w:p>
            <w:pPr>
              <w:jc w:val="center"/>
              <w:ind w:right="240"/>
              <w:spacing w:after="0"/>
              <w:rPr>
                <w:sz w:val="20"/>
                <w:szCs w:val="20"/>
                <w:color w:val="auto"/>
              </w:rPr>
            </w:pPr>
            <w:r>
              <w:rPr>
                <w:rFonts w:ascii="Arial" w:cs="Arial" w:eastAsia="Arial" w:hAnsi="Arial"/>
                <w:sz w:val="20"/>
                <w:szCs w:val="20"/>
                <w:b w:val="1"/>
                <w:bCs w:val="1"/>
                <w:color w:val="auto"/>
                <w:w w:val="99"/>
              </w:rPr>
              <w:t>Three Months Ended</w:t>
            </w:r>
          </w:p>
        </w:tc>
        <w:tc>
          <w:tcPr>
            <w:tcW w:w="140" w:type="dxa"/>
            <w:vAlign w:val="bottom"/>
          </w:tcPr>
          <w:p>
            <w:pPr>
              <w:spacing w:after="0"/>
              <w:rPr>
                <w:sz w:val="19"/>
                <w:szCs w:val="19"/>
                <w:color w:val="auto"/>
              </w:rPr>
            </w:pPr>
          </w:p>
        </w:tc>
        <w:tc>
          <w:tcPr>
            <w:tcW w:w="2000" w:type="dxa"/>
            <w:vAlign w:val="bottom"/>
            <w:gridSpan w:val="4"/>
            <w:vMerge w:val="restart"/>
          </w:tcPr>
          <w:p>
            <w:pPr>
              <w:ind w:left="20"/>
              <w:spacing w:after="0"/>
              <w:rPr>
                <w:sz w:val="20"/>
                <w:szCs w:val="20"/>
                <w:color w:val="auto"/>
              </w:rPr>
            </w:pPr>
            <w:r>
              <w:rPr>
                <w:rFonts w:ascii="Arial" w:cs="Arial" w:eastAsia="Arial" w:hAnsi="Arial"/>
                <w:sz w:val="20"/>
                <w:szCs w:val="20"/>
                <w:b w:val="1"/>
                <w:bCs w:val="1"/>
                <w:color w:val="auto"/>
              </w:rPr>
              <w:t>Increase/Decrease</w:t>
            </w:r>
          </w:p>
        </w:tc>
        <w:tc>
          <w:tcPr>
            <w:tcW w:w="180" w:type="dxa"/>
            <w:vAlign w:val="bottom"/>
          </w:tcPr>
          <w:p>
            <w:pPr>
              <w:spacing w:after="0"/>
              <w:rPr>
                <w:sz w:val="19"/>
                <w:szCs w:val="19"/>
                <w:color w:val="auto"/>
              </w:rPr>
            </w:pPr>
          </w:p>
        </w:tc>
        <w:tc>
          <w:tcPr>
            <w:tcW w:w="2200" w:type="dxa"/>
            <w:vAlign w:val="bottom"/>
            <w:gridSpan w:val="5"/>
          </w:tcPr>
          <w:p>
            <w:pPr>
              <w:jc w:val="center"/>
              <w:ind w:right="260"/>
              <w:spacing w:after="0"/>
              <w:rPr>
                <w:sz w:val="20"/>
                <w:szCs w:val="20"/>
                <w:color w:val="auto"/>
              </w:rPr>
            </w:pPr>
            <w:r>
              <w:rPr>
                <w:rFonts w:ascii="Arial" w:cs="Arial" w:eastAsia="Arial" w:hAnsi="Arial"/>
                <w:sz w:val="20"/>
                <w:szCs w:val="20"/>
                <w:b w:val="1"/>
                <w:bCs w:val="1"/>
                <w:color w:val="auto"/>
                <w:w w:val="99"/>
              </w:rPr>
              <w:t>Nine Months Ended</w:t>
            </w:r>
          </w:p>
        </w:tc>
        <w:tc>
          <w:tcPr>
            <w:tcW w:w="180" w:type="dxa"/>
            <w:vAlign w:val="bottom"/>
          </w:tcPr>
          <w:p>
            <w:pPr>
              <w:spacing w:after="0"/>
              <w:rPr>
                <w:sz w:val="19"/>
                <w:szCs w:val="19"/>
                <w:color w:val="auto"/>
              </w:rPr>
            </w:pPr>
          </w:p>
        </w:tc>
        <w:tc>
          <w:tcPr>
            <w:tcW w:w="2100" w:type="dxa"/>
            <w:vAlign w:val="bottom"/>
            <w:gridSpan w:val="3"/>
            <w:vMerge w:val="restart"/>
          </w:tcPr>
          <w:p>
            <w:pPr>
              <w:jc w:val="right"/>
              <w:ind w:right="181"/>
              <w:spacing w:after="0"/>
              <w:rPr>
                <w:sz w:val="20"/>
                <w:szCs w:val="20"/>
                <w:color w:val="auto"/>
              </w:rPr>
            </w:pPr>
            <w:r>
              <w:rPr>
                <w:rFonts w:ascii="Arial" w:cs="Arial" w:eastAsia="Arial" w:hAnsi="Arial"/>
                <w:sz w:val="20"/>
                <w:szCs w:val="20"/>
                <w:b w:val="1"/>
                <w:bCs w:val="1"/>
                <w:color w:val="auto"/>
              </w:rPr>
              <w:t>Increase/Decrease</w:t>
            </w: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80" w:type="dxa"/>
            <w:vAlign w:val="bottom"/>
            <w:gridSpan w:val="5"/>
          </w:tcPr>
          <w:p>
            <w:pPr>
              <w:jc w:val="center"/>
              <w:ind w:right="260"/>
              <w:spacing w:after="0"/>
              <w:rPr>
                <w:sz w:val="20"/>
                <w:szCs w:val="20"/>
                <w:color w:val="auto"/>
              </w:rPr>
            </w:pPr>
            <w:r>
              <w:rPr>
                <w:rFonts w:ascii="Arial" w:cs="Arial" w:eastAsia="Arial" w:hAnsi="Arial"/>
                <w:sz w:val="20"/>
                <w:szCs w:val="20"/>
                <w:b w:val="1"/>
                <w:bCs w:val="1"/>
                <w:color w:val="auto"/>
                <w:w w:val="97"/>
              </w:rPr>
              <w:t>September 30,</w:t>
            </w:r>
          </w:p>
        </w:tc>
        <w:tc>
          <w:tcPr>
            <w:tcW w:w="140" w:type="dxa"/>
            <w:vAlign w:val="bottom"/>
          </w:tcPr>
          <w:p>
            <w:pPr>
              <w:spacing w:after="0"/>
              <w:rPr>
                <w:sz w:val="21"/>
                <w:szCs w:val="21"/>
                <w:color w:val="auto"/>
              </w:rPr>
            </w:pPr>
          </w:p>
        </w:tc>
        <w:tc>
          <w:tcPr>
            <w:tcW w:w="2000" w:type="dxa"/>
            <w:vAlign w:val="bottom"/>
            <w:gridSpan w:val="4"/>
            <w:vMerge w:val="continue"/>
          </w:tcPr>
          <w:p>
            <w:pPr>
              <w:spacing w:after="0"/>
              <w:rPr>
                <w:sz w:val="21"/>
                <w:szCs w:val="21"/>
                <w:color w:val="auto"/>
              </w:rPr>
            </w:pPr>
          </w:p>
        </w:tc>
        <w:tc>
          <w:tcPr>
            <w:tcW w:w="180" w:type="dxa"/>
            <w:vAlign w:val="bottom"/>
          </w:tcPr>
          <w:p>
            <w:pPr>
              <w:spacing w:after="0"/>
              <w:rPr>
                <w:sz w:val="21"/>
                <w:szCs w:val="21"/>
                <w:color w:val="auto"/>
              </w:rPr>
            </w:pPr>
          </w:p>
        </w:tc>
        <w:tc>
          <w:tcPr>
            <w:tcW w:w="2200" w:type="dxa"/>
            <w:vAlign w:val="bottom"/>
            <w:gridSpan w:val="5"/>
          </w:tcPr>
          <w:p>
            <w:pPr>
              <w:jc w:val="center"/>
              <w:ind w:right="260"/>
              <w:spacing w:after="0"/>
              <w:rPr>
                <w:sz w:val="20"/>
                <w:szCs w:val="20"/>
                <w:color w:val="auto"/>
              </w:rPr>
            </w:pPr>
            <w:r>
              <w:rPr>
                <w:rFonts w:ascii="Arial" w:cs="Arial" w:eastAsia="Arial" w:hAnsi="Arial"/>
                <w:sz w:val="20"/>
                <w:szCs w:val="20"/>
                <w:b w:val="1"/>
                <w:bCs w:val="1"/>
                <w:color w:val="auto"/>
                <w:w w:val="97"/>
              </w:rPr>
              <w:t>September 30,</w:t>
            </w:r>
          </w:p>
        </w:tc>
        <w:tc>
          <w:tcPr>
            <w:tcW w:w="180" w:type="dxa"/>
            <w:vAlign w:val="bottom"/>
          </w:tcPr>
          <w:p>
            <w:pPr>
              <w:spacing w:after="0"/>
              <w:rPr>
                <w:sz w:val="21"/>
                <w:szCs w:val="21"/>
                <w:color w:val="auto"/>
              </w:rPr>
            </w:pPr>
          </w:p>
        </w:tc>
        <w:tc>
          <w:tcPr>
            <w:tcW w:w="21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9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2020</w:t>
            </w:r>
          </w:p>
        </w:tc>
        <w:tc>
          <w:tcPr>
            <w:tcW w:w="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20"/>
                <w:szCs w:val="20"/>
                <w:b w:val="1"/>
                <w:bCs w:val="1"/>
                <w:color w:val="auto"/>
              </w:rPr>
              <w:t>$</w:t>
            </w:r>
          </w:p>
        </w:tc>
        <w:tc>
          <w:tcPr>
            <w:tcW w:w="80" w:type="dxa"/>
            <w:vAlign w:val="bottom"/>
            <w:tcBorders>
              <w:top w:val="single" w:sz="8" w:color="auto"/>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2021</w:t>
            </w:r>
          </w:p>
        </w:tc>
        <w:tc>
          <w:tcPr>
            <w:tcW w:w="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20"/>
                <w:szCs w:val="20"/>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w:t>
            </w:r>
          </w:p>
        </w:tc>
        <w:tc>
          <w:tcPr>
            <w:tcW w:w="80" w:type="dxa"/>
            <w:vAlign w:val="bottom"/>
            <w:tcBorders>
              <w:top w:val="single" w:sz="8" w:color="auto"/>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37"/>
        </w:trPr>
        <w:tc>
          <w:tcPr>
            <w:tcW w:w="1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192,068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139,462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52,606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38 %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640,796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692,096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(51,300)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43"/>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182,789</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112,731</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70,058</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62 %</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560,872</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524,747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36,125</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7 %</w:t>
            </w:r>
          </w:p>
        </w:tc>
        <w:tc>
          <w:tcPr>
            <w:tcW w:w="0" w:type="dxa"/>
            <w:vAlign w:val="bottom"/>
          </w:tcPr>
          <w:p>
            <w:pPr>
              <w:spacing w:after="0"/>
              <w:rPr>
                <w:sz w:val="1"/>
                <w:szCs w:val="1"/>
                <w:color w:val="auto"/>
              </w:rPr>
            </w:pPr>
          </w:p>
        </w:tc>
      </w:tr>
      <w:tr>
        <w:trPr>
          <w:trHeight w:val="237"/>
        </w:trPr>
        <w:tc>
          <w:tcPr>
            <w:tcW w:w="19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9,279</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26,731</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(17,452)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(65)%</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79,924</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167,349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(87,425)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250"/>
        </w:trPr>
        <w:tc>
          <w:tcPr>
            <w:tcW w:w="1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920" w:type="dxa"/>
            <w:vAlign w:val="bottom"/>
          </w:tcPr>
          <w:p>
            <w:pPr>
              <w:ind w:left="20"/>
              <w:spacing w:after="0" w:line="199" w:lineRule="exact"/>
              <w:rPr>
                <w:sz w:val="20"/>
                <w:szCs w:val="20"/>
                <w:color w:val="auto"/>
              </w:rPr>
            </w:pPr>
            <w:r>
              <w:rPr>
                <w:rFonts w:ascii="Arial" w:cs="Arial" w:eastAsia="Arial" w:hAnsi="Arial"/>
                <w:sz w:val="20"/>
                <w:szCs w:val="20"/>
                <w:color w:val="auto"/>
              </w:rPr>
              <w:t>General and</w:t>
            </w: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18,493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11,873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6,620</w:t>
            </w:r>
          </w:p>
        </w:tc>
        <w:tc>
          <w:tcPr>
            <w:tcW w:w="1040" w:type="dxa"/>
            <w:vAlign w:val="bottom"/>
            <w:gridSpan w:val="2"/>
            <w:vMerge w:val="restart"/>
          </w:tcPr>
          <w:p>
            <w:pPr>
              <w:jc w:val="right"/>
              <w:spacing w:after="0"/>
              <w:rPr>
                <w:sz w:val="20"/>
                <w:szCs w:val="20"/>
                <w:color w:val="auto"/>
              </w:rPr>
            </w:pPr>
            <w:r>
              <w:rPr>
                <w:rFonts w:ascii="Arial" w:cs="Arial" w:eastAsia="Arial" w:hAnsi="Arial"/>
                <w:sz w:val="20"/>
                <w:szCs w:val="20"/>
                <w:color w:val="auto"/>
              </w:rPr>
              <w:t>56 %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58,279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34,772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23,507</w:t>
            </w:r>
          </w:p>
        </w:tc>
        <w:tc>
          <w:tcPr>
            <w:tcW w:w="1160" w:type="dxa"/>
            <w:vAlign w:val="bottom"/>
            <w:gridSpan w:val="2"/>
            <w:vMerge w:val="restart"/>
          </w:tcPr>
          <w:p>
            <w:pPr>
              <w:jc w:val="right"/>
              <w:spacing w:after="0"/>
              <w:rPr>
                <w:sz w:val="20"/>
                <w:szCs w:val="20"/>
                <w:color w:val="auto"/>
              </w:rPr>
            </w:pPr>
            <w:r>
              <w:rPr>
                <w:rFonts w:ascii="Arial" w:cs="Arial" w:eastAsia="Arial" w:hAnsi="Arial"/>
                <w:sz w:val="20"/>
                <w:szCs w:val="20"/>
                <w:color w:val="auto"/>
              </w:rPr>
              <w:t>68 %</w:t>
            </w:r>
          </w:p>
        </w:tc>
        <w:tc>
          <w:tcPr>
            <w:tcW w:w="0" w:type="dxa"/>
            <w:vAlign w:val="bottom"/>
          </w:tcPr>
          <w:p>
            <w:pPr>
              <w:spacing w:after="0"/>
              <w:rPr>
                <w:sz w:val="1"/>
                <w:szCs w:val="1"/>
                <w:color w:val="auto"/>
              </w:rPr>
            </w:pPr>
          </w:p>
        </w:tc>
      </w:tr>
      <w:tr>
        <w:trPr>
          <w:trHeight w:val="233"/>
        </w:trPr>
        <w:tc>
          <w:tcPr>
            <w:tcW w:w="1920" w:type="dxa"/>
            <w:vAlign w:val="bottom"/>
          </w:tcPr>
          <w:p>
            <w:pPr>
              <w:ind w:left="20"/>
              <w:spacing w:after="0"/>
              <w:rPr>
                <w:sz w:val="20"/>
                <w:szCs w:val="20"/>
                <w:color w:val="auto"/>
              </w:rPr>
            </w:pPr>
            <w:r>
              <w:rPr>
                <w:rFonts w:ascii="Arial" w:cs="Arial" w:eastAsia="Arial" w:hAnsi="Arial"/>
                <w:sz w:val="20"/>
                <w:szCs w:val="20"/>
                <w:color w:val="auto"/>
              </w:rPr>
              <w:t>administrative</w:t>
            </w:r>
          </w:p>
        </w:tc>
        <w:tc>
          <w:tcPr>
            <w:tcW w:w="1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92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Contingent</w:t>
            </w:r>
          </w:p>
        </w:tc>
        <w:tc>
          <w:tcPr>
            <w:tcW w:w="1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936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13,591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(12,655)</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(93)%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1,071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16,008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(14,937)</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233"/>
        </w:trPr>
        <w:tc>
          <w:tcPr>
            <w:tcW w:w="1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consideration</w:t>
            </w:r>
          </w:p>
        </w:tc>
        <w:tc>
          <w:tcPr>
            <w:tcW w:w="18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920" w:type="dxa"/>
            <w:vAlign w:val="bottom"/>
          </w:tcPr>
          <w:p>
            <w:pPr>
              <w:ind w:left="20"/>
              <w:spacing w:after="0" w:line="199" w:lineRule="exact"/>
              <w:rPr>
                <w:sz w:val="20"/>
                <w:szCs w:val="20"/>
                <w:color w:val="auto"/>
              </w:rPr>
            </w:pPr>
            <w:r>
              <w:rPr>
                <w:rFonts w:ascii="Arial" w:cs="Arial" w:eastAsia="Arial" w:hAnsi="Arial"/>
                <w:sz w:val="20"/>
                <w:szCs w:val="20"/>
                <w:color w:val="auto"/>
              </w:rPr>
              <w:t>Depreciation and</w:t>
            </w: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5,984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6,374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(390)</w:t>
            </w:r>
          </w:p>
        </w:tc>
        <w:tc>
          <w:tcPr>
            <w:tcW w:w="1040" w:type="dxa"/>
            <w:vAlign w:val="bottom"/>
            <w:gridSpan w:val="2"/>
            <w:vMerge w:val="restart"/>
          </w:tcPr>
          <w:p>
            <w:pPr>
              <w:jc w:val="right"/>
              <w:spacing w:after="0"/>
              <w:rPr>
                <w:sz w:val="20"/>
                <w:szCs w:val="20"/>
                <w:color w:val="auto"/>
              </w:rPr>
            </w:pPr>
            <w:r>
              <w:rPr>
                <w:rFonts w:ascii="Arial" w:cs="Arial" w:eastAsia="Arial" w:hAnsi="Arial"/>
                <w:sz w:val="20"/>
                <w:szCs w:val="20"/>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17,949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19,117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(1,168)</w:t>
            </w:r>
          </w:p>
        </w:tc>
        <w:tc>
          <w:tcPr>
            <w:tcW w:w="1160" w:type="dxa"/>
            <w:vAlign w:val="bottom"/>
            <w:gridSpan w:val="2"/>
            <w:vMerge w:val="restart"/>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33"/>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amortization</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920" w:type="dxa"/>
            <w:vAlign w:val="bottom"/>
            <w:shd w:val="clear" w:color="auto" w:fill="CCEEFF"/>
          </w:tcPr>
          <w:p>
            <w:pPr>
              <w:ind w:left="240"/>
              <w:spacing w:after="0" w:line="179" w:lineRule="exact"/>
              <w:rPr>
                <w:sz w:val="20"/>
                <w:szCs w:val="20"/>
                <w:color w:val="auto"/>
              </w:rPr>
            </w:pPr>
            <w:r>
              <w:rPr>
                <w:rFonts w:ascii="Arial" w:cs="Arial" w:eastAsia="Arial" w:hAnsi="Arial"/>
                <w:sz w:val="20"/>
                <w:szCs w:val="20"/>
                <w:color w:val="auto"/>
              </w:rPr>
              <w:t>Total operating</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25,413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31,838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(6,425)</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(20)%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77,299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69,897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7,402</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11 %</w:t>
            </w:r>
          </w:p>
        </w:tc>
        <w:tc>
          <w:tcPr>
            <w:tcW w:w="0" w:type="dxa"/>
            <w:vAlign w:val="bottom"/>
          </w:tcPr>
          <w:p>
            <w:pPr>
              <w:spacing w:after="0"/>
              <w:rPr>
                <w:sz w:val="1"/>
                <w:szCs w:val="1"/>
                <w:color w:val="auto"/>
              </w:rPr>
            </w:pPr>
          </w:p>
        </w:tc>
      </w:tr>
      <w:tr>
        <w:trPr>
          <w:trHeight w:val="233"/>
        </w:trPr>
        <w:tc>
          <w:tcPr>
            <w:tcW w:w="19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expenses</w:t>
            </w: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92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Income (loss) from</w:t>
            </w:r>
          </w:p>
        </w:tc>
        <w:tc>
          <w:tcPr>
            <w:tcW w:w="1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(16,134)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(5,107)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(11,027)</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216 %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2,625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97,452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(94,827)</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(97)%</w:t>
            </w:r>
          </w:p>
        </w:tc>
        <w:tc>
          <w:tcPr>
            <w:tcW w:w="0" w:type="dxa"/>
            <w:vAlign w:val="bottom"/>
          </w:tcPr>
          <w:p>
            <w:pPr>
              <w:spacing w:after="0"/>
              <w:rPr>
                <w:sz w:val="1"/>
                <w:szCs w:val="1"/>
                <w:color w:val="auto"/>
              </w:rPr>
            </w:pPr>
          </w:p>
        </w:tc>
      </w:tr>
      <w:tr>
        <w:trPr>
          <w:trHeight w:val="233"/>
        </w:trPr>
        <w:tc>
          <w:tcPr>
            <w:tcW w:w="1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operations</w:t>
            </w:r>
          </w:p>
        </w:tc>
        <w:tc>
          <w:tcPr>
            <w:tcW w:w="18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expense</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920" w:type="dxa"/>
            <w:vAlign w:val="bottom"/>
          </w:tcPr>
          <w:p>
            <w:pPr>
              <w:ind w:left="20"/>
              <w:spacing w:after="0" w:line="199" w:lineRule="exact"/>
              <w:rPr>
                <w:sz w:val="20"/>
                <w:szCs w:val="20"/>
                <w:color w:val="auto"/>
              </w:rPr>
            </w:pPr>
            <w:r>
              <w:rPr>
                <w:rFonts w:ascii="Arial" w:cs="Arial" w:eastAsia="Arial" w:hAnsi="Arial"/>
                <w:sz w:val="20"/>
                <w:szCs w:val="20"/>
                <w:color w:val="auto"/>
              </w:rPr>
              <w:t>Other income</w:t>
            </w: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(297)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(268)</w:t>
            </w:r>
          </w:p>
        </w:tc>
        <w:tc>
          <w:tcPr>
            <w:tcW w:w="1040" w:type="dxa"/>
            <w:vAlign w:val="bottom"/>
            <w:gridSpan w:val="2"/>
            <w:vMerge w:val="restart"/>
          </w:tcPr>
          <w:p>
            <w:pPr>
              <w:jc w:val="right"/>
              <w:spacing w:after="0"/>
              <w:rPr>
                <w:sz w:val="20"/>
                <w:szCs w:val="20"/>
                <w:color w:val="auto"/>
              </w:rPr>
            </w:pPr>
            <w:r>
              <w:rPr>
                <w:rFonts w:ascii="Arial" w:cs="Arial" w:eastAsia="Arial" w:hAnsi="Arial"/>
                <w:sz w:val="20"/>
                <w:szCs w:val="20"/>
                <w:color w:val="auto"/>
              </w:rPr>
              <w:t>924 %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(497)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(2,163)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1,666</w:t>
            </w:r>
          </w:p>
        </w:tc>
        <w:tc>
          <w:tcPr>
            <w:tcW w:w="1160" w:type="dxa"/>
            <w:vAlign w:val="bottom"/>
            <w:gridSpan w:val="2"/>
            <w:vMerge w:val="restart"/>
          </w:tcPr>
          <w:p>
            <w:pPr>
              <w:jc w:val="right"/>
              <w:spacing w:after="0"/>
              <w:rPr>
                <w:sz w:val="20"/>
                <w:szCs w:val="20"/>
                <w:color w:val="auto"/>
              </w:rPr>
            </w:pPr>
            <w:r>
              <w:rPr>
                <w:rFonts w:ascii="Arial" w:cs="Arial" w:eastAsia="Arial" w:hAnsi="Arial"/>
                <w:sz w:val="20"/>
                <w:szCs w:val="20"/>
                <w:color w:val="auto"/>
              </w:rPr>
              <w:t>(77)%</w:t>
            </w:r>
          </w:p>
        </w:tc>
        <w:tc>
          <w:tcPr>
            <w:tcW w:w="0" w:type="dxa"/>
            <w:vAlign w:val="bottom"/>
          </w:tcPr>
          <w:p>
            <w:pPr>
              <w:spacing w:after="0"/>
              <w:rPr>
                <w:sz w:val="1"/>
                <w:szCs w:val="1"/>
                <w:color w:val="auto"/>
              </w:rPr>
            </w:pPr>
          </w:p>
        </w:tc>
      </w:tr>
      <w:tr>
        <w:trPr>
          <w:trHeight w:val="233"/>
        </w:trPr>
        <w:tc>
          <w:tcPr>
            <w:tcW w:w="1920" w:type="dxa"/>
            <w:vAlign w:val="bottom"/>
          </w:tcPr>
          <w:p>
            <w:pPr>
              <w:ind w:left="20"/>
              <w:spacing w:after="0"/>
              <w:rPr>
                <w:sz w:val="20"/>
                <w:szCs w:val="20"/>
                <w:color w:val="auto"/>
              </w:rPr>
            </w:pPr>
            <w:r>
              <w:rPr>
                <w:rFonts w:ascii="Arial" w:cs="Arial" w:eastAsia="Arial" w:hAnsi="Arial"/>
                <w:sz w:val="20"/>
                <w:szCs w:val="20"/>
                <w:color w:val="auto"/>
              </w:rPr>
              <w:t>(expense), net</w:t>
            </w:r>
          </w:p>
        </w:tc>
        <w:tc>
          <w:tcPr>
            <w:tcW w:w="1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(13,109)</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(673)</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(12,436)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1848 %</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(28,769)</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(8,313)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(20,456)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246 %</w:t>
            </w:r>
          </w:p>
        </w:tc>
        <w:tc>
          <w:tcPr>
            <w:tcW w:w="0" w:type="dxa"/>
            <w:vAlign w:val="bottom"/>
          </w:tcPr>
          <w:p>
            <w:pPr>
              <w:spacing w:after="0"/>
              <w:rPr>
                <w:sz w:val="1"/>
                <w:szCs w:val="1"/>
                <w:color w:val="auto"/>
              </w:rPr>
            </w:pPr>
          </w:p>
        </w:tc>
      </w:tr>
      <w:tr>
        <w:trPr>
          <w:trHeight w:val="179"/>
        </w:trPr>
        <w:tc>
          <w:tcPr>
            <w:tcW w:w="1920" w:type="dxa"/>
            <w:vAlign w:val="bottom"/>
          </w:tcPr>
          <w:p>
            <w:pPr>
              <w:ind w:left="240"/>
              <w:spacing w:after="0" w:line="179" w:lineRule="exact"/>
              <w:rPr>
                <w:sz w:val="20"/>
                <w:szCs w:val="20"/>
                <w:color w:val="auto"/>
              </w:rPr>
            </w:pPr>
            <w:r>
              <w:rPr>
                <w:rFonts w:ascii="Arial" w:cs="Arial" w:eastAsia="Arial" w:hAnsi="Arial"/>
                <w:sz w:val="20"/>
                <w:szCs w:val="20"/>
                <w:color w:val="auto"/>
              </w:rPr>
              <w:t>Total other</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(13,406)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(702)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(12,704)</w:t>
            </w:r>
          </w:p>
        </w:tc>
        <w:tc>
          <w:tcPr>
            <w:tcW w:w="1040" w:type="dxa"/>
            <w:vAlign w:val="bottom"/>
            <w:gridSpan w:val="2"/>
            <w:vMerge w:val="restart"/>
          </w:tcPr>
          <w:p>
            <w:pPr>
              <w:jc w:val="right"/>
              <w:spacing w:after="0"/>
              <w:rPr>
                <w:sz w:val="20"/>
                <w:szCs w:val="20"/>
                <w:color w:val="auto"/>
              </w:rPr>
            </w:pPr>
            <w:r>
              <w:rPr>
                <w:rFonts w:ascii="Arial" w:cs="Arial" w:eastAsia="Arial" w:hAnsi="Arial"/>
                <w:sz w:val="20"/>
                <w:szCs w:val="20"/>
                <w:color w:val="auto"/>
              </w:rPr>
              <w:t>1810 %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(29,266)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(10,476)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(18,790)</w:t>
            </w:r>
          </w:p>
        </w:tc>
        <w:tc>
          <w:tcPr>
            <w:tcW w:w="1160" w:type="dxa"/>
            <w:vAlign w:val="bottom"/>
            <w:gridSpan w:val="2"/>
            <w:vMerge w:val="restart"/>
          </w:tcPr>
          <w:p>
            <w:pPr>
              <w:jc w:val="right"/>
              <w:spacing w:after="0"/>
              <w:rPr>
                <w:sz w:val="20"/>
                <w:szCs w:val="20"/>
                <w:color w:val="auto"/>
              </w:rPr>
            </w:pPr>
            <w:r>
              <w:rPr>
                <w:rFonts w:ascii="Arial" w:cs="Arial" w:eastAsia="Arial" w:hAnsi="Arial"/>
                <w:sz w:val="20"/>
                <w:szCs w:val="20"/>
                <w:color w:val="auto"/>
              </w:rPr>
              <w:t>179 %</w:t>
            </w:r>
          </w:p>
        </w:tc>
        <w:tc>
          <w:tcPr>
            <w:tcW w:w="0" w:type="dxa"/>
            <w:vAlign w:val="bottom"/>
          </w:tcPr>
          <w:p>
            <w:pPr>
              <w:spacing w:after="0"/>
              <w:rPr>
                <w:sz w:val="1"/>
                <w:szCs w:val="1"/>
                <w:color w:val="auto"/>
              </w:rPr>
            </w:pPr>
          </w:p>
        </w:tc>
      </w:tr>
      <w:tr>
        <w:trPr>
          <w:trHeight w:val="233"/>
        </w:trPr>
        <w:tc>
          <w:tcPr>
            <w:tcW w:w="19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expense</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920" w:type="dxa"/>
            <w:vAlign w:val="bottom"/>
            <w:shd w:val="clear" w:color="auto" w:fill="CCEEFF"/>
          </w:tcPr>
          <w:p>
            <w:pPr>
              <w:ind w:left="20"/>
              <w:spacing w:after="0" w:line="179" w:lineRule="exact"/>
              <w:rPr>
                <w:sz w:val="20"/>
                <w:szCs w:val="20"/>
                <w:color w:val="auto"/>
              </w:rPr>
            </w:pPr>
            <w:r>
              <w:rPr>
                <w:rFonts w:ascii="Arial" w:cs="Arial" w:eastAsia="Arial" w:hAnsi="Arial"/>
                <w:sz w:val="20"/>
                <w:szCs w:val="20"/>
                <w:color w:val="auto"/>
              </w:rPr>
              <w:t>Income (loss) before</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(29,540)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(5,809)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(23,731)</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409 %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(26,641)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86,976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(113,617)</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(131)%</w:t>
            </w:r>
          </w:p>
        </w:tc>
        <w:tc>
          <w:tcPr>
            <w:tcW w:w="0" w:type="dxa"/>
            <w:vAlign w:val="bottom"/>
          </w:tcPr>
          <w:p>
            <w:pPr>
              <w:spacing w:after="0"/>
              <w:rPr>
                <w:sz w:val="1"/>
                <w:szCs w:val="1"/>
                <w:color w:val="auto"/>
              </w:rPr>
            </w:pPr>
          </w:p>
        </w:tc>
      </w:tr>
      <w:tr>
        <w:trPr>
          <w:trHeight w:val="233"/>
        </w:trPr>
        <w:tc>
          <w:tcPr>
            <w:tcW w:w="192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tax expense</w:t>
            </w:r>
          </w:p>
        </w:tc>
        <w:tc>
          <w:tcPr>
            <w:tcW w:w="18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920" w:type="dxa"/>
            <w:vAlign w:val="bottom"/>
          </w:tcPr>
          <w:p>
            <w:pPr>
              <w:ind w:left="20"/>
              <w:spacing w:after="0" w:line="199" w:lineRule="exact"/>
              <w:rPr>
                <w:sz w:val="20"/>
                <w:szCs w:val="20"/>
                <w:color w:val="auto"/>
              </w:rPr>
            </w:pPr>
            <w:r>
              <w:rPr>
                <w:rFonts w:ascii="Arial" w:cs="Arial" w:eastAsia="Arial" w:hAnsi="Arial"/>
                <w:sz w:val="20"/>
                <w:szCs w:val="20"/>
                <w:color w:val="auto"/>
              </w:rPr>
              <w:t>Income tax (benefit)</w:t>
            </w: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(3,988)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1,423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(5,411)</w:t>
            </w:r>
          </w:p>
        </w:tc>
        <w:tc>
          <w:tcPr>
            <w:tcW w:w="1040" w:type="dxa"/>
            <w:vAlign w:val="bottom"/>
            <w:gridSpan w:val="2"/>
            <w:vMerge w:val="restart"/>
          </w:tcPr>
          <w:p>
            <w:pPr>
              <w:jc w:val="right"/>
              <w:spacing w:after="0"/>
              <w:rPr>
                <w:sz w:val="20"/>
                <w:szCs w:val="20"/>
                <w:color w:val="auto"/>
              </w:rPr>
            </w:pPr>
            <w:r>
              <w:rPr>
                <w:rFonts w:ascii="Arial" w:cs="Arial" w:eastAsia="Arial" w:hAnsi="Arial"/>
                <w:sz w:val="20"/>
                <w:szCs w:val="20"/>
                <w:color w:val="auto"/>
              </w:rPr>
              <w:t>(380)%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(3,959)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18,131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(22,090)</w:t>
            </w:r>
          </w:p>
        </w:tc>
        <w:tc>
          <w:tcPr>
            <w:tcW w:w="1160" w:type="dxa"/>
            <w:vAlign w:val="bottom"/>
            <w:gridSpan w:val="2"/>
            <w:vMerge w:val="restart"/>
          </w:tcPr>
          <w:p>
            <w:pPr>
              <w:jc w:val="right"/>
              <w:spacing w:after="0"/>
              <w:rPr>
                <w:sz w:val="20"/>
                <w:szCs w:val="20"/>
                <w:color w:val="auto"/>
              </w:rPr>
            </w:pPr>
            <w:r>
              <w:rPr>
                <w:rFonts w:ascii="Arial" w:cs="Arial" w:eastAsia="Arial" w:hAnsi="Arial"/>
                <w:sz w:val="20"/>
                <w:szCs w:val="20"/>
                <w:color w:val="auto"/>
              </w:rPr>
              <w:t>(122)%</w:t>
            </w:r>
          </w:p>
        </w:tc>
        <w:tc>
          <w:tcPr>
            <w:tcW w:w="0" w:type="dxa"/>
            <w:vAlign w:val="bottom"/>
          </w:tcPr>
          <w:p>
            <w:pPr>
              <w:spacing w:after="0"/>
              <w:rPr>
                <w:sz w:val="1"/>
                <w:szCs w:val="1"/>
                <w:color w:val="auto"/>
              </w:rPr>
            </w:pPr>
          </w:p>
        </w:tc>
      </w:tr>
      <w:tr>
        <w:trPr>
          <w:trHeight w:val="233"/>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expense</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920" w:type="dxa"/>
            <w:vAlign w:val="bottom"/>
            <w:shd w:val="clear" w:color="auto" w:fill="CCEEFF"/>
          </w:tcPr>
          <w:p>
            <w:pPr>
              <w:ind w:left="20"/>
              <w:spacing w:after="0" w:line="179" w:lineRule="exact"/>
              <w:rPr>
                <w:sz w:val="20"/>
                <w:szCs w:val="20"/>
                <w:color w:val="auto"/>
              </w:rPr>
            </w:pPr>
            <w:r>
              <w:rPr>
                <w:rFonts w:ascii="Arial" w:cs="Arial" w:eastAsia="Arial" w:hAnsi="Arial"/>
                <w:sz w:val="20"/>
                <w:szCs w:val="20"/>
                <w:color w:val="auto"/>
              </w:rPr>
              <w:t>Net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(25,552)</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(7,232)</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(18,320)</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253 %</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(22,682)</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68,845</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(91,527)</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(133)%</w:t>
            </w:r>
          </w:p>
        </w:tc>
        <w:tc>
          <w:tcPr>
            <w:tcW w:w="0" w:type="dxa"/>
            <w:vAlign w:val="bottom"/>
          </w:tcPr>
          <w:p>
            <w:pPr>
              <w:spacing w:after="0"/>
              <w:rPr>
                <w:sz w:val="1"/>
                <w:szCs w:val="1"/>
                <w:color w:val="auto"/>
              </w:rPr>
            </w:pPr>
          </w:p>
        </w:tc>
      </w:tr>
      <w:tr>
        <w:trPr>
          <w:trHeight w:val="226"/>
        </w:trPr>
        <w:tc>
          <w:tcPr>
            <w:tcW w:w="1920" w:type="dxa"/>
            <w:vAlign w:val="bottom"/>
            <w:tcBorders>
              <w:bottom w:val="single" w:sz="8" w:color="CCEEFF"/>
            </w:tcBorders>
            <w:shd w:val="clear" w:color="auto" w:fill="CCEEFF"/>
          </w:tcPr>
          <w:p>
            <w:pPr>
              <w:ind w:left="20"/>
              <w:spacing w:after="0" w:line="207" w:lineRule="exact"/>
              <w:rPr>
                <w:sz w:val="20"/>
                <w:szCs w:val="20"/>
                <w:color w:val="auto"/>
              </w:rPr>
            </w:pPr>
            <w:r>
              <w:rPr>
                <w:rFonts w:ascii="Arial" w:cs="Arial" w:eastAsia="Arial" w:hAnsi="Arial"/>
                <w:sz w:val="20"/>
                <w:szCs w:val="20"/>
                <w:color w:val="auto"/>
              </w:rPr>
              <w:t>income</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CCEEFF"/>
            </w:tcBorders>
            <w:gridSpan w:val="2"/>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CCEEFF"/>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three months ended September 30, 2021 and 2020</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w:t>
      </w:r>
    </w:p>
    <w:p>
      <w:pPr>
        <w:spacing w:after="0" w:line="33" w:lineRule="exact"/>
        <w:rPr>
          <w:sz w:val="20"/>
          <w:szCs w:val="20"/>
          <w:color w:val="auto"/>
        </w:rPr>
      </w:pPr>
    </w:p>
    <w:p>
      <w:pPr>
        <w:ind w:right="280"/>
        <w:spacing w:after="0" w:line="256" w:lineRule="auto"/>
        <w:rPr>
          <w:sz w:val="20"/>
          <w:szCs w:val="20"/>
          <w:color w:val="auto"/>
        </w:rPr>
      </w:pPr>
      <w:r>
        <w:rPr>
          <w:rFonts w:ascii="Arial" w:cs="Arial" w:eastAsia="Arial" w:hAnsi="Arial"/>
          <w:sz w:val="20"/>
          <w:szCs w:val="20"/>
          <w:color w:val="auto"/>
        </w:rPr>
        <w:t>Revenue increased by $52.6 million, or 38%, for the three months ended September 30, 2021 compared to the three months ended September 30, 2020. Total MW delivered increased by approximately 76% for the three months ended September 30, 2021, driven by increased demand for our product and in addition to a higher proportion of our volume occurring in the first quarter of 2020 versus the second and third quarter of 2020 due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7" w:right="399" w:bottom="1440" w:gutter="0" w:footer="0" w:header="0"/>
        </w:sectPr>
      </w:pPr>
    </w:p>
    <w:bookmarkStart w:id="37" w:name="page38"/>
    <w:bookmarkEnd w:id="37"/>
    <w:p>
      <w:pPr>
        <w:ind w:right="180"/>
        <w:spacing w:after="0" w:line="261" w:lineRule="auto"/>
        <w:rPr>
          <w:sz w:val="20"/>
          <w:szCs w:val="20"/>
          <w:color w:val="auto"/>
        </w:rPr>
      </w:pPr>
      <w:r>
        <w:rPr>
          <w:rFonts w:ascii="Arial" w:cs="Arial" w:eastAsia="Arial" w:hAnsi="Arial"/>
          <w:sz w:val="20"/>
          <w:szCs w:val="20"/>
          <w:color w:val="auto"/>
        </w:rPr>
        <w:t>to certain customers electing to take deliveries ahead of build schedules to take advantage of the federal investment tax credit (“ITC”) rate for solar energy projects before it stepped down in 2020.</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Revenue and Gross Profit</w:t>
      </w:r>
    </w:p>
    <w:p>
      <w:pPr>
        <w:spacing w:after="0" w:line="33"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Cost of revenue increased by $70.1 million, or 62%, for the three months ended September 30, 2021 compared to the three months ended September 30, 2020, primarily due to the increase in the number of MW delivered and increased input costs from commodities and logistics. Gross profit as a percentage of revenue decreased from 19.2% for the three months ended September 30, 2020 to 4.8% for the three months ended September 30, 2021. The decrease in Gross Profit as a percentage of revenue reflects the higher commodity prices and higher logistics costs.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33" w:lineRule="exact"/>
        <w:rPr>
          <w:sz w:val="20"/>
          <w:szCs w:val="20"/>
          <w:color w:val="auto"/>
        </w:rPr>
      </w:pPr>
    </w:p>
    <w:p>
      <w:pPr>
        <w:ind w:right="140"/>
        <w:spacing w:after="0" w:line="265" w:lineRule="auto"/>
        <w:rPr>
          <w:sz w:val="20"/>
          <w:szCs w:val="20"/>
          <w:color w:val="auto"/>
        </w:rPr>
      </w:pPr>
      <w:r>
        <w:rPr>
          <w:rFonts w:ascii="Arial" w:cs="Arial" w:eastAsia="Arial" w:hAnsi="Arial"/>
          <w:sz w:val="20"/>
          <w:szCs w:val="20"/>
          <w:color w:val="auto"/>
        </w:rPr>
        <w:t>General and administrative expenses increased by $6.6 million, or 56%, for the three months ended September 30, 2021 compared to the three months ended September 30, 2020. The increase in expense was primarily due to additional headcount and professional fees for legal and accounting driven by the growth of the company in addition to higher costs associated with being a public company.</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33"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color w:val="auto"/>
        </w:rPr>
        <w:t>Contingent consideration expense decreased by $12.7 million, or 93%, for the three months ended September 30, 2021 compared to the three months ended September 30, 2020. The decrease was primarily due to the prior period having a $13.6 million increase in the fair value of contingent consideration for which there is no increase in the current quarter.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w:t>
      </w:r>
    </w:p>
    <w:p>
      <w:pPr>
        <w:spacing w:after="0" w:line="33" w:lineRule="exact"/>
        <w:rPr>
          <w:sz w:val="20"/>
          <w:szCs w:val="20"/>
          <w:color w:val="auto"/>
        </w:rPr>
      </w:pPr>
    </w:p>
    <w:p>
      <w:pPr>
        <w:ind w:right="240"/>
        <w:spacing w:after="0" w:line="261" w:lineRule="auto"/>
        <w:rPr>
          <w:sz w:val="20"/>
          <w:szCs w:val="20"/>
          <w:color w:val="auto"/>
        </w:rPr>
      </w:pPr>
      <w:r>
        <w:rPr>
          <w:rFonts w:ascii="Arial" w:cs="Arial" w:eastAsia="Arial" w:hAnsi="Arial"/>
          <w:sz w:val="20"/>
          <w:szCs w:val="20"/>
          <w:color w:val="auto"/>
        </w:rPr>
        <w:t>Depreciation expense for the three months ended September 30, 2021 was similar to the three months ended September 30, 2020 as we did not add any significant capital assets.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 of Intangibles</w:t>
      </w:r>
    </w:p>
    <w:p>
      <w:pPr>
        <w:spacing w:after="0" w:line="33" w:lineRule="exact"/>
        <w:rPr>
          <w:sz w:val="20"/>
          <w:szCs w:val="20"/>
          <w:color w:val="auto"/>
        </w:rPr>
      </w:pPr>
    </w:p>
    <w:p>
      <w:pPr>
        <w:ind w:right="180"/>
        <w:spacing w:after="0" w:line="261" w:lineRule="auto"/>
        <w:rPr>
          <w:sz w:val="20"/>
          <w:szCs w:val="20"/>
          <w:color w:val="auto"/>
        </w:rPr>
      </w:pPr>
      <w:r>
        <w:rPr>
          <w:rFonts w:ascii="Arial" w:cs="Arial" w:eastAsia="Arial" w:hAnsi="Arial"/>
          <w:sz w:val="20"/>
          <w:szCs w:val="20"/>
          <w:color w:val="auto"/>
        </w:rPr>
        <w:t>Amortization of intangibles for the three months ended September 30, 2021 was similar to the three months ended September 30, 2020 as we did not add any significant intangible assets.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33"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Interest expenses increased by $12.4 million, or 1848%, for the three months ended September 30, 2021 compared to the three months ended September 30, 2020, primarily due to interest on the higher average balance of our Term Loan Facility and Revolving Facility, which were not outstanding during the three months ended September 30, 2020. As of September 30, 2021, we had $328.0 million outstanding under the Term Loan and no balance outstanding under the Revolving Senior Secured Credit Facility, as it was paid off in August 2021. We expect interest expense to be higher for the remainder of 2021 compared to 2020 as a result of the debt outstanding under the Senior Secured Credit Facility along with the amortization of the related discount and issuance costs.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Benefit</w:t>
      </w:r>
    </w:p>
    <w:p>
      <w:pPr>
        <w:spacing w:after="0" w:line="33"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Income tax benefit increased by $5.4 million, or 380% for the three months ended September 30, 2021 compared to the three months ended September 30, 2020. Our effective tax rate benefit was (13.5)% for the three months ended September 30, 2021 and (24.5)% for the three months ended September 30, 2020. The tax benefit decrease is primarily related to unfavorable non-deductible equity based compensation and the 2021 Follow-on offering costs for the three months ended September 30, 2021 and a favorable tax benefit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1" w:right="379" w:bottom="1440" w:gutter="0" w:footer="0" w:header="0"/>
        </w:sectPr>
      </w:pPr>
    </w:p>
    <w:bookmarkStart w:id="38" w:name="page39"/>
    <w:bookmarkEnd w:id="38"/>
    <w:p>
      <w:pPr>
        <w:spacing w:after="0"/>
        <w:rPr>
          <w:sz w:val="20"/>
          <w:szCs w:val="20"/>
          <w:color w:val="auto"/>
        </w:rPr>
      </w:pPr>
      <w:r>
        <w:rPr>
          <w:rFonts w:ascii="Arial" w:cs="Arial" w:eastAsia="Arial" w:hAnsi="Arial"/>
          <w:sz w:val="20"/>
          <w:szCs w:val="20"/>
          <w:color w:val="auto"/>
        </w:rPr>
        <w:t>related to an NOL carryback as a result of the CARES Act for the three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nine months ended September 30, 2021 and 2020</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w:t>
      </w:r>
    </w:p>
    <w:p>
      <w:pPr>
        <w:spacing w:after="0" w:line="33"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color w:val="auto"/>
        </w:rPr>
        <w:t>Revenue decreased by $51.3 million, or 7%, for the nine months ended September 30, 2021 compared to the nine months ended September 30, 2020, primarily due to lower ASPs driven by higher module wattages. Total MW delivered increased by approximately 14% for the nine months ended September 30, 2021 due to increased demand for our product.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Revenue and Gross Profit</w:t>
      </w:r>
    </w:p>
    <w:p>
      <w:pPr>
        <w:spacing w:after="0" w:line="33"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Cost of revenue increased by $36.1 million, or 7%, for the nine months ended September 30, 2021 compared to the nine months ended September 30, 2020, primarily due to the cost of raw materials and logistics increasing in 2021. Gross profit as a percentage of revenue decreased from 24.2% for the nine months ended September 30, 2020 to 12.5% for the nine months ended September 30, 2021. The decrease in Gross Profit as percentage of revenue reflects the higher commodity and logistics prices.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33"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General and administrative expenses increased by $23.5 million, or 68%, for the nine months ended September 30, 2021 compared to the nine months ended September 30, 2020. The increase in expense was primarily due to a $4.1 million recovery of an account receivable that was previously reserved during the nine months ended September 30, 2020 for which there was no similar credit in the 2021 period. The increase in general and administrative expense also relates to a $11.7 million expense in the nine months ended September 30, 2021 for equity-based compensation with no comparable expense in 2020. Finally, in 2021 we increased our internal headcount leading to higher payroll and related costs, which we partially offset with a reduction in third-party spend related to business process outsourcing, consulting costs, and other professional fees.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33"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Contingent consideration expense decreased by $14.9 million, or 93%, for the nine months ended September 30, 2021 compared to the nine months ended September 30, 2020. The decrease was primarily due to an increase in the fair value of our earn-out obligation in the prior year period for which there was no corresponding increase in the current year period.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w:t>
      </w:r>
    </w:p>
    <w:p>
      <w:pPr>
        <w:spacing w:after="0" w:line="33" w:lineRule="exact"/>
        <w:rPr>
          <w:sz w:val="20"/>
          <w:szCs w:val="20"/>
          <w:color w:val="auto"/>
        </w:rPr>
      </w:pPr>
    </w:p>
    <w:p>
      <w:pPr>
        <w:ind w:right="400"/>
        <w:spacing w:after="0" w:line="261" w:lineRule="auto"/>
        <w:rPr>
          <w:sz w:val="20"/>
          <w:szCs w:val="20"/>
          <w:color w:val="auto"/>
        </w:rPr>
      </w:pPr>
      <w:r>
        <w:rPr>
          <w:rFonts w:ascii="Arial" w:cs="Arial" w:eastAsia="Arial" w:hAnsi="Arial"/>
          <w:sz w:val="20"/>
          <w:szCs w:val="20"/>
          <w:color w:val="auto"/>
        </w:rPr>
        <w:t>Depreciation expense for the nine months ended September 30, 2021 was similar to the nine months ended September 30, 2020 as we did not add any significant capital assets.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 of Intangibles</w:t>
      </w:r>
    </w:p>
    <w:p>
      <w:pPr>
        <w:spacing w:after="0" w:line="33"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Amortization of intangibles for the nine months ended September 30, 2021 was similar to the nine months ended September 30, 2020 as we did not add any significant intangible assets.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33"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Interest expenses increased by $20.5 million, or 246%, for the nine months ended September 30, 2021 compared to the nine months ended September 30, 2020, primarily due to interest on the higher average balance of our Term Loan Facility and Revolving Facility which were not outstanding during nine months ended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1" w:right="379" w:bottom="1440" w:gutter="0" w:footer="0" w:header="0"/>
        </w:sectPr>
      </w:pPr>
    </w:p>
    <w:bookmarkStart w:id="39" w:name="page40"/>
    <w:bookmarkEnd w:id="39"/>
    <w:p>
      <w:pPr>
        <w:ind w:right="100"/>
        <w:spacing w:after="0" w:line="256" w:lineRule="auto"/>
        <w:rPr>
          <w:sz w:val="20"/>
          <w:szCs w:val="20"/>
          <w:color w:val="auto"/>
        </w:rPr>
      </w:pPr>
      <w:r>
        <w:rPr>
          <w:rFonts w:ascii="Arial" w:cs="Arial" w:eastAsia="Arial" w:hAnsi="Arial"/>
          <w:sz w:val="20"/>
          <w:szCs w:val="20"/>
          <w:color w:val="auto"/>
        </w:rPr>
        <w:t>September 30, 2020. As of September 30, 2021, we had $328.0 million outstanding under the Term Loan and no balance outstanding under the Revolving Senior Facility, as it was paid off in August 2021. We expect interest expense to be higher for the remainder of 2021 compared to 2020 as a result of the debt outstanding under the Senior Secured Credit Facility along with the amortization of the related discount and issuance costs.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Benefit</w:t>
      </w:r>
    </w:p>
    <w:p>
      <w:pPr>
        <w:spacing w:after="0" w:line="33"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Income tax expense decreased by $22.1 million, or 122%, for the nine months ended September 30, 2021 compared to the nine months ended September 30, 2020. Our effective tax rate was (14.9%) for nine months ended September 30, 2021 and 20.8% for the nine months ended September 30, 2020. The reduction in the effective tax rate is primarily related to unfavorable non-deductible equity-based compensation and the 2021 Follow-on offering costs for the nine months ended September 30, 2021, a favorable tax benefit related to an NOL carryback as a result of the CARES Act in the nine months ended September 30, 2020, and the level of earnings in each period.</w:t>
      </w:r>
    </w:p>
    <w:p>
      <w:pPr>
        <w:sectPr>
          <w:pgSz w:w="11900" w:h="16838" w:orient="portrait"/>
          <w:cols w:equalWidth="0" w:num="1">
            <w:col w:w="11240"/>
          </w:cols>
          <w:pgMar w:left="320" w:top="1121"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Historical Cash Flow</w:t>
      </w: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compares the historical cash flow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Net cash used in operating activities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Net cash provided by (used in) financing activities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Net change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300" w:type="dxa"/>
            <w:vAlign w:val="bottom"/>
          </w:tcPr>
          <w:p>
            <w:pPr>
              <w:spacing w:after="0"/>
              <w:rPr>
                <w:sz w:val="21"/>
                <w:szCs w:val="21"/>
                <w:color w:val="auto"/>
              </w:rPr>
            </w:pPr>
          </w:p>
        </w:tc>
        <w:tc>
          <w:tcPr>
            <w:tcW w:w="3820" w:type="dxa"/>
            <w:vAlign w:val="bottom"/>
            <w:gridSpan w:val="4"/>
          </w:tcPr>
          <w:p>
            <w:pPr>
              <w:jc w:val="right"/>
              <w:ind w:right="341"/>
              <w:spacing w:after="0"/>
              <w:rPr>
                <w:sz w:val="20"/>
                <w:szCs w:val="20"/>
                <w:color w:val="auto"/>
              </w:rPr>
            </w:pPr>
            <w:r>
              <w:rPr>
                <w:rFonts w:ascii="Arial" w:cs="Arial" w:eastAsia="Arial" w:hAnsi="Arial"/>
                <w:sz w:val="20"/>
                <w:szCs w:val="20"/>
                <w:b w:val="1"/>
                <w:bCs w:val="1"/>
                <w:color w:val="auto"/>
              </w:rPr>
              <w:t>Nine Months Ended September 30,</w:t>
            </w:r>
          </w:p>
        </w:tc>
      </w:tr>
      <w:tr>
        <w:trPr>
          <w:trHeight w:val="257"/>
        </w:trPr>
        <w:tc>
          <w:tcPr>
            <w:tcW w:w="3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2021</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2020</w:t>
            </w:r>
          </w:p>
        </w:tc>
      </w:tr>
      <w:tr>
        <w:trPr>
          <w:trHeight w:val="254"/>
        </w:trPr>
        <w:tc>
          <w:tcPr>
            <w:tcW w:w="300" w:type="dxa"/>
            <w:vAlign w:val="bottom"/>
          </w:tcPr>
          <w:p>
            <w:pPr>
              <w:ind w:left="20"/>
              <w:spacing w:after="0"/>
              <w:rPr>
                <w:sz w:val="20"/>
                <w:szCs w:val="20"/>
                <w:color w:val="auto"/>
              </w:rPr>
            </w:pPr>
            <w:r>
              <w:rPr>
                <w:rFonts w:ascii="Arial" w:cs="Arial" w:eastAsia="Arial" w:hAnsi="Arial"/>
                <w:sz w:val="20"/>
                <w:szCs w:val="20"/>
                <w:color w:val="auto"/>
              </w:rPr>
              <w:t>$</w:t>
            </w:r>
          </w:p>
        </w:tc>
        <w:tc>
          <w:tcPr>
            <w:tcW w:w="1720" w:type="dxa"/>
            <w:vAlign w:val="bottom"/>
          </w:tcPr>
          <w:p>
            <w:pPr>
              <w:jc w:val="right"/>
              <w:spacing w:after="0"/>
              <w:rPr>
                <w:sz w:val="20"/>
                <w:szCs w:val="20"/>
                <w:color w:val="auto"/>
              </w:rPr>
            </w:pPr>
            <w:r>
              <w:rPr>
                <w:rFonts w:ascii="Arial" w:cs="Arial" w:eastAsia="Arial" w:hAnsi="Arial"/>
                <w:sz w:val="20"/>
                <w:szCs w:val="20"/>
                <w:color w:val="auto"/>
              </w:rPr>
              <w:t>(165,837)</w:t>
            </w:r>
          </w:p>
        </w:tc>
        <w:tc>
          <w:tcPr>
            <w:tcW w:w="80" w:type="dxa"/>
            <w:vAlign w:val="bottom"/>
          </w:tcPr>
          <w:p>
            <w:pPr>
              <w:spacing w:after="0"/>
              <w:rPr>
                <w:sz w:val="22"/>
                <w:szCs w:val="22"/>
                <w:color w:val="auto"/>
              </w:rPr>
            </w:pPr>
          </w:p>
        </w:tc>
        <w:tc>
          <w:tcPr>
            <w:tcW w:w="46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(226,500)</w:t>
            </w:r>
          </w:p>
        </w:tc>
      </w:tr>
      <w:tr>
        <w:trPr>
          <w:trHeight w:val="270"/>
        </w:trPr>
        <w:tc>
          <w:tcPr>
            <w:tcW w:w="3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auto"/>
              </w:rPr>
              <w:t>(14,227)</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(610)</w:t>
            </w:r>
          </w:p>
        </w:tc>
      </w:tr>
      <w:tr>
        <w:trPr>
          <w:trHeight w:val="266"/>
        </w:trPr>
        <w:tc>
          <w:tcPr>
            <w:tcW w:w="3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188,014</w:t>
            </w:r>
          </w:p>
        </w:tc>
        <w:tc>
          <w:tcPr>
            <w:tcW w:w="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(107,003)</w:t>
            </w:r>
          </w:p>
        </w:tc>
      </w:tr>
      <w:tr>
        <w:trPr>
          <w:trHeight w:val="259"/>
        </w:trPr>
        <w:tc>
          <w:tcPr>
            <w:tcW w:w="3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7,950</w:t>
            </w:r>
          </w:p>
        </w:tc>
        <w:tc>
          <w:tcPr>
            <w:tcW w:w="80" w:type="dxa"/>
            <w:vAlign w:val="bottom"/>
          </w:tcPr>
          <w:p>
            <w:pPr>
              <w:spacing w:after="0"/>
              <w:rPr>
                <w:sz w:val="22"/>
                <w:szCs w:val="22"/>
                <w:color w:val="auto"/>
              </w:rPr>
            </w:pP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(334,113)</w:t>
            </w:r>
          </w:p>
        </w:tc>
      </w:tr>
      <w:tr>
        <w:trPr>
          <w:trHeight w:val="25"/>
        </w:trPr>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400" w:space="720"/>
            <w:col w:w="4120"/>
          </w:cols>
          <w:pgMar w:left="320" w:top="1121" w:right="339" w:bottom="1440" w:gutter="0" w:footer="0" w:header="0"/>
          <w:type w:val="continuous"/>
        </w:sectPr>
      </w:pPr>
    </w:p>
    <w:p>
      <w:pPr>
        <w:spacing w:after="0" w:line="147"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We have historically financed our operations primarily with the proceeds from capital contributions, operating cash flows and short and long-term borrowings. Our ability to generate positive cash flow from operations is dependent on the strength of our gross margins as well as our ability to quickly turn our working capital. In December 2019, a novel strain of coronavirus, SARS-CoV-2, which causes coronavirus disease 2019, or COVID-19, surfaced in Wuhan, China. Since then, COVID-19 has spread to multiple countries, including the United States. On March 11, 2020, the World Health Organization declared COVID-19 a pandemic. Due to economic conditions our industry has seen rapid commodity price increases and strained logistics, causing us to experience temporary decreased margins and thus decreased cash from operations. We have taken mitigating steps to overcome the economic challenges and, therefore, believe the impact to be temporary, but cannot be certain the timing of when we will achieve better margins. In response to the recent challenging environment, we continuously evaluate our ability to meet our obligations over the next 12 months. We have sufficient liquidity as well as financing options available to fund current and future commitments.</w:t>
      </w:r>
    </w:p>
    <w:p>
      <w:pPr>
        <w:spacing w:after="0" w:line="239" w:lineRule="exact"/>
        <w:rPr>
          <w:sz w:val="20"/>
          <w:szCs w:val="20"/>
          <w:color w:val="auto"/>
        </w:rPr>
      </w:pPr>
    </w:p>
    <w:p>
      <w:pPr>
        <w:ind w:right="280"/>
        <w:spacing w:after="0" w:line="261" w:lineRule="auto"/>
        <w:rPr>
          <w:sz w:val="20"/>
          <w:szCs w:val="20"/>
          <w:color w:val="auto"/>
        </w:rPr>
      </w:pPr>
      <w:r>
        <w:rPr>
          <w:rFonts w:ascii="Arial" w:cs="Arial" w:eastAsia="Arial" w:hAnsi="Arial"/>
          <w:sz w:val="20"/>
          <w:szCs w:val="20"/>
          <w:color w:val="auto"/>
        </w:rPr>
        <w:t>As of September 30, 2021, our cash and cash equivalents were $116.4 million. Net working capital as of September 30, 2021 was $277.1 million.</w:t>
      </w:r>
    </w:p>
    <w:p>
      <w:pPr>
        <w:spacing w:after="0" w:line="229" w:lineRule="exact"/>
        <w:rPr>
          <w:sz w:val="20"/>
          <w:szCs w:val="20"/>
          <w:color w:val="auto"/>
        </w:rPr>
      </w:pPr>
    </w:p>
    <w:p>
      <w:pPr>
        <w:ind w:right="520"/>
        <w:spacing w:after="0" w:line="287" w:lineRule="auto"/>
        <w:rPr>
          <w:sz w:val="20"/>
          <w:szCs w:val="20"/>
          <w:color w:val="auto"/>
        </w:rPr>
      </w:pPr>
      <w:r>
        <w:rPr>
          <w:rFonts w:ascii="Arial" w:cs="Arial" w:eastAsia="Arial" w:hAnsi="Arial"/>
          <w:sz w:val="19"/>
          <w:szCs w:val="19"/>
          <w:color w:val="auto"/>
        </w:rPr>
        <w:t>As of September 30, 2021, we had outstanding borrowings of $328.0 million and a $200.0 million commitment under our Revolving Credit Facility, of which no balance is outstanding and $185.5 million was available to borrow to fund operations.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37" w:lineRule="exact"/>
        <w:rPr>
          <w:sz w:val="20"/>
          <w:szCs w:val="20"/>
          <w:color w:val="auto"/>
        </w:rPr>
      </w:pPr>
    </w:p>
    <w:p>
      <w:pPr>
        <w:ind w:right="140"/>
        <w:spacing w:after="0" w:line="261" w:lineRule="auto"/>
        <w:rPr>
          <w:sz w:val="20"/>
          <w:szCs w:val="20"/>
          <w:color w:val="auto"/>
        </w:rPr>
      </w:pPr>
      <w:r>
        <w:rPr>
          <w:rFonts w:ascii="Arial" w:cs="Arial" w:eastAsia="Arial" w:hAnsi="Arial"/>
          <w:sz w:val="20"/>
          <w:szCs w:val="20"/>
          <w:color w:val="auto"/>
        </w:rPr>
        <w:t>For the nine months ended September 30, 2021, cash used in operating activities was $165.8 million, primarily due a decrease in deferred revenue of $68.5 million for which we made payments to our suppliers for products</w:t>
      </w:r>
    </w:p>
    <w:p>
      <w:pPr>
        <w:sectPr>
          <w:pgSz w:w="11900" w:h="16838" w:orient="portrait"/>
          <w:cols w:equalWidth="0" w:num="1">
            <w:col w:w="11240"/>
          </w:cols>
          <w:pgMar w:left="320" w:top="1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type w:val="continuous"/>
        </w:sectPr>
      </w:pPr>
    </w:p>
    <w:bookmarkStart w:id="40" w:name="page41"/>
    <w:bookmarkEnd w:id="40"/>
    <w:p>
      <w:pPr>
        <w:ind w:right="360"/>
        <w:spacing w:after="0" w:line="261" w:lineRule="auto"/>
        <w:rPr>
          <w:sz w:val="20"/>
          <w:szCs w:val="20"/>
          <w:color w:val="auto"/>
        </w:rPr>
      </w:pPr>
      <w:r>
        <w:rPr>
          <w:rFonts w:ascii="Arial" w:cs="Arial" w:eastAsia="Arial" w:hAnsi="Arial"/>
          <w:sz w:val="20"/>
          <w:szCs w:val="20"/>
          <w:color w:val="auto"/>
        </w:rPr>
        <w:t>that we received the cash for in 2020, but that we did not ship until 2021, an increase in accounts receivable of $58.2 million, and an increase in inventories of $55.4 million.</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color w:val="auto"/>
        </w:rPr>
        <w:t>For the nine months ended September 30, 2020, cash used in operating activities was $226.5 million, due to a decrease in deferred revenue of $284.0 million, a decrease in accounts payable of $82.3 million, offset by a decrease in inventory of $49.0 million.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37" w:lineRule="exact"/>
        <w:rPr>
          <w:sz w:val="20"/>
          <w:szCs w:val="20"/>
          <w:color w:val="auto"/>
        </w:rPr>
      </w:pPr>
    </w:p>
    <w:p>
      <w:pPr>
        <w:ind w:right="140"/>
        <w:spacing w:after="0" w:line="261" w:lineRule="auto"/>
        <w:rPr>
          <w:sz w:val="20"/>
          <w:szCs w:val="20"/>
          <w:color w:val="auto"/>
        </w:rPr>
      </w:pPr>
      <w:r>
        <w:rPr>
          <w:rFonts w:ascii="Arial" w:cs="Arial" w:eastAsia="Arial" w:hAnsi="Arial"/>
          <w:sz w:val="20"/>
          <w:szCs w:val="20"/>
          <w:color w:val="auto"/>
        </w:rPr>
        <w:t>For the nine months ended September 30, 2021, net cash used in investing activities was $14.2 million, primarily attributable to a $12.0 million investment in equity securities.</w:t>
      </w:r>
    </w:p>
    <w:p>
      <w:pPr>
        <w:spacing w:after="0" w:line="229" w:lineRule="exact"/>
        <w:rPr>
          <w:sz w:val="20"/>
          <w:szCs w:val="20"/>
          <w:color w:val="auto"/>
        </w:rPr>
      </w:pPr>
    </w:p>
    <w:p>
      <w:pPr>
        <w:ind w:right="620"/>
        <w:spacing w:after="0" w:line="261" w:lineRule="auto"/>
        <w:rPr>
          <w:sz w:val="20"/>
          <w:szCs w:val="20"/>
          <w:color w:val="auto"/>
        </w:rPr>
      </w:pPr>
      <w:r>
        <w:rPr>
          <w:rFonts w:ascii="Arial" w:cs="Arial" w:eastAsia="Arial" w:hAnsi="Arial"/>
          <w:sz w:val="20"/>
          <w:szCs w:val="20"/>
          <w:color w:val="auto"/>
        </w:rPr>
        <w:t>For the nine months ended September 30, 2020, net cash used in investing activities was $0.6 million, due to additions to property, plant and equipment.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37"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color w:val="auto"/>
        </w:rPr>
        <w:t>For the nine months ended September 30, 2021, net cash provided by financing activities was $188.0 million, of which $345.6 million was proceeds from the Series A that closed on August 11, 2021, $102.0 million was from proceeds under the Revolving Facility, offset by a $132.2 million payment on the Term Loan Facility, a $102.0 million payment of the Revolving Credit Facility, $11.1 million in equity issuance costs associated with the Series A and $6.6 million in fees paid on the Senior Secured Credit Facility and to increase the limit on the Revolving Facility by $50.0 million.</w:t>
      </w:r>
    </w:p>
    <w:p>
      <w:pPr>
        <w:spacing w:after="0" w:line="236"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auto"/>
        </w:rPr>
        <w:t>For the nine months ended September 30, 2020, net cash used by financing activities was $107.0 million, which was attributable to $57.7 million principal payments on the Term Loan Facility and $45.6 million on the related party loan.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 of STI</w:t>
      </w:r>
    </w:p>
    <w:p>
      <w:pPr>
        <w:spacing w:after="0" w:line="280"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On November 11, 2021, the Company entered into a definitive agreement with Amixa Capital, S.L. and Aurica Trackers, S.L. to acquire 100% of the share capital of Soluciones Técnicas Integrales Norland, S.L. and its subsidiaries (collectively, “STI”), for a purchase price of €579.0 million ($662.7 million at current exchange rates), €228.0 million ($264.0 million at current exchange rates), of which will be paid at closing in common stock of the Company with the remaining €351.0 million in cash ($401.7 million at current exchange rates) to be paid in cash. The purchase price will be increased by the amount that is four times the audited Earnings Before Interest, Taxes, Depreciation and Amortization (“EBITDA”) of the target less €47.0 million ($53.5 million at current exchange rates), such that the amount of contingent consideration is subject to a cap of €55.0 million ($63.0 million at current exchange rates).</w:t>
      </w:r>
    </w:p>
    <w:p>
      <w:pPr>
        <w:spacing w:after="0" w:line="240" w:lineRule="exact"/>
        <w:rPr>
          <w:sz w:val="20"/>
          <w:szCs w:val="20"/>
          <w:color w:val="auto"/>
        </w:rPr>
      </w:pPr>
    </w:p>
    <w:p>
      <w:pPr>
        <w:ind w:right="1000"/>
        <w:spacing w:after="0" w:line="261" w:lineRule="auto"/>
        <w:rPr>
          <w:sz w:val="20"/>
          <w:szCs w:val="20"/>
          <w:color w:val="auto"/>
        </w:rPr>
      </w:pPr>
      <w:r>
        <w:rPr>
          <w:rFonts w:ascii="Arial" w:cs="Arial" w:eastAsia="Arial" w:hAnsi="Arial"/>
          <w:sz w:val="20"/>
          <w:szCs w:val="20"/>
          <w:color w:val="auto"/>
        </w:rPr>
        <w:t>The transaction is expected to close in the first quarter of 2022, following receipt of required regulatory approvals and satisfaction of other customary closing conditions.</w:t>
      </w:r>
    </w:p>
    <w:p>
      <w:pPr>
        <w:spacing w:after="0" w:line="215"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In connection with the entry into the Purchase Agreement, the Company entered into a debt commitment letter dated November 10, 2021 pursuant to which third party financial institutions have committed, subject to the satisfaction of standard conditions, to provide the Company with a bridge loan facility in aggregate principal amount of up to $300 million. The Company currently intends to finance the transaction and related fees and expenses with cash on hand, borrowings under its senior credit facilities, proceeds from our option to require the holders of our Series A Redeemable Perpetual Preferred Stock (the “Preferred Shares”) to purchase additional Preferred Shares, and through one or more debt capital markets transactions, subject to market conditions and other factors, and, only to the extent necessary, borrowings under the bridge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i w:val="1"/>
          <w:iCs w:val="1"/>
          <w:color w:val="auto"/>
        </w:rPr>
        <w:t>Series A Redeemable Perpetual Preferred Stock</w:t>
      </w:r>
    </w:p>
    <w:p>
      <w:pPr>
        <w:spacing w:after="0" w:line="267"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On August 10, 2021, the Company entered into a Securities Purchase Agreement (the “Securities Purchase Agreement”) with BCP Helios Aggregator L.P., a Delaware limited partnership (the “Purchaser”), an investment vehicle of funds affiliated with Blackstone Inc. Pursuant to the Securities Purchase Agreement, on August 11, 2021, the Company issued and sold to the Purchaser 350,000 shares of a newly designated Series A Redeemable Perpetual Preferred Stock of the Company, par value $0.001 per share (the “Series A Redeemable Perpetual Preferred Stock”), having the powers, designations, preferences, and other rights set forth in the Certificate of Designations, and 7,098,765 shares of the Company’s common stock, par value $0.001 per share (“Common Stock” and, together with the Series A Redeemable Perpetual Preferred Stock, the “Securities”), for an aggregate purchase price of $346.0 million. Further, pursuant to the Securities Purchase Agreement, and subject to the terms and conditions set forth therein, including the expiry or termination of the waiting period under the Hart-Scott-Rodino Antitrust Improvements Act of 1976, as amended, the Company has agreed to issue and sell to the Purchaser 776,235 shares of Common Stock for an aggregate purchase price of $776</w:t>
      </w:r>
      <w:r>
        <w:rPr>
          <w:rFonts w:ascii="Arial" w:cs="Arial" w:eastAsia="Arial" w:hAnsi="Arial"/>
          <w:sz w:val="17"/>
          <w:szCs w:val="17"/>
          <w:color w:val="auto"/>
        </w:rPr>
        <w:t>.</w:t>
      </w:r>
      <w:r>
        <w:rPr>
          <w:rFonts w:ascii="Arial" w:cs="Arial" w:eastAsia="Arial" w:hAnsi="Arial"/>
          <w:sz w:val="20"/>
          <w:szCs w:val="20"/>
          <w:color w:val="auto"/>
        </w:rPr>
        <w:t xml:space="preserve"> For more information related to the Series A Redeemable Perpetual Preferred Stock, see Note 9, Redeemable Perpetual Preferred, to the accompanying unaudited condensed consolidated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Registration Rights Agreement</w:t>
      </w:r>
    </w:p>
    <w:p>
      <w:pPr>
        <w:ind w:right="100"/>
        <w:spacing w:after="0" w:line="256" w:lineRule="auto"/>
        <w:rPr>
          <w:sz w:val="20"/>
          <w:szCs w:val="20"/>
          <w:color w:val="auto"/>
        </w:rPr>
      </w:pPr>
      <w:r>
        <w:rPr>
          <w:rFonts w:ascii="Arial" w:cs="Arial" w:eastAsia="Arial" w:hAnsi="Arial"/>
          <w:sz w:val="20"/>
          <w:szCs w:val="20"/>
          <w:color w:val="auto"/>
        </w:rPr>
        <w:t>In connection with the Securities Purchase Agreement, on August 10, 2021, the Company and the Purchaser entered into a Registration Rights Agreement pursuant to which, among other things, the Company granted the Purchaser certain registration rights with respect to Common Stock purchased pursuant to the Securities Purchase Agreement, including customary shelf registration rights and “piggyback” registration rights.</w:t>
      </w:r>
    </w:p>
    <w:p>
      <w:pPr>
        <w:spacing w:after="0" w:line="234"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Direct costs associated with the issuance of the Securities were $11.1 million, which along with the $4.4 million discount, have been accounted for as a reduction in the proceeds of the Securities. These net proceeds of $334.6 million have been allocated on the balance sheet to the Preferred Shares of $229.8 million, common stock of $105.4 million and additional paid-in capital of $12.4 million for the committed financing put right. The Company has presented the Preferred Shares in temporary equity and accreting the carrying, amount to its full redemption amount from the date of issuance to the earliest redemption date using the effective interest method. Such accretion totaled $2.7 million for the three and nine months ended September 30, 2021.</w:t>
      </w:r>
    </w:p>
    <w:p>
      <w:pPr>
        <w:spacing w:after="0" w:line="221" w:lineRule="exact"/>
        <w:rPr>
          <w:sz w:val="20"/>
          <w:szCs w:val="20"/>
          <w:color w:val="auto"/>
        </w:rPr>
      </w:pPr>
    </w:p>
    <w:p>
      <w:pPr>
        <w:ind w:right="760"/>
        <w:spacing w:after="0" w:line="261" w:lineRule="auto"/>
        <w:rPr>
          <w:sz w:val="20"/>
          <w:szCs w:val="20"/>
          <w:color w:val="auto"/>
        </w:rPr>
      </w:pPr>
      <w:r>
        <w:rPr>
          <w:rFonts w:ascii="Arial" w:cs="Arial" w:eastAsia="Arial" w:hAnsi="Arial"/>
          <w:sz w:val="20"/>
          <w:szCs w:val="20"/>
          <w:color w:val="auto"/>
        </w:rPr>
        <w:t>The Company accreted the regular cash rate of dividends of 5.75% to the liquidation preference amount of the Series A Preferred, or $2.8 million in dividends, for the three and nine months ended September 30, 2021.</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Obligations</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Senior Secured Credit Facility</w:t>
      </w:r>
    </w:p>
    <w:p>
      <w:pPr>
        <w:spacing w:after="0" w:line="33"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On October 14, 2020, we entered into a senior secured credit facility which was amended on February 23, 2021 by the first amendment and on February 26, 2021 by the second amendment. The senior secured facility consisted originally of (i) a $575.0 million senior secured seven-year term loan facility (the “Term Loan Facility”) and (ii) a $150.0 million senior secured 5-year revolving credit facility (the “Revolving Credit Facility” and, together with the Term Loan Facility, the “Senior Secured Credit Facility”). On February 23, 2021, we entered into the first amendment (“First Amendment”) to our Senior Secured Credit Facility. The First Amendment, in the case of Eurocurrency borrowings, lowers the London interbank offered rate floor to 50 basis points from 100 basis points and lowers the applicable margin to 325 basis points from 400 basis points per annum. This results in our current rate on the Term Loan Facility decreasing to 3.75% down from 5% prior to the First Amendment. On February 26, 2021, we entered into the incremental facility amendment No. 2 (the “Second Amendment”) to the Senior Secured Credit Facility. The Second Amendment increases the $150.0 million Revolving Credit Facility from $150.0 million to $200.0 million. The debt discount and issuance costs are being</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4" w:right="379" w:bottom="1440" w:gutter="0" w:footer="0" w:header="0"/>
        </w:sectPr>
      </w:pPr>
    </w:p>
    <w:bookmarkStart w:id="42" w:name="page43"/>
    <w:bookmarkEnd w:id="42"/>
    <w:p>
      <w:pPr>
        <w:ind w:right="100"/>
        <w:spacing w:after="0" w:line="255" w:lineRule="auto"/>
        <w:rPr>
          <w:sz w:val="20"/>
          <w:szCs w:val="20"/>
          <w:color w:val="auto"/>
        </w:rPr>
      </w:pPr>
      <w:r>
        <w:rPr>
          <w:rFonts w:ascii="Arial" w:cs="Arial" w:eastAsia="Arial" w:hAnsi="Arial"/>
          <w:sz w:val="20"/>
          <w:szCs w:val="20"/>
          <w:color w:val="auto"/>
        </w:rPr>
        <w:t>amortized using the effective interest method and the rate as of September 30, 2021 is 5.01%. The Term Loan Facility has an annual excess cash flow calculation beginning with the year ended December 31, 2021, which could require the Company to make advance principal payments. The balance of the Term Loan Facility is presented in the accompanying consolidated balance sheets net of debt discount and issuance costs of $31.9 million at September 30, 2021. As of September 30, 2021, the Term Loan Facility had a balance of $328.0 million. We are in compliance with all covenants as of September 30, 2021.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Revolving Credit Facility</w:t>
      </w:r>
    </w:p>
    <w:p>
      <w:pPr>
        <w:spacing w:after="0" w:line="20" w:lineRule="exact"/>
        <w:rPr>
          <w:sz w:val="20"/>
          <w:szCs w:val="20"/>
          <w:color w:val="auto"/>
        </w:rPr>
      </w:pPr>
    </w:p>
    <w:p>
      <w:pPr>
        <w:ind w:right="480"/>
        <w:spacing w:after="0" w:line="246" w:lineRule="auto"/>
        <w:rPr>
          <w:sz w:val="20"/>
          <w:szCs w:val="20"/>
          <w:color w:val="auto"/>
        </w:rPr>
      </w:pPr>
      <w:r>
        <w:rPr>
          <w:rFonts w:ascii="Arial" w:cs="Arial" w:eastAsia="Arial" w:hAnsi="Arial"/>
          <w:sz w:val="20"/>
          <w:szCs w:val="20"/>
          <w:color w:val="auto"/>
        </w:rPr>
        <w:t>Under the Revolving Credit Facility, the Company had no balance outstanding, $14.5 million in standby letters of credit and availability of $185.5 million under the Revolving Credit Facility.</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Rate</w:t>
      </w:r>
    </w:p>
    <w:p>
      <w:pPr>
        <w:spacing w:after="0" w:line="33"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The interest rates applicable to the loans under the Term Loan Facility equal, at our option, either, (i) in the case of ABR borrowings, the highest of (a) the Federal Funds Rate as of such day plus 50 basis points, (b) the prime rate and (c) the adjusted LIBOR rate as of such day for a deposit in U.S. dollars with a maturity of one month plus 100 basis points, provided that in no event shall the ABR be less than 150 basis points, plus, in each case, the applicable margin of 300 basis points per annum; or (ii) in the case of Eurocurrency borrowings, the greater of (a) the London interbank offered rate for the relevant currency, adjusted for statutory reserve requirements, and (b) 100 basis points, plus, in each case, the applicable margin of 400 basis points per annum.</w:t>
      </w:r>
    </w:p>
    <w:p>
      <w:pPr>
        <w:spacing w:after="0" w:line="240"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The interest rates applicable to the loans under the Revolving Facility equal, at our option, either, (i) in the case of ABR borrowings, the highest of (a) the Federal Funds Rate as of such day plus 50 basis points, (b) the prime rate and (c) the adjusted LIBOR rate as of such day for a deposit in U.S. dollars with a maturity of one month plus 100 basis points, provided that in no event shall the ABR be less than 150 basis points, plus, in each case, the applicable margin of 225 basis points per annum; or (ii) in the case of Eurocurrency borrowings, the greater of (a) the London interbank offered rate for the relevant currency, adjusted for statutory reserve requirements, and (b) 50 basis points, plus, in each case, the applicable margin of 325 basis points per annum.</w:t>
      </w:r>
    </w:p>
    <w:p>
      <w:pPr>
        <w:spacing w:after="0" w:line="240"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Term Loan Facility amortizes in equal quarterly installments in aggregate annual amounts equal to 1.00% per annum of the original principal amount of the loans funded thereunder. There is no scheduled amortization under the Revolving Credit Facility.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280"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As of September 30, 2021, we posted surety bonds in the total amount of approximately $181.0 million. We are required to provide surety bonds to various parties for certain transactions initiated during the ordinary course of business to guarantee the Company’s performance in accordance with contractual or legal obligations. These off-balance sheet arrangements do not adversely impact our liquidity or capital resources.</w:t>
      </w:r>
    </w:p>
    <w:p>
      <w:pPr>
        <w:spacing w:after="0"/>
        <w:rPr>
          <w:sz w:val="20"/>
          <w:szCs w:val="20"/>
          <w:color w:val="auto"/>
        </w:rPr>
      </w:pPr>
      <w:r>
        <w:rPr>
          <w:rFonts w:ascii="Arial" w:cs="Arial" w:eastAsia="Arial" w:hAnsi="Arial"/>
          <w:sz w:val="20"/>
          <w:szCs w:val="20"/>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Significant Management Estimates</w:t>
      </w:r>
    </w:p>
    <w:p>
      <w:pPr>
        <w:spacing w:after="0" w:line="280"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 preparation of financial statements in conformity with accounting principles generally accepted in the United States of America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Due to the COVID-19 pandemic, there has been and will continue to be uncertainty and disruption in the global economy and financial markets. We have made estimates and assumptions taking into consideration certain possible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1" w:right="379" w:bottom="1440" w:gutter="0" w:footer="0" w:header="0"/>
        </w:sectPr>
      </w:pPr>
    </w:p>
    <w:bookmarkStart w:id="43" w:name="page44"/>
    <w:bookmarkEnd w:id="43"/>
    <w:p>
      <w:pPr>
        <w:ind w:right="340"/>
        <w:spacing w:after="0" w:line="261" w:lineRule="auto"/>
        <w:rPr>
          <w:sz w:val="20"/>
          <w:szCs w:val="20"/>
          <w:color w:val="auto"/>
        </w:rPr>
      </w:pPr>
      <w:r>
        <w:rPr>
          <w:rFonts w:ascii="Arial" w:cs="Arial" w:eastAsia="Arial" w:hAnsi="Arial"/>
          <w:sz w:val="20"/>
          <w:szCs w:val="20"/>
          <w:color w:val="auto"/>
        </w:rPr>
        <w:t>impacts due to COVID-19. These estimates may change, as new events occur, and additional information is obtained. Actual results may differ from those estimates and assumptions.</w:t>
      </w:r>
    </w:p>
    <w:p>
      <w:pPr>
        <w:spacing w:after="0" w:line="229" w:lineRule="exact"/>
        <w:rPr>
          <w:sz w:val="20"/>
          <w:szCs w:val="20"/>
          <w:color w:val="auto"/>
        </w:rPr>
      </w:pPr>
    </w:p>
    <w:p>
      <w:pPr>
        <w:ind w:right="360"/>
        <w:spacing w:after="0" w:line="257" w:lineRule="auto"/>
        <w:rPr>
          <w:sz w:val="20"/>
          <w:szCs w:val="20"/>
          <w:color w:val="auto"/>
        </w:rPr>
      </w:pPr>
      <w:r>
        <w:rPr>
          <w:rFonts w:ascii="Arial" w:cs="Arial" w:eastAsia="Arial" w:hAnsi="Arial"/>
          <w:sz w:val="20"/>
          <w:szCs w:val="20"/>
          <w:color w:val="auto"/>
        </w:rPr>
        <w:t>Refer to the accounting policies under Item 7, “Management’s Discussion and Analysis of Financial Condition and Results of Operations” in our Annual Report on Form 10-K for the fiscal year ended December 31, 2020, where we discuss our more significant judgments and estimates used in the preparation of the condensed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Equity-Based Compensation</w:t>
      </w:r>
    </w:p>
    <w:p>
      <w:pPr>
        <w:spacing w:after="0" w:line="280"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The Company granted restricted stock units (RSU’s) to employees and Performance Stock Units (PSUs) to certain executives. The PSUs contain performance and market conditions. The PSU grants were valued using the Monte Carlo simulation method and the assigned fair value on grant date will be recognized on a straight-line basis over the vesting term of the awards. The probability of the awards meeting the performance related vested conditions is not included in the grant date fair value, but rather will be estimated quarterly and the Company will true-up the expense recognition accordingly upon any probability to vest revision. The Company accounts for forfeitures as they occur.</w:t>
      </w:r>
    </w:p>
    <w:p>
      <w:pPr>
        <w:spacing w:after="0" w:line="235" w:lineRule="exact"/>
        <w:rPr>
          <w:sz w:val="20"/>
          <w:szCs w:val="20"/>
          <w:color w:val="auto"/>
        </w:rPr>
      </w:pPr>
    </w:p>
    <w:p>
      <w:pPr>
        <w:ind w:right="520"/>
        <w:spacing w:after="0" w:line="261" w:lineRule="auto"/>
        <w:rPr>
          <w:sz w:val="20"/>
          <w:szCs w:val="20"/>
          <w:color w:val="auto"/>
        </w:rPr>
      </w:pPr>
      <w:r>
        <w:rPr>
          <w:rFonts w:ascii="Arial" w:cs="Arial" w:eastAsia="Arial" w:hAnsi="Arial"/>
          <w:sz w:val="20"/>
          <w:szCs w:val="20"/>
          <w:color w:val="auto"/>
        </w:rPr>
        <w:t>The Class B Units fully accelerated vesting upon the completion 2021 Follow-on Offering and the Company recognized the remaining unamortized compensation expense of $6.3 million.</w:t>
      </w:r>
    </w:p>
    <w:p>
      <w:pPr>
        <w:spacing w:after="0" w:line="229"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color w:val="auto"/>
        </w:rPr>
        <w:t>As of September 30, 2021, there were no other significant changes in the application of our critical accounting policies or estimation procedures from those presented in our Annual Report on Form 10-K for the fiscal year ended December 31, 2020.</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Temporary Equity</w:t>
      </w:r>
    </w:p>
    <w:p>
      <w:pPr>
        <w:spacing w:after="0" w:line="280"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Equity instruments that are redeemable for cash or other assets are classified as temporary equity if the instrument is redeemable, at the option of the holder, at a fixed or determinable price on a fixed or determinable date or upon the occurrence of an event that is not solely within the control of the issuer. Redeemable equity instruments are initially carried at the fair value of the equity instrument at the issuance date, which is subsequently adjusted at each balance sheet date if the instrument is currently redeemable, or probable of becoming redeemable. The Series A Redeemable Preferred Stock issued in connection with the Securities Purchase Agreement as described in Note 9 is classified as temporary equity in the accompanying condensed consolidated financial statements. The Company elected the accreted redemption value method under which is accretes changes in redemption value over the period from the date of issuance of the Series A Redeemable Preferred Stock to the earliest costless redemption date (the fifth anniversary) using the effective interest method. Such adjustments are included in preferred undeclared dividends and accretion on Series A Redeemable Preferred Stock on the Company’s condensed consolidated statements of changes in equity and treated similarly to a dividend on preferred stock for GAAP purposes.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80" w:lineRule="exact"/>
        <w:rPr>
          <w:sz w:val="20"/>
          <w:szCs w:val="20"/>
          <w:color w:val="auto"/>
        </w:rPr>
      </w:pPr>
    </w:p>
    <w:p>
      <w:pPr>
        <w:ind w:right="140"/>
        <w:spacing w:after="0" w:line="261" w:lineRule="auto"/>
        <w:rPr>
          <w:sz w:val="20"/>
          <w:szCs w:val="20"/>
          <w:color w:val="auto"/>
        </w:rPr>
      </w:pPr>
      <w:r>
        <w:rPr>
          <w:rFonts w:ascii="Arial" w:cs="Arial" w:eastAsia="Arial" w:hAnsi="Arial"/>
          <w:sz w:val="20"/>
          <w:szCs w:val="20"/>
          <w:color w:val="auto"/>
        </w:rPr>
        <w:t>There have been no material changes to the market risk disclosures set forth in Item 7A in our Annual Report on Form 10-K for the fiscal year ended December 31, 2020.</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44" w:name="page45"/>
    <w:bookmarkEnd w:id="44"/>
    <w:p>
      <w:pPr>
        <w:ind w:right="160"/>
        <w:spacing w:after="0" w:line="266" w:lineRule="auto"/>
        <w:rPr>
          <w:sz w:val="20"/>
          <w:szCs w:val="20"/>
          <w:color w:val="auto"/>
        </w:rPr>
      </w:pPr>
      <w:r>
        <w:rPr>
          <w:rFonts w:ascii="Arial" w:cs="Arial" w:eastAsia="Arial" w:hAnsi="Arial"/>
          <w:sz w:val="19"/>
          <w:szCs w:val="19"/>
          <w:color w:val="auto"/>
        </w:rPr>
        <w:t>We maintain “disclosure controls and procedures,” as defined in Rules 13a-15(e) and 15d-15(e) under the Exchange Act, that are designed to ensure that information required to be disclosed in the reports that we file or submit under the Exchange Act is</w:t>
      </w:r>
    </w:p>
    <w:p>
      <w:pPr>
        <w:spacing w:after="0" w:line="2" w:lineRule="exact"/>
        <w:rPr>
          <w:sz w:val="20"/>
          <w:szCs w:val="20"/>
          <w:color w:val="auto"/>
        </w:rPr>
      </w:pPr>
    </w:p>
    <w:p>
      <w:pPr>
        <w:ind w:right="120" w:firstLine="8"/>
        <w:spacing w:after="0" w:line="253" w:lineRule="auto"/>
        <w:tabs>
          <w:tab w:leader="none" w:pos="297" w:val="left"/>
        </w:tabs>
        <w:numPr>
          <w:ilvl w:val="0"/>
          <w:numId w:val="22"/>
        </w:numPr>
        <w:rPr>
          <w:rFonts w:ascii="Arial" w:cs="Arial" w:eastAsia="Arial" w:hAnsi="Arial"/>
          <w:sz w:val="20"/>
          <w:szCs w:val="20"/>
          <w:color w:val="auto"/>
        </w:rPr>
      </w:pPr>
      <w:r>
        <w:rPr>
          <w:rFonts w:ascii="Arial" w:cs="Arial" w:eastAsia="Arial" w:hAnsi="Arial"/>
          <w:sz w:val="20"/>
          <w:szCs w:val="20"/>
          <w:color w:val="auto"/>
        </w:rPr>
        <w:t>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 w:lineRule="exact"/>
        <w:rPr>
          <w:rFonts w:ascii="Arial" w:cs="Arial" w:eastAsia="Arial" w:hAnsi="Arial"/>
          <w:sz w:val="20"/>
          <w:szCs w:val="20"/>
          <w:color w:val="auto"/>
        </w:rPr>
      </w:pPr>
    </w:p>
    <w:p>
      <w:pPr>
        <w:ind w:right="40"/>
        <w:spacing w:after="0" w:line="255" w:lineRule="auto"/>
        <w:rPr>
          <w:rFonts w:ascii="Arial" w:cs="Arial" w:eastAsia="Arial" w:hAnsi="Arial"/>
          <w:sz w:val="20"/>
          <w:szCs w:val="20"/>
          <w:color w:val="auto"/>
        </w:rPr>
      </w:pPr>
      <w:r>
        <w:rPr>
          <w:rFonts w:ascii="Arial" w:cs="Arial" w:eastAsia="Arial" w:hAnsi="Arial"/>
          <w:sz w:val="20"/>
          <w:szCs w:val="20"/>
          <w:color w:val="auto"/>
        </w:rPr>
        <w:t>Our management, with the participation of our Chief Executive Officer and Chief Financial Officer, evaluated the effectiveness of our disclosure controls and procedures as of September 30, 2021. Based upon the evaluation, our Chief Executive Officer and Chief Financial Officer concluded that, as of such date, our disclosure controls and procedures were not effective at a reasonable assurance level as a result of the material weaknesses that existed in our internal control over financial reporting as described in our Annual Report on Form 10-K for the fiscal year ended December 31, 2020. These material weaknesses related to our inventory cut-off, specifically due to lack of sufficient systems.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Remediation Plan for Material Weakness</w:t>
      </w:r>
    </w:p>
    <w:p>
      <w:pPr>
        <w:spacing w:after="0" w:line="267"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We have taken steps intended to remediate the inventory cut-off material weakness through additional procedures and controls in the inventory and financial statement close processes while working to deploy system enhancements designed to improve the accuracy of inventory reporting. These controls include instituting electronic data interchange with key inventory carriers as well as enhancements in the review process over in-transit inventory, especially related to timing of reviews. These system enhancements and activities are designed to enable us to broaden the scope and quality of our internal review of underlying information related to financial reporting and to formalize and enhance our internal control procedures.</w:t>
      </w:r>
    </w:p>
    <w:p>
      <w:pPr>
        <w:spacing w:after="0" w:line="222" w:lineRule="exact"/>
        <w:rPr>
          <w:sz w:val="20"/>
          <w:szCs w:val="20"/>
          <w:color w:val="auto"/>
        </w:rPr>
      </w:pPr>
    </w:p>
    <w:p>
      <w:pPr>
        <w:ind w:right="100"/>
        <w:spacing w:after="0" w:line="229" w:lineRule="auto"/>
        <w:rPr>
          <w:sz w:val="20"/>
          <w:szCs w:val="20"/>
          <w:color w:val="auto"/>
        </w:rPr>
      </w:pPr>
      <w:r>
        <w:rPr>
          <w:rFonts w:ascii="Arial" w:cs="Arial" w:eastAsia="Arial" w:hAnsi="Arial"/>
          <w:sz w:val="20"/>
          <w:szCs w:val="20"/>
          <w:color w:val="auto"/>
        </w:rPr>
        <w:t>We have hired and are actively working with an external consulting firm that specializes in internal controls and internal audit work to assist in the organizational risk assessment, identification of control activities, controls documentation and testing and the enhancement of ongoing monitoring activities related to the internal controls over financial reporting. With the oversight of senior management and our audit committee, we are taking the above steps and plan to take additional measures to remediate the underlying causes of the material weakness.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67" w:lineRule="exact"/>
        <w:rPr>
          <w:sz w:val="20"/>
          <w:szCs w:val="20"/>
          <w:color w:val="auto"/>
        </w:rPr>
      </w:pPr>
    </w:p>
    <w:p>
      <w:pPr>
        <w:ind w:right="160"/>
        <w:spacing w:after="0" w:line="230" w:lineRule="auto"/>
        <w:rPr>
          <w:sz w:val="20"/>
          <w:szCs w:val="20"/>
          <w:color w:val="auto"/>
        </w:rPr>
      </w:pPr>
      <w:r>
        <w:rPr>
          <w:rFonts w:ascii="Arial" w:cs="Arial" w:eastAsia="Arial" w:hAnsi="Arial"/>
          <w:sz w:val="20"/>
          <w:szCs w:val="20"/>
          <w:color w:val="auto"/>
        </w:rPr>
        <w:t>During the quarter ended September 30, 2021, there were control enhancements made to certain access controls. With the exception of these enhancements, including the remediation measures in connection with the material weakness noted above, there were no changes in our internal control over financial reporting during the quarter ended September 30, 2021 that have materially affected, or are reasonably likely to materially affect, our internal control over financial reporting.</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80"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On August 30, 2017, Array filed its first amended complaint in the U.S. District Court for the District of New Mexico against Colin Mitchell, Nextracker, Inc., Flextronics International U.S.A., Inc., Marco Garcia, Daniel S. Shugar, and Scott Graybeal (collectively “Defendants”) asserting (among other claims) trade secret misappropriation, tortious interference with contract, fraud, and breach of contract. Defendant Mitchell was formerly an employee of the Company, but was hired by Nextracker in violation of his non-compete agreement, and he shared with Nextracker and the other defendants certain of Array’s trade secrets and confidential information in violation of his legal obligations. Defendants filed their answer to the amended complaint 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45" w:name="page46"/>
    <w:bookmarkEnd w:id="45"/>
    <w:p>
      <w:pPr>
        <w:ind w:right="180"/>
        <w:spacing w:after="0" w:line="255" w:lineRule="auto"/>
        <w:rPr>
          <w:sz w:val="20"/>
          <w:szCs w:val="20"/>
          <w:color w:val="auto"/>
        </w:rPr>
      </w:pPr>
      <w:r>
        <w:rPr>
          <w:rFonts w:ascii="Arial" w:cs="Arial" w:eastAsia="Arial" w:hAnsi="Arial"/>
          <w:sz w:val="20"/>
          <w:szCs w:val="20"/>
          <w:color w:val="auto"/>
        </w:rPr>
        <w:t>February 5, 2018 denying the allegations, but did not assert any counterclaims against Array. The case has been vigorously litigated through the close of fact discovery and expert discovery. As of September 1, 2020, the court has ruled on a number of motions, including a dismissal of the Defendants’ unclean hands defense and granting partial summary judgment in favor of Array for breach of contract. As of September 30, 2021, the Court has denied in every material aspect the motion for summary judgment filed by the Defendants. The Court denied, without prejudice, a motion for sanctions filed by Array. The Court has set trial for July 18, 2022.</w:t>
      </w:r>
    </w:p>
    <w:p>
      <w:pPr>
        <w:spacing w:after="0" w:line="235"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On May 14, 2021, a putative class action was filed in the Southern District of New York against the Company and certain officers and directors alleging violations of Sections 10(b) and 20(a) of the Securities Exchange Act of 1934, and Rule 10b-5, promulgated thereunder, and Sections 11, 12(a)(2) and 15 of the Securities Exchange Act of 1933 (“Plymouth Action”). The Plymouth Action alleges misstatements and/or omissions in the Company’s registration statements and prospectuses related to the Company’s October 2020 initial public offering, the Company’s December 2020 offering, and the Company’s March 2021 offering during the putative class period of October 14, 2020 through May 11, 2021.</w:t>
      </w:r>
    </w:p>
    <w:p>
      <w:pPr>
        <w:spacing w:after="0" w:line="235"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On June 30, 2021, a second putative class action was filed in the Southern District of New York against the Company and certain officers and directors alleging violations of Sections 10(b) and 20(a) of the Securities Exchange Act of 1934, and Rule 10b-5, promulgated thereunder, and Sections 11 and 15 of the Securities Exchange Act of 1933 (“Keippel Action”). The Keippel Action similarly alleged misstatements and/or omissions in certain of the Company’s registration statements and prospectuses related to the Company’s October 2020 initial public offering, the Company’s December 2020 offering, and the Company’s March 2021 offering during the putative class period of October 14, 2020 through May 11, 2021. On July 6, 2021, the Court entered an order that the Keippel Action was in all material respects substantially similar to the Plymouth Action, that both actions arise out of the same or similar operative facts, and that the parties are substantially the same parties. The Court accordingly consolidated the Keippel Action with the Plymouth Action for all pretrial purposes and ordered all filings to be made in the Plymouth Action.</w:t>
      </w:r>
    </w:p>
    <w:p>
      <w:pPr>
        <w:spacing w:after="0" w:line="239"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On July 16, 2021, a verified derivative complaint was filed against certain officers and directors of the Company (“First Derivative Action”). The complaint alleges: (1) violations of Section 14(a) of the Securities Exchange Act of 1934 for misleading proxy statements, (2) breach of fiduciary duty, (3) unjust enrichment, (4) abuse of control, (5) gross mismanagement, (6) corporate waste, (7) aiding and abetting breach of fiduciary duty, and (8) contribution under sections 10(b) and 21D of the Securities Exchange Act of 1934.</w:t>
      </w:r>
    </w:p>
    <w:p>
      <w:pPr>
        <w:spacing w:after="0" w:line="236"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On July 30, 2021, a second and related verified derivative complaint was filed against certain officers and directors of the Company (“Second Derivative Action”). The complaint alleges: (1) violations of Section 14(a) of the Securities Exchange Act of 1934 for causing the issuance of a false/misleading proxy statement, (2) breach of fiduciary duty, and (3) aiding and abetting breaches of fiduciary duty. On August 24, 2021, the Second Derivative Action was consolidated with the First Derivative Action, the Court appointed co-lead counsel, and the case was temporarily stayed pending the entry of an order on all motions to dismiss directed at the pleadings filed in the Plymouth Action. The stay shall remain in effect until the later of (a) the entry of an order on any motions to dismiss the Plymouth Action or, (b) to the extent the complaint in the Plymouth Action is amended, the entry of an order on any motions to dismiss any such amended complaints in the Plymouth Action.</w:t>
      </w:r>
    </w:p>
    <w:p>
      <w:pPr>
        <w:spacing w:after="0" w:line="226"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On September 21, 2021, the Court appointed a group comprised of institutional investors Plymouth County Retirement Association and Carpenters Pension Trust Fund for Northern California as lead plaintiff in the Plymouth Action. The deadline for the lead plaintiff to file an amended complaint in the Plymouth action is November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46" w:name="page47"/>
    <w:bookmarkEnd w:id="46"/>
    <w:p>
      <w:pPr>
        <w:ind w:right="100"/>
        <w:spacing w:after="0" w:line="255" w:lineRule="auto"/>
        <w:rPr>
          <w:sz w:val="20"/>
          <w:szCs w:val="20"/>
          <w:color w:val="auto"/>
        </w:rPr>
      </w:pPr>
      <w:r>
        <w:rPr>
          <w:rFonts w:ascii="Arial" w:cs="Arial" w:eastAsia="Arial" w:hAnsi="Arial"/>
          <w:sz w:val="20"/>
          <w:szCs w:val="20"/>
          <w:color w:val="auto"/>
        </w:rPr>
        <w:t>From time to time, we may be involved in litigation relating to claims arising out of our operations and businesses that cover a wide range of matters, including, among others, intellectual property matters, contract and employment claims, personal injury claims, product liability claims and warranty claims. Currently, there are no claims or proceedings against us that we believe will have a material adverse effect on our business, financial condition, results of operations or cash flows. However, the results of any current or future litigation cannot be predicted with certainty and, regardless of the outcome, we may incur significant costs and experience a diversion of management resources as a result of litigation.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80" w:lineRule="exact"/>
        <w:rPr>
          <w:sz w:val="20"/>
          <w:szCs w:val="20"/>
          <w:color w:val="auto"/>
        </w:rPr>
      </w:pPr>
    </w:p>
    <w:p>
      <w:pPr>
        <w:ind w:right="20"/>
        <w:spacing w:after="0" w:line="242" w:lineRule="exact"/>
        <w:rPr>
          <w:sz w:val="20"/>
          <w:szCs w:val="20"/>
          <w:color w:val="auto"/>
        </w:rPr>
      </w:pPr>
      <w:r>
        <w:rPr>
          <w:rFonts w:ascii="Arial" w:cs="Arial" w:eastAsia="Arial" w:hAnsi="Arial"/>
          <w:sz w:val="20"/>
          <w:szCs w:val="20"/>
          <w:color w:val="auto"/>
        </w:rPr>
        <w:t>Except to the extent additional factual information disclosed elsewhere in this Quarterly Report on Form 10-Q relates to such risk factors (including, without limitation, the matters discussed in Part I, Item 2, “Management’s Discussion and Analysis of Financial Condition and Results of Operations”) there were no material changes to the risk factors disclosed in Part I, Item 1A, in our Annual Report on Form 10</w:t>
      </w:r>
      <w:r>
        <w:rPr>
          <w:rFonts w:ascii="MS PGothic" w:cs="MS PGothic" w:eastAsia="MS PGothic" w:hAnsi="MS PGothic"/>
          <w:sz w:val="20"/>
          <w:szCs w:val="20"/>
          <w:color w:val="auto"/>
        </w:rPr>
        <w:t>‑</w:t>
      </w:r>
      <w:r>
        <w:rPr>
          <w:rFonts w:ascii="Arial" w:cs="Arial" w:eastAsia="Arial" w:hAnsi="Arial"/>
          <w:sz w:val="20"/>
          <w:szCs w:val="20"/>
          <w:color w:val="auto"/>
        </w:rPr>
        <w:t>K for the fiscal year ended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37" w:lineRule="exact"/>
        <w:rPr>
          <w:sz w:val="20"/>
          <w:szCs w:val="20"/>
          <w:color w:val="auto"/>
        </w:rPr>
      </w:pPr>
    </w:p>
    <w:p>
      <w:pPr>
        <w:ind w:right="260"/>
        <w:spacing w:after="0" w:line="261" w:lineRule="auto"/>
        <w:rPr>
          <w:sz w:val="20"/>
          <w:szCs w:val="20"/>
          <w:color w:val="auto"/>
        </w:rPr>
      </w:pPr>
      <w:r>
        <w:rPr>
          <w:rFonts w:ascii="Arial" w:cs="Arial" w:eastAsia="Arial" w:hAnsi="Arial"/>
          <w:sz w:val="20"/>
          <w:szCs w:val="20"/>
          <w:color w:val="auto"/>
        </w:rPr>
        <w:t>Information regarding our unregistered sales of equity securities can found in Note 9, Redeemable Perpetual Preferred, to the accompanying unaudited condensed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20" w:type="dxa"/>
            <w:vAlign w:val="bottom"/>
            <w:gridSpan w:val="2"/>
          </w:tcPr>
          <w:p>
            <w:pPr>
              <w:spacing w:after="0"/>
              <w:rPr>
                <w:sz w:val="20"/>
                <w:szCs w:val="20"/>
                <w:color w:val="auto"/>
              </w:rPr>
            </w:pPr>
            <w:r>
              <w:rPr>
                <w:rFonts w:ascii="Arial" w:cs="Arial" w:eastAsia="Arial" w:hAnsi="Arial"/>
                <w:sz w:val="20"/>
                <w:szCs w:val="20"/>
                <w:color w:val="auto"/>
              </w:rPr>
              <w:t>None.</w:t>
            </w:r>
          </w:p>
        </w:tc>
        <w:tc>
          <w:tcPr>
            <w:tcW w:w="1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6"/>
        </w:trPr>
        <w:tc>
          <w:tcPr>
            <w:tcW w:w="1920" w:type="dxa"/>
            <w:vAlign w:val="bottom"/>
            <w:gridSpan w:val="2"/>
          </w:tcPr>
          <w:p>
            <w:pPr>
              <w:spacing w:after="0"/>
              <w:rPr>
                <w:sz w:val="20"/>
                <w:szCs w:val="20"/>
                <w:color w:val="auto"/>
              </w:rPr>
            </w:pPr>
            <w:r>
              <w:rPr>
                <w:rFonts w:ascii="Arial" w:cs="Arial" w:eastAsia="Arial" w:hAnsi="Arial"/>
                <w:sz w:val="20"/>
                <w:szCs w:val="20"/>
                <w:b w:val="1"/>
                <w:bCs w:val="1"/>
                <w:color w:val="auto"/>
              </w:rPr>
              <w:t>Item 6. Exhibits</w:t>
            </w:r>
          </w:p>
        </w:tc>
        <w:tc>
          <w:tcPr>
            <w:tcW w:w="1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09"/>
        </w:trPr>
        <w:tc>
          <w:tcPr>
            <w:tcW w:w="1540" w:type="dxa"/>
            <w:vAlign w:val="bottom"/>
            <w:tcBorders>
              <w:bottom w:val="single" w:sz="8" w:color="auto"/>
            </w:tcBorders>
          </w:tcPr>
          <w:p>
            <w:pPr>
              <w:ind w:left="400"/>
              <w:spacing w:after="0"/>
              <w:rPr>
                <w:sz w:val="20"/>
                <w:szCs w:val="20"/>
                <w:color w:val="auto"/>
              </w:rPr>
            </w:pPr>
            <w:r>
              <w:rPr>
                <w:rFonts w:ascii="Arial" w:cs="Arial" w:eastAsia="Arial" w:hAnsi="Arial"/>
                <w:sz w:val="20"/>
                <w:szCs w:val="20"/>
                <w:b w:val="1"/>
                <w:bCs w:val="1"/>
                <w:color w:val="auto"/>
              </w:rPr>
              <w:t>Number</w:t>
            </w:r>
          </w:p>
        </w:tc>
        <w:tc>
          <w:tcPr>
            <w:tcW w:w="380" w:type="dxa"/>
            <w:vAlign w:val="bottom"/>
            <w:tcBorders>
              <w:bottom w:val="single" w:sz="8" w:color="CCEEFF"/>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5"/>
          </w:tcPr>
          <w:p>
            <w:pPr>
              <w:ind w:left="460"/>
              <w:spacing w:after="0"/>
              <w:rPr>
                <w:sz w:val="20"/>
                <w:szCs w:val="20"/>
                <w:color w:val="auto"/>
              </w:rPr>
            </w:pPr>
            <w:r>
              <w:rPr>
                <w:rFonts w:ascii="Arial" w:cs="Arial" w:eastAsia="Arial" w:hAnsi="Arial"/>
                <w:sz w:val="20"/>
                <w:szCs w:val="20"/>
                <w:b w:val="1"/>
                <w:bCs w:val="1"/>
                <w:color w:val="auto"/>
              </w:rPr>
              <w:t>Exhibit Description</w:t>
            </w:r>
          </w:p>
        </w:tc>
        <w:tc>
          <w:tcPr>
            <w:tcW w:w="8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Form</w:t>
            </w:r>
          </w:p>
        </w:tc>
        <w:tc>
          <w:tcPr>
            <w:tcW w:w="8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460"/>
              <w:spacing w:after="0"/>
              <w:rPr>
                <w:sz w:val="20"/>
                <w:szCs w:val="20"/>
                <w:color w:val="auto"/>
              </w:rPr>
            </w:pPr>
            <w:r>
              <w:rPr>
                <w:rFonts w:ascii="Arial" w:cs="Arial" w:eastAsia="Arial" w:hAnsi="Arial"/>
                <w:sz w:val="20"/>
                <w:szCs w:val="20"/>
                <w:b w:val="1"/>
                <w:bCs w:val="1"/>
                <w:color w:val="auto"/>
              </w:rPr>
              <w:t>Date</w:t>
            </w:r>
          </w:p>
        </w:tc>
        <w:tc>
          <w:tcPr>
            <w:tcW w:w="8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20"/>
                <w:szCs w:val="20"/>
                <w:b w:val="1"/>
                <w:bCs w:val="1"/>
                <w:color w:val="auto"/>
              </w:rPr>
              <w:t>No.</w:t>
            </w:r>
          </w:p>
        </w:tc>
      </w:tr>
      <w:tr>
        <w:trPr>
          <w:trHeight w:val="196"/>
        </w:trPr>
        <w:tc>
          <w:tcPr>
            <w:tcW w:w="1540" w:type="dxa"/>
            <w:vAlign w:val="bottom"/>
            <w:shd w:val="clear" w:color="auto" w:fill="CCEEFF"/>
          </w:tcPr>
          <w:p>
            <w:pPr>
              <w:jc w:val="center"/>
              <w:spacing w:after="0" w:line="196" w:lineRule="exact"/>
              <w:rPr>
                <w:sz w:val="20"/>
                <w:szCs w:val="20"/>
                <w:color w:val="auto"/>
              </w:rPr>
            </w:pPr>
            <w:r>
              <w:rPr>
                <w:rFonts w:ascii="Arial" w:cs="Arial" w:eastAsia="Arial" w:hAnsi="Arial"/>
                <w:sz w:val="20"/>
                <w:szCs w:val="20"/>
                <w:color w:val="auto"/>
              </w:rPr>
              <w:t>3.1</w:t>
            </w:r>
          </w:p>
        </w:tc>
        <w:tc>
          <w:tcPr>
            <w:tcW w:w="380" w:type="dxa"/>
            <w:vAlign w:val="bottom"/>
            <w:shd w:val="clear" w:color="auto" w:fill="CCEEFF"/>
          </w:tcPr>
          <w:p>
            <w:pPr>
              <w:spacing w:after="0"/>
              <w:rPr>
                <w:sz w:val="17"/>
                <w:szCs w:val="17"/>
                <w:color w:val="auto"/>
              </w:rPr>
            </w:pPr>
          </w:p>
        </w:tc>
        <w:tc>
          <w:tcPr>
            <w:tcW w:w="5880" w:type="dxa"/>
            <w:vAlign w:val="bottom"/>
            <w:gridSpan w:val="7"/>
            <w:shd w:val="clear" w:color="auto" w:fill="CCEEFF"/>
          </w:tcPr>
          <w:p>
            <w:pPr>
              <w:spacing w:after="0" w:line="196" w:lineRule="exact"/>
              <w:rPr>
                <w:rFonts w:ascii="Arial" w:cs="Arial" w:eastAsia="Arial" w:hAnsi="Arial"/>
                <w:sz w:val="20"/>
                <w:szCs w:val="20"/>
                <w:color w:val="0000FF"/>
              </w:rPr>
            </w:pPr>
            <w:hyperlink r:id="rId70">
              <w:r>
                <w:rPr>
                  <w:rFonts w:ascii="Arial" w:cs="Arial" w:eastAsia="Arial" w:hAnsi="Arial"/>
                  <w:sz w:val="20"/>
                  <w:szCs w:val="20"/>
                  <w:color w:val="0000FF"/>
                </w:rPr>
                <w:t>Amended and Restated Certificate of Incorporation of Array</w:t>
              </w:r>
            </w:hyperlink>
          </w:p>
        </w:tc>
        <w:tc>
          <w:tcPr>
            <w:tcW w:w="940" w:type="dxa"/>
            <w:vAlign w:val="bottom"/>
            <w:gridSpan w:val="2"/>
            <w:shd w:val="clear" w:color="auto" w:fill="CCEEFF"/>
          </w:tcPr>
          <w:p>
            <w:pPr>
              <w:jc w:val="center"/>
              <w:ind w:right="80"/>
              <w:spacing w:after="0" w:line="196" w:lineRule="exact"/>
              <w:rPr>
                <w:sz w:val="20"/>
                <w:szCs w:val="20"/>
                <w:color w:val="auto"/>
              </w:rPr>
            </w:pPr>
            <w:r>
              <w:rPr>
                <w:rFonts w:ascii="Arial" w:cs="Arial" w:eastAsia="Arial" w:hAnsi="Arial"/>
                <w:sz w:val="20"/>
                <w:szCs w:val="20"/>
                <w:color w:val="auto"/>
                <w:w w:val="96"/>
              </w:rPr>
              <w:t>8-K</w:t>
            </w:r>
          </w:p>
        </w:tc>
        <w:tc>
          <w:tcPr>
            <w:tcW w:w="1360" w:type="dxa"/>
            <w:vAlign w:val="bottom"/>
            <w:shd w:val="clear" w:color="auto" w:fill="CCEEFF"/>
          </w:tcPr>
          <w:p>
            <w:pPr>
              <w:jc w:val="center"/>
              <w:spacing w:after="0" w:line="196" w:lineRule="exact"/>
              <w:rPr>
                <w:sz w:val="20"/>
                <w:szCs w:val="20"/>
                <w:color w:val="auto"/>
              </w:rPr>
            </w:pPr>
            <w:r>
              <w:rPr>
                <w:rFonts w:ascii="Arial" w:cs="Arial" w:eastAsia="Arial" w:hAnsi="Arial"/>
                <w:sz w:val="20"/>
                <w:szCs w:val="20"/>
                <w:color w:val="auto"/>
                <w:w w:val="99"/>
              </w:rPr>
              <w:t>10/19/2020</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196" w:lineRule="exact"/>
              <w:rPr>
                <w:sz w:val="20"/>
                <w:szCs w:val="20"/>
                <w:color w:val="auto"/>
              </w:rPr>
            </w:pPr>
            <w:r>
              <w:rPr>
                <w:rFonts w:ascii="Arial" w:cs="Arial" w:eastAsia="Arial" w:hAnsi="Arial"/>
                <w:sz w:val="20"/>
                <w:szCs w:val="20"/>
                <w:color w:val="auto"/>
              </w:rPr>
              <w:t>3.1</w:t>
            </w: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220" w:type="dxa"/>
            <w:vAlign w:val="bottom"/>
            <w:tcBorders>
              <w:top w:val="single" w:sz="8" w:color="0000FF"/>
            </w:tcBorders>
            <w:gridSpan w:val="3"/>
            <w:shd w:val="clear" w:color="auto" w:fill="CCEEFF"/>
          </w:tcPr>
          <w:p>
            <w:pPr>
              <w:spacing w:after="0" w:line="169" w:lineRule="exact"/>
              <w:rPr>
                <w:rFonts w:ascii="Arial" w:cs="Arial" w:eastAsia="Arial" w:hAnsi="Arial"/>
                <w:sz w:val="19"/>
                <w:szCs w:val="19"/>
                <w:color w:val="0000FF"/>
              </w:rPr>
            </w:pPr>
            <w:hyperlink r:id="rId70">
              <w:r>
                <w:rPr>
                  <w:rFonts w:ascii="Arial" w:cs="Arial" w:eastAsia="Arial" w:hAnsi="Arial"/>
                  <w:sz w:val="19"/>
                  <w:szCs w:val="19"/>
                  <w:color w:val="0000FF"/>
                </w:rPr>
                <w:t>Technologies, Inc., dated October 19, 2020</w:t>
              </w:r>
            </w:hyperlink>
          </w:p>
        </w:tc>
        <w:tc>
          <w:tcPr>
            <w:tcW w:w="4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left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2"/>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63"/>
        </w:trPr>
        <w:tc>
          <w:tcPr>
            <w:tcW w:w="15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0000FF"/>
            </w:tcBorders>
            <w:shd w:val="clear" w:color="auto" w:fill="CCEEFF"/>
          </w:tcPr>
          <w:p>
            <w:pPr>
              <w:spacing w:after="0"/>
              <w:rPr>
                <w:sz w:val="22"/>
                <w:szCs w:val="22"/>
                <w:color w:val="auto"/>
              </w:rPr>
            </w:pPr>
          </w:p>
        </w:tc>
        <w:tc>
          <w:tcPr>
            <w:tcW w:w="2240" w:type="dxa"/>
            <w:vAlign w:val="bottom"/>
            <w:tcBorders>
              <w:top w:val="single" w:sz="8" w:color="0000FF"/>
            </w:tcBorders>
            <w:shd w:val="clear" w:color="auto" w:fill="CCEEFF"/>
          </w:tcPr>
          <w:p>
            <w:pPr>
              <w:spacing w:after="0"/>
              <w:rPr>
                <w:sz w:val="22"/>
                <w:szCs w:val="22"/>
                <w:color w:val="auto"/>
              </w:rPr>
            </w:pPr>
          </w:p>
        </w:tc>
        <w:tc>
          <w:tcPr>
            <w:tcW w:w="144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left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3.2</w:t>
            </w:r>
          </w:p>
        </w:tc>
        <w:tc>
          <w:tcPr>
            <w:tcW w:w="380" w:type="dxa"/>
            <w:vAlign w:val="bottom"/>
          </w:tcPr>
          <w:p>
            <w:pPr>
              <w:spacing w:after="0"/>
              <w:rPr>
                <w:sz w:val="17"/>
                <w:szCs w:val="17"/>
                <w:color w:val="auto"/>
              </w:rPr>
            </w:pPr>
          </w:p>
        </w:tc>
        <w:tc>
          <w:tcPr>
            <w:tcW w:w="5880" w:type="dxa"/>
            <w:vAlign w:val="bottom"/>
            <w:gridSpan w:val="7"/>
          </w:tcPr>
          <w:p>
            <w:pPr>
              <w:spacing w:after="0" w:line="203" w:lineRule="exact"/>
              <w:rPr>
                <w:rFonts w:ascii="Arial" w:cs="Arial" w:eastAsia="Arial" w:hAnsi="Arial"/>
                <w:sz w:val="20"/>
                <w:szCs w:val="20"/>
                <w:color w:val="0000FF"/>
              </w:rPr>
            </w:pPr>
            <w:hyperlink r:id="rId71">
              <w:r>
                <w:rPr>
                  <w:rFonts w:ascii="Arial" w:cs="Arial" w:eastAsia="Arial" w:hAnsi="Arial"/>
                  <w:sz w:val="20"/>
                  <w:szCs w:val="20"/>
                  <w:color w:val="0000FF"/>
                </w:rPr>
                <w:t>Amended and Restated Bylaws of Array Technologies, Inc., dated</w:t>
              </w:r>
            </w:hyperlink>
          </w:p>
        </w:tc>
        <w:tc>
          <w:tcPr>
            <w:tcW w:w="94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Arial" w:cs="Arial" w:eastAsia="Arial" w:hAnsi="Arial"/>
                <w:sz w:val="20"/>
                <w:szCs w:val="20"/>
                <w:color w:val="auto"/>
              </w:rPr>
              <w:t>3.2</w:t>
            </w: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760" w:type="dxa"/>
            <w:vAlign w:val="bottom"/>
            <w:tcBorders>
              <w:top w:val="single" w:sz="8" w:color="0000FF"/>
            </w:tcBorders>
            <w:gridSpan w:val="5"/>
          </w:tcPr>
          <w:p>
            <w:pPr>
              <w:spacing w:after="0" w:line="169" w:lineRule="exact"/>
              <w:rPr>
                <w:rFonts w:ascii="Arial" w:cs="Arial" w:eastAsia="Arial" w:hAnsi="Arial"/>
                <w:sz w:val="19"/>
                <w:szCs w:val="19"/>
                <w:color w:val="0000FF"/>
              </w:rPr>
            </w:pPr>
            <w:hyperlink r:id="rId71">
              <w:r>
                <w:rPr>
                  <w:rFonts w:ascii="Arial" w:cs="Arial" w:eastAsia="Arial" w:hAnsi="Arial"/>
                  <w:sz w:val="19"/>
                  <w:szCs w:val="19"/>
                  <w:color w:val="0000FF"/>
                </w:rPr>
                <w:t>October 19, 2020</w:t>
              </w:r>
            </w:hyperlink>
          </w:p>
        </w:tc>
        <w:tc>
          <w:tcPr>
            <w:tcW w:w="12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64"/>
        </w:trPr>
        <w:tc>
          <w:tcPr>
            <w:tcW w:w="1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Borders>
              <w:top w:val="single" w:sz="8" w:color="0000FF"/>
            </w:tcBorders>
          </w:tcPr>
          <w:p>
            <w:pPr>
              <w:spacing w:after="0"/>
              <w:rPr>
                <w:sz w:val="22"/>
                <w:szCs w:val="22"/>
                <w:color w:val="auto"/>
              </w:rPr>
            </w:pPr>
          </w:p>
        </w:tc>
        <w:tc>
          <w:tcPr>
            <w:tcW w:w="2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154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rPr>
              <w:t>3.3</w:t>
            </w:r>
          </w:p>
        </w:tc>
        <w:tc>
          <w:tcPr>
            <w:tcW w:w="380" w:type="dxa"/>
            <w:vAlign w:val="bottom"/>
            <w:shd w:val="clear" w:color="auto" w:fill="CCEEFF"/>
          </w:tcPr>
          <w:p>
            <w:pPr>
              <w:spacing w:after="0"/>
              <w:rPr>
                <w:sz w:val="18"/>
                <w:szCs w:val="18"/>
                <w:color w:val="auto"/>
              </w:rPr>
            </w:pPr>
          </w:p>
        </w:tc>
        <w:tc>
          <w:tcPr>
            <w:tcW w:w="5880" w:type="dxa"/>
            <w:vAlign w:val="bottom"/>
            <w:gridSpan w:val="7"/>
            <w:shd w:val="clear" w:color="auto" w:fill="CCEEFF"/>
          </w:tcPr>
          <w:p>
            <w:pPr>
              <w:spacing w:after="0" w:line="216" w:lineRule="exact"/>
              <w:rPr>
                <w:rFonts w:ascii="Arial" w:cs="Arial" w:eastAsia="Arial" w:hAnsi="Arial"/>
                <w:sz w:val="20"/>
                <w:szCs w:val="20"/>
                <w:color w:val="0000FF"/>
              </w:rPr>
            </w:pPr>
            <w:hyperlink r:id="rId72">
              <w:r>
                <w:rPr>
                  <w:rFonts w:ascii="Arial" w:cs="Arial" w:eastAsia="Arial" w:hAnsi="Arial"/>
                  <w:sz w:val="20"/>
                  <w:szCs w:val="20"/>
                  <w:color w:val="0000FF"/>
                </w:rPr>
                <w:t>Certificate of Designations of Series A Perpetual Preferred Stock</w:t>
              </w:r>
            </w:hyperlink>
          </w:p>
        </w:tc>
        <w:tc>
          <w:tcPr>
            <w:tcW w:w="940" w:type="dxa"/>
            <w:vAlign w:val="bottom"/>
            <w:gridSpan w:val="2"/>
            <w:shd w:val="clear" w:color="auto" w:fill="CCEEFF"/>
          </w:tcPr>
          <w:p>
            <w:pPr>
              <w:jc w:val="center"/>
              <w:ind w:right="80"/>
              <w:spacing w:after="0" w:line="216" w:lineRule="exact"/>
              <w:rPr>
                <w:sz w:val="20"/>
                <w:szCs w:val="20"/>
                <w:color w:val="auto"/>
              </w:rPr>
            </w:pPr>
            <w:r>
              <w:rPr>
                <w:rFonts w:ascii="Arial" w:cs="Arial" w:eastAsia="Arial" w:hAnsi="Arial"/>
                <w:sz w:val="20"/>
                <w:szCs w:val="20"/>
                <w:color w:val="auto"/>
                <w:w w:val="96"/>
              </w:rPr>
              <w:t>8-K</w:t>
            </w:r>
          </w:p>
        </w:tc>
        <w:tc>
          <w:tcPr>
            <w:tcW w:w="136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w w:val="98"/>
              </w:rPr>
              <w:t>8/11/2021</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line="216" w:lineRule="exact"/>
              <w:rPr>
                <w:sz w:val="20"/>
                <w:szCs w:val="20"/>
                <w:color w:val="auto"/>
              </w:rPr>
            </w:pPr>
            <w:r>
              <w:rPr>
                <w:rFonts w:ascii="Arial" w:cs="Arial" w:eastAsia="Arial" w:hAnsi="Arial"/>
                <w:sz w:val="20"/>
                <w:szCs w:val="20"/>
                <w:color w:val="auto"/>
              </w:rPr>
              <w:t>3.1</w:t>
            </w:r>
          </w:p>
        </w:tc>
      </w:tr>
      <w:tr>
        <w:trPr>
          <w:trHeight w:val="277"/>
        </w:trPr>
        <w:tc>
          <w:tcPr>
            <w:tcW w:w="154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1540" w:type="dxa"/>
            <w:vAlign w:val="bottom"/>
            <w:tcBorders>
              <w:top w:val="single" w:sz="8" w:color="0000FF"/>
            </w:tcBorders>
            <w:shd w:val="clear" w:color="auto" w:fill="CCEEFF"/>
          </w:tcPr>
          <w:p>
            <w:pPr>
              <w:spacing w:after="0"/>
              <w:rPr>
                <w:sz w:val="24"/>
                <w:szCs w:val="24"/>
                <w:color w:val="auto"/>
              </w:rPr>
            </w:pPr>
          </w:p>
        </w:tc>
        <w:tc>
          <w:tcPr>
            <w:tcW w:w="2240" w:type="dxa"/>
            <w:vAlign w:val="bottom"/>
            <w:tcBorders>
              <w:top w:val="single" w:sz="8" w:color="0000FF"/>
            </w:tcBorders>
            <w:shd w:val="clear" w:color="auto" w:fill="CCEEFF"/>
          </w:tcPr>
          <w:p>
            <w:pPr>
              <w:spacing w:after="0"/>
              <w:rPr>
                <w:sz w:val="24"/>
                <w:szCs w:val="24"/>
                <w:color w:val="auto"/>
              </w:rPr>
            </w:pPr>
          </w:p>
        </w:tc>
        <w:tc>
          <w:tcPr>
            <w:tcW w:w="1440" w:type="dxa"/>
            <w:vAlign w:val="bottom"/>
            <w:tcBorders>
              <w:top w:val="single" w:sz="8" w:color="0000FF"/>
            </w:tcBorders>
            <w:shd w:val="clear" w:color="auto" w:fill="CCEEFF"/>
          </w:tcPr>
          <w:p>
            <w:pPr>
              <w:spacing w:after="0"/>
              <w:rPr>
                <w:sz w:val="24"/>
                <w:szCs w:val="24"/>
                <w:color w:val="auto"/>
              </w:rPr>
            </w:pPr>
          </w:p>
        </w:tc>
        <w:tc>
          <w:tcPr>
            <w:tcW w:w="460" w:type="dxa"/>
            <w:vAlign w:val="bottom"/>
            <w:tcBorders>
              <w:top w:val="single" w:sz="8" w:color="0000FF"/>
            </w:tcBorders>
            <w:shd w:val="clear" w:color="auto" w:fill="CCEEFF"/>
          </w:tcPr>
          <w:p>
            <w:pPr>
              <w:spacing w:after="0"/>
              <w:rPr>
                <w:sz w:val="24"/>
                <w:szCs w:val="24"/>
                <w:color w:val="auto"/>
              </w:rPr>
            </w:pPr>
          </w:p>
        </w:tc>
        <w:tc>
          <w:tcPr>
            <w:tcW w:w="80" w:type="dxa"/>
            <w:vAlign w:val="bottom"/>
            <w:tcBorders>
              <w:top w:val="single" w:sz="8" w:color="CCEEFF"/>
              <w:left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36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060" w:type="dxa"/>
            <w:vAlign w:val="bottom"/>
            <w:tcBorders>
              <w:top w:val="single" w:sz="8" w:color="CCEEFF"/>
            </w:tcBorders>
            <w:shd w:val="clear" w:color="auto" w:fill="CCEEFF"/>
          </w:tcPr>
          <w:p>
            <w:pPr>
              <w:spacing w:after="0"/>
              <w:rPr>
                <w:sz w:val="24"/>
                <w:szCs w:val="24"/>
                <w:color w:val="auto"/>
              </w:rPr>
            </w:pPr>
          </w:p>
        </w:tc>
      </w:tr>
      <w:tr>
        <w:trPr>
          <w:trHeight w:val="230"/>
        </w:trPr>
        <w:tc>
          <w:tcPr>
            <w:tcW w:w="1540" w:type="dxa"/>
            <w:vAlign w:val="bottom"/>
          </w:tcPr>
          <w:p>
            <w:pPr>
              <w:jc w:val="center"/>
              <w:spacing w:after="0"/>
              <w:rPr>
                <w:sz w:val="20"/>
                <w:szCs w:val="20"/>
                <w:color w:val="auto"/>
              </w:rPr>
            </w:pPr>
            <w:r>
              <w:rPr>
                <w:rFonts w:ascii="Arial" w:cs="Arial" w:eastAsia="Arial" w:hAnsi="Arial"/>
                <w:sz w:val="20"/>
                <w:szCs w:val="20"/>
                <w:color w:val="auto"/>
              </w:rPr>
              <w:t>10.1</w:t>
            </w:r>
          </w:p>
        </w:tc>
        <w:tc>
          <w:tcPr>
            <w:tcW w:w="380" w:type="dxa"/>
            <w:vAlign w:val="bottom"/>
          </w:tcPr>
          <w:p>
            <w:pPr>
              <w:spacing w:after="0"/>
              <w:rPr>
                <w:sz w:val="19"/>
                <w:szCs w:val="19"/>
                <w:color w:val="auto"/>
              </w:rPr>
            </w:pPr>
          </w:p>
        </w:tc>
        <w:tc>
          <w:tcPr>
            <w:tcW w:w="5880" w:type="dxa"/>
            <w:vAlign w:val="bottom"/>
            <w:gridSpan w:val="7"/>
          </w:tcPr>
          <w:p>
            <w:pPr>
              <w:spacing w:after="0" w:line="229" w:lineRule="exact"/>
              <w:rPr>
                <w:rFonts w:ascii="Arial" w:cs="Arial" w:eastAsia="Arial" w:hAnsi="Arial"/>
                <w:sz w:val="22"/>
                <w:szCs w:val="22"/>
                <w:color w:val="0000FF"/>
              </w:rPr>
            </w:pPr>
            <w:hyperlink r:id="rId73">
              <w:r>
                <w:rPr>
                  <w:rFonts w:ascii="Arial" w:cs="Arial" w:eastAsia="Arial" w:hAnsi="Arial"/>
                  <w:sz w:val="22"/>
                  <w:szCs w:val="22"/>
                  <w:color w:val="0000FF"/>
                </w:rPr>
                <w:t>Securities Purchase Agreement, dated August 10, 2021, by</w:t>
              </w:r>
            </w:hyperlink>
          </w:p>
        </w:tc>
        <w:tc>
          <w:tcPr>
            <w:tcW w:w="940" w:type="dxa"/>
            <w:vAlign w:val="bottom"/>
            <w:gridSpan w:val="2"/>
          </w:tcPr>
          <w:p>
            <w:pPr>
              <w:jc w:val="center"/>
              <w:ind w:right="80"/>
              <w:spacing w:after="0"/>
              <w:rPr>
                <w:sz w:val="20"/>
                <w:szCs w:val="20"/>
                <w:color w:val="auto"/>
              </w:rPr>
            </w:pPr>
            <w:r>
              <w:rPr>
                <w:rFonts w:ascii="Arial" w:cs="Arial" w:eastAsia="Arial" w:hAnsi="Arial"/>
                <w:sz w:val="20"/>
                <w:szCs w:val="20"/>
                <w:color w:val="auto"/>
                <w:w w:val="96"/>
              </w:rPr>
              <w:t>8-K</w:t>
            </w:r>
          </w:p>
        </w:tc>
        <w:tc>
          <w:tcPr>
            <w:tcW w:w="1360" w:type="dxa"/>
            <w:vAlign w:val="bottom"/>
          </w:tcPr>
          <w:p>
            <w:pPr>
              <w:jc w:val="center"/>
              <w:spacing w:after="0"/>
              <w:rPr>
                <w:sz w:val="20"/>
                <w:szCs w:val="20"/>
                <w:color w:val="auto"/>
              </w:rPr>
            </w:pPr>
            <w:r>
              <w:rPr>
                <w:rFonts w:ascii="Arial" w:cs="Arial" w:eastAsia="Arial" w:hAnsi="Arial"/>
                <w:sz w:val="20"/>
                <w:szCs w:val="20"/>
                <w:color w:val="auto"/>
                <w:w w:val="98"/>
              </w:rPr>
              <w:t>8/11/2021</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20"/>
                <w:szCs w:val="20"/>
                <w:color w:val="auto"/>
                <w:w w:val="97"/>
              </w:rPr>
              <w:t>10.1</w:t>
            </w:r>
          </w:p>
        </w:tc>
      </w:tr>
      <w:tr>
        <w:trPr>
          <w:trHeight w:val="20"/>
        </w:trPr>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80" w:type="dxa"/>
            <w:vAlign w:val="bottom"/>
            <w:gridSpan w:val="4"/>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3"/>
        </w:trPr>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80" w:type="dxa"/>
            <w:vAlign w:val="bottom"/>
            <w:gridSpan w:val="7"/>
          </w:tcPr>
          <w:p>
            <w:pPr>
              <w:spacing w:after="0" w:line="223" w:lineRule="exact"/>
              <w:rPr>
                <w:rFonts w:ascii="Arial" w:cs="Arial" w:eastAsia="Arial" w:hAnsi="Arial"/>
                <w:sz w:val="22"/>
                <w:szCs w:val="22"/>
                <w:color w:val="0000FF"/>
              </w:rPr>
            </w:pPr>
            <w:hyperlink r:id="rId73">
              <w:r>
                <w:rPr>
                  <w:rFonts w:ascii="Arial" w:cs="Arial" w:eastAsia="Arial" w:hAnsi="Arial"/>
                  <w:sz w:val="22"/>
                  <w:szCs w:val="22"/>
                  <w:color w:val="0000FF"/>
                </w:rPr>
                <w:t>and between the Company and BCP Helios Aggregator L.P.</w:t>
              </w:r>
            </w:hyperlink>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
        </w:trPr>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57"/>
        </w:trPr>
        <w:tc>
          <w:tcPr>
            <w:tcW w:w="1540" w:type="dxa"/>
            <w:vAlign w:val="bottom"/>
            <w:tcBorders>
              <w:bottom w:val="single" w:sz="8" w:color="auto"/>
            </w:tcBorders>
          </w:tcPr>
          <w:p>
            <w:pPr>
              <w:ind w:left="400"/>
              <w:spacing w:after="0"/>
              <w:rPr>
                <w:sz w:val="20"/>
                <w:szCs w:val="20"/>
                <w:color w:val="auto"/>
              </w:rPr>
            </w:pPr>
            <w:r>
              <w:rPr>
                <w:rFonts w:ascii="Arial" w:cs="Arial" w:eastAsia="Arial" w:hAnsi="Arial"/>
                <w:sz w:val="20"/>
                <w:szCs w:val="20"/>
                <w:b w:val="1"/>
                <w:bCs w:val="1"/>
                <w:color w:val="auto"/>
              </w:rPr>
              <w:t>Number</w:t>
            </w:r>
          </w:p>
        </w:tc>
        <w:tc>
          <w:tcPr>
            <w:tcW w:w="380" w:type="dxa"/>
            <w:vAlign w:val="bottom"/>
            <w:tcBorders>
              <w:bottom w:val="single" w:sz="8" w:color="CCEEFF"/>
            </w:tcBorders>
          </w:tcPr>
          <w:p>
            <w:pPr>
              <w:spacing w:after="0"/>
              <w:rPr>
                <w:sz w:val="22"/>
                <w:szCs w:val="22"/>
                <w:color w:val="auto"/>
              </w:rPr>
            </w:pPr>
          </w:p>
        </w:tc>
        <w:tc>
          <w:tcPr>
            <w:tcW w:w="5800" w:type="dxa"/>
            <w:vAlign w:val="bottom"/>
            <w:tcBorders>
              <w:bottom w:val="single" w:sz="8" w:color="auto"/>
            </w:tcBorders>
            <w:gridSpan w:val="7"/>
          </w:tcPr>
          <w:p>
            <w:pPr>
              <w:ind w:left="2000"/>
              <w:spacing w:after="0"/>
              <w:rPr>
                <w:sz w:val="20"/>
                <w:szCs w:val="20"/>
                <w:color w:val="auto"/>
              </w:rPr>
            </w:pPr>
            <w:r>
              <w:rPr>
                <w:rFonts w:ascii="Arial" w:cs="Arial" w:eastAsia="Arial" w:hAnsi="Arial"/>
                <w:sz w:val="20"/>
                <w:szCs w:val="20"/>
                <w:b w:val="1"/>
                <w:bCs w:val="1"/>
                <w:color w:val="auto"/>
              </w:rPr>
              <w:t>Exhibit Description</w:t>
            </w:r>
          </w:p>
        </w:tc>
        <w:tc>
          <w:tcPr>
            <w:tcW w:w="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Form</w:t>
            </w:r>
          </w:p>
        </w:tc>
        <w:tc>
          <w:tcPr>
            <w:tcW w:w="8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rPr>
              <w:t>Date</w:t>
            </w:r>
          </w:p>
        </w:tc>
        <w:tc>
          <w:tcPr>
            <w:tcW w:w="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No.</w:t>
            </w:r>
          </w:p>
        </w:tc>
      </w:tr>
      <w:tr>
        <w:trPr>
          <w:trHeight w:val="209"/>
        </w:trPr>
        <w:tc>
          <w:tcPr>
            <w:tcW w:w="1540" w:type="dxa"/>
            <w:vAlign w:val="bottom"/>
            <w:shd w:val="clear" w:color="auto" w:fill="CCEEFF"/>
          </w:tcPr>
          <w:p>
            <w:pPr>
              <w:jc w:val="center"/>
              <w:spacing w:after="0" w:line="209" w:lineRule="exact"/>
              <w:rPr>
                <w:sz w:val="20"/>
                <w:szCs w:val="20"/>
                <w:color w:val="auto"/>
              </w:rPr>
            </w:pPr>
            <w:r>
              <w:rPr>
                <w:rFonts w:ascii="Arial" w:cs="Arial" w:eastAsia="Arial" w:hAnsi="Arial"/>
                <w:sz w:val="20"/>
                <w:szCs w:val="20"/>
                <w:color w:val="auto"/>
              </w:rPr>
              <w:t>10.2</w:t>
            </w:r>
          </w:p>
        </w:tc>
        <w:tc>
          <w:tcPr>
            <w:tcW w:w="380" w:type="dxa"/>
            <w:vAlign w:val="bottom"/>
            <w:shd w:val="clear" w:color="auto" w:fill="CCEEFF"/>
          </w:tcPr>
          <w:p>
            <w:pPr>
              <w:spacing w:after="0"/>
              <w:rPr>
                <w:sz w:val="18"/>
                <w:szCs w:val="18"/>
                <w:color w:val="auto"/>
              </w:rPr>
            </w:pPr>
          </w:p>
        </w:tc>
        <w:tc>
          <w:tcPr>
            <w:tcW w:w="5880" w:type="dxa"/>
            <w:vAlign w:val="bottom"/>
            <w:gridSpan w:val="8"/>
            <w:shd w:val="clear" w:color="auto" w:fill="CCEEFF"/>
          </w:tcPr>
          <w:p>
            <w:pPr>
              <w:spacing w:after="0" w:line="209" w:lineRule="exact"/>
              <w:rPr>
                <w:rFonts w:ascii="Arial" w:cs="Arial" w:eastAsia="Arial" w:hAnsi="Arial"/>
                <w:sz w:val="20"/>
                <w:szCs w:val="20"/>
                <w:color w:val="0000FF"/>
              </w:rPr>
            </w:pPr>
            <w:hyperlink r:id="rId75">
              <w:r>
                <w:rPr>
                  <w:rFonts w:ascii="Arial" w:cs="Arial" w:eastAsia="Arial" w:hAnsi="Arial"/>
                  <w:sz w:val="20"/>
                  <w:szCs w:val="20"/>
                  <w:color w:val="0000FF"/>
                </w:rPr>
                <w:t>Registration Rights Agreement, dated August 10, 2021, by and</w:t>
              </w:r>
            </w:hyperlink>
          </w:p>
        </w:tc>
        <w:tc>
          <w:tcPr>
            <w:tcW w:w="940" w:type="dxa"/>
            <w:vAlign w:val="bottom"/>
            <w:gridSpan w:val="2"/>
            <w:shd w:val="clear" w:color="auto" w:fill="CCEEFF"/>
          </w:tcPr>
          <w:p>
            <w:pPr>
              <w:jc w:val="center"/>
              <w:ind w:right="80"/>
              <w:spacing w:after="0" w:line="209" w:lineRule="exact"/>
              <w:rPr>
                <w:sz w:val="20"/>
                <w:szCs w:val="20"/>
                <w:color w:val="auto"/>
              </w:rPr>
            </w:pPr>
            <w:r>
              <w:rPr>
                <w:rFonts w:ascii="Arial" w:cs="Arial" w:eastAsia="Arial" w:hAnsi="Arial"/>
                <w:sz w:val="20"/>
                <w:szCs w:val="20"/>
                <w:color w:val="auto"/>
                <w:w w:val="96"/>
              </w:rPr>
              <w:t>8-K</w:t>
            </w:r>
          </w:p>
        </w:tc>
        <w:tc>
          <w:tcPr>
            <w:tcW w:w="1360" w:type="dxa"/>
            <w:vAlign w:val="bottom"/>
            <w:shd w:val="clear" w:color="auto" w:fill="CCEEFF"/>
          </w:tcPr>
          <w:p>
            <w:pPr>
              <w:jc w:val="right"/>
              <w:ind w:right="141"/>
              <w:spacing w:after="0" w:line="209" w:lineRule="exact"/>
              <w:rPr>
                <w:sz w:val="20"/>
                <w:szCs w:val="20"/>
                <w:color w:val="auto"/>
              </w:rPr>
            </w:pPr>
            <w:r>
              <w:rPr>
                <w:rFonts w:ascii="Arial" w:cs="Arial" w:eastAsia="Arial" w:hAnsi="Arial"/>
                <w:sz w:val="20"/>
                <w:szCs w:val="20"/>
                <w:color w:val="auto"/>
              </w:rPr>
              <w:t>8/11/2021</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41"/>
              <w:spacing w:after="0" w:line="209" w:lineRule="exact"/>
              <w:rPr>
                <w:sz w:val="20"/>
                <w:szCs w:val="20"/>
                <w:color w:val="auto"/>
              </w:rPr>
            </w:pPr>
            <w:r>
              <w:rPr>
                <w:rFonts w:ascii="Arial" w:cs="Arial" w:eastAsia="Arial" w:hAnsi="Arial"/>
                <w:sz w:val="20"/>
                <w:szCs w:val="20"/>
                <w:color w:val="auto"/>
              </w:rPr>
              <w:t>10.2</w:t>
            </w:r>
          </w:p>
        </w:tc>
      </w:tr>
      <w:tr>
        <w:trPr>
          <w:trHeight w:val="196"/>
        </w:trPr>
        <w:tc>
          <w:tcPr>
            <w:tcW w:w="1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500" w:type="dxa"/>
            <w:vAlign w:val="bottom"/>
            <w:tcBorders>
              <w:top w:val="single" w:sz="8" w:color="0000FF"/>
            </w:tcBorders>
            <w:gridSpan w:val="4"/>
            <w:shd w:val="clear" w:color="auto" w:fill="CCEEFF"/>
          </w:tcPr>
          <w:p>
            <w:pPr>
              <w:spacing w:after="0" w:line="196" w:lineRule="exact"/>
              <w:rPr>
                <w:rFonts w:ascii="Arial" w:cs="Arial" w:eastAsia="Arial" w:hAnsi="Arial"/>
                <w:sz w:val="20"/>
                <w:szCs w:val="20"/>
                <w:color w:val="0000FF"/>
              </w:rPr>
            </w:pPr>
            <w:hyperlink r:id="rId75">
              <w:r>
                <w:rPr>
                  <w:rFonts w:ascii="Arial" w:cs="Arial" w:eastAsia="Arial" w:hAnsi="Arial"/>
                  <w:sz w:val="20"/>
                  <w:szCs w:val="20"/>
                  <w:color w:val="0000FF"/>
                </w:rPr>
                <w:t>between the Company and BCP Helios Aggregator L.P.</w:t>
              </w:r>
            </w:hyperlink>
          </w:p>
        </w:tc>
        <w:tc>
          <w:tcPr>
            <w:tcW w:w="380" w:type="dxa"/>
            <w:vAlign w:val="bottom"/>
            <w:tcBorders>
              <w:top w:val="single" w:sz="8" w:color="CCEEFF"/>
            </w:tcBorders>
            <w:gridSpan w:val="4"/>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r>
      <w:tr>
        <w:trPr>
          <w:trHeight w:val="277"/>
        </w:trPr>
        <w:tc>
          <w:tcPr>
            <w:tcW w:w="154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4860" w:type="dxa"/>
            <w:vAlign w:val="bottom"/>
            <w:tcBorders>
              <w:top w:val="single" w:sz="8" w:color="0000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36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1060" w:type="dxa"/>
            <w:vAlign w:val="bottom"/>
            <w:tcBorders>
              <w:top w:val="single" w:sz="8" w:color="CCEEFF"/>
            </w:tcBorders>
            <w:shd w:val="clear" w:color="auto" w:fill="CCEEFF"/>
          </w:tcPr>
          <w:p>
            <w:pPr>
              <w:spacing w:after="0"/>
              <w:rPr>
                <w:sz w:val="24"/>
                <w:szCs w:val="24"/>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8"/>
              </w:rPr>
              <w:t>31.1*</w:t>
            </w:r>
          </w:p>
        </w:tc>
        <w:tc>
          <w:tcPr>
            <w:tcW w:w="6260" w:type="dxa"/>
            <w:vAlign w:val="bottom"/>
            <w:gridSpan w:val="9"/>
          </w:tcPr>
          <w:p>
            <w:pPr>
              <w:ind w:left="140"/>
              <w:spacing w:after="0" w:line="203" w:lineRule="exact"/>
              <w:rPr>
                <w:rFonts w:ascii="Arial" w:cs="Arial" w:eastAsia="Arial" w:hAnsi="Arial"/>
                <w:sz w:val="20"/>
                <w:szCs w:val="20"/>
                <w:color w:val="auto"/>
              </w:rPr>
            </w:pPr>
            <w:r>
              <w:rPr>
                <w:rFonts w:ascii="Arial" w:cs="Arial" w:eastAsia="Arial" w:hAnsi="Arial"/>
                <w:sz w:val="20"/>
                <w:szCs w:val="20"/>
                <w:color w:val="auto"/>
              </w:rPr>
              <w:t xml:space="preserve">–  </w:t>
            </w:r>
            <w:hyperlink w:anchor="page50">
              <w:r>
                <w:rPr>
                  <w:rFonts w:ascii="Arial" w:cs="Arial" w:eastAsia="Arial" w:hAnsi="Arial"/>
                  <w:sz w:val="20"/>
                  <w:szCs w:val="20"/>
                  <w:color w:val="0000FF"/>
                </w:rPr>
                <w:t>Certification of the Chief Executive Officer, as required by Section</w:t>
              </w:r>
            </w:hyperlink>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740" w:type="dxa"/>
            <w:vAlign w:val="bottom"/>
            <w:tcBorders>
              <w:top w:val="single" w:sz="8" w:color="0000FF"/>
            </w:tcBorders>
            <w:gridSpan w:val="6"/>
          </w:tcPr>
          <w:p>
            <w:pPr>
              <w:spacing w:after="0" w:line="169" w:lineRule="exact"/>
              <w:rPr>
                <w:rFonts w:ascii="Arial" w:cs="Arial" w:eastAsia="Arial" w:hAnsi="Arial"/>
                <w:sz w:val="19"/>
                <w:szCs w:val="19"/>
                <w:color w:val="0000FF"/>
              </w:rPr>
            </w:pPr>
            <w:hyperlink w:anchor="page50">
              <w:r>
                <w:rPr>
                  <w:rFonts w:ascii="Arial" w:cs="Arial" w:eastAsia="Arial" w:hAnsi="Arial"/>
                  <w:sz w:val="19"/>
                  <w:szCs w:val="19"/>
                  <w:color w:val="0000FF"/>
                </w:rPr>
                <w:t>302 of the Sarbanes- Oxley Act of 2002 (18 U.S.C. 1350)</w:t>
              </w:r>
            </w:hyperlink>
          </w:p>
        </w:tc>
        <w:tc>
          <w:tcPr>
            <w:tcW w:w="14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64"/>
        </w:trPr>
        <w:tc>
          <w:tcPr>
            <w:tcW w:w="1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31.2*</w:t>
            </w:r>
          </w:p>
        </w:tc>
        <w:tc>
          <w:tcPr>
            <w:tcW w:w="6260" w:type="dxa"/>
            <w:vAlign w:val="bottom"/>
            <w:gridSpan w:val="9"/>
            <w:shd w:val="clear" w:color="auto" w:fill="CCEEFF"/>
          </w:tcPr>
          <w:p>
            <w:pPr>
              <w:ind w:left="140"/>
              <w:spacing w:after="0" w:line="203" w:lineRule="exact"/>
              <w:rPr>
                <w:rFonts w:ascii="Arial" w:cs="Arial" w:eastAsia="Arial" w:hAnsi="Arial"/>
                <w:sz w:val="20"/>
                <w:szCs w:val="20"/>
                <w:color w:val="auto"/>
              </w:rPr>
            </w:pPr>
            <w:r>
              <w:rPr>
                <w:rFonts w:ascii="Arial" w:cs="Arial" w:eastAsia="Arial" w:hAnsi="Arial"/>
                <w:sz w:val="20"/>
                <w:szCs w:val="20"/>
                <w:color w:val="auto"/>
              </w:rPr>
              <w:t xml:space="preserve">–  </w:t>
            </w:r>
            <w:hyperlink w:anchor="page51">
              <w:r>
                <w:rPr>
                  <w:rFonts w:ascii="Arial" w:cs="Arial" w:eastAsia="Arial" w:hAnsi="Arial"/>
                  <w:sz w:val="20"/>
                  <w:szCs w:val="20"/>
                  <w:color w:val="0000FF"/>
                </w:rPr>
                <w:t>Certification of the Chief Financial Officer, as required by Section</w:t>
              </w:r>
            </w:hyperlink>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660" w:type="dxa"/>
            <w:vAlign w:val="bottom"/>
            <w:tcBorders>
              <w:top w:val="single" w:sz="8" w:color="0000FF"/>
            </w:tcBorders>
            <w:gridSpan w:val="5"/>
            <w:shd w:val="clear" w:color="auto" w:fill="CCEEFF"/>
          </w:tcPr>
          <w:p>
            <w:pPr>
              <w:spacing w:after="0" w:line="169" w:lineRule="exact"/>
              <w:rPr>
                <w:rFonts w:ascii="Arial" w:cs="Arial" w:eastAsia="Arial" w:hAnsi="Arial"/>
                <w:sz w:val="19"/>
                <w:szCs w:val="19"/>
                <w:color w:val="0000FF"/>
              </w:rPr>
            </w:pPr>
            <w:hyperlink w:anchor="page51">
              <w:r>
                <w:rPr>
                  <w:rFonts w:ascii="Arial" w:cs="Arial" w:eastAsia="Arial" w:hAnsi="Arial"/>
                  <w:sz w:val="19"/>
                  <w:szCs w:val="19"/>
                  <w:color w:val="0000FF"/>
                </w:rPr>
                <w:t>302 of the Sarbanes- Oxley Act of 2002 (18 U.S.C. 1350)</w:t>
              </w:r>
            </w:hyperlink>
          </w:p>
        </w:tc>
        <w:tc>
          <w:tcPr>
            <w:tcW w:w="220" w:type="dxa"/>
            <w:vAlign w:val="bottom"/>
            <w:tcBorders>
              <w:top w:val="single" w:sz="8" w:color="CCEEFF"/>
            </w:tcBorders>
            <w:gridSpan w:val="3"/>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64"/>
        </w:trPr>
        <w:tc>
          <w:tcPr>
            <w:tcW w:w="15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4860" w:type="dxa"/>
            <w:vAlign w:val="bottom"/>
            <w:tcBorders>
              <w:top w:val="single" w:sz="8" w:color="0000FF"/>
            </w:tcBorders>
            <w:shd w:val="clear" w:color="auto" w:fill="CCEEFF"/>
          </w:tcPr>
          <w:p>
            <w:pPr>
              <w:spacing w:after="0"/>
              <w:rPr>
                <w:sz w:val="22"/>
                <w:szCs w:val="22"/>
                <w:color w:val="auto"/>
              </w:rPr>
            </w:pPr>
          </w:p>
        </w:tc>
        <w:tc>
          <w:tcPr>
            <w:tcW w:w="100" w:type="dxa"/>
            <w:vAlign w:val="bottom"/>
            <w:tcBorders>
              <w:top w:val="single" w:sz="8" w:color="0000FF"/>
            </w:tcBorders>
            <w:shd w:val="clear" w:color="auto" w:fill="CCEEFF"/>
          </w:tcPr>
          <w:p>
            <w:pPr>
              <w:spacing w:after="0"/>
              <w:rPr>
                <w:sz w:val="22"/>
                <w:szCs w:val="22"/>
                <w:color w:val="auto"/>
              </w:rPr>
            </w:pPr>
          </w:p>
        </w:tc>
        <w:tc>
          <w:tcPr>
            <w:tcW w:w="60" w:type="dxa"/>
            <w:vAlign w:val="bottom"/>
            <w:tcBorders>
              <w:top w:val="single" w:sz="8" w:color="0000FF"/>
            </w:tcBorders>
            <w:shd w:val="clear" w:color="auto" w:fill="CCEEFF"/>
          </w:tcPr>
          <w:p>
            <w:pPr>
              <w:spacing w:after="0"/>
              <w:rPr>
                <w:sz w:val="22"/>
                <w:szCs w:val="22"/>
                <w:color w:val="auto"/>
              </w:rPr>
            </w:pPr>
          </w:p>
        </w:tc>
        <w:tc>
          <w:tcPr>
            <w:tcW w:w="4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9"/>
              </w:rPr>
              <w:t>32.1**</w:t>
            </w:r>
          </w:p>
        </w:tc>
        <w:tc>
          <w:tcPr>
            <w:tcW w:w="6260" w:type="dxa"/>
            <w:vAlign w:val="bottom"/>
            <w:gridSpan w:val="9"/>
          </w:tcPr>
          <w:p>
            <w:pPr>
              <w:ind w:left="140"/>
              <w:spacing w:after="0" w:line="203" w:lineRule="exact"/>
              <w:rPr>
                <w:rFonts w:ascii="Arial" w:cs="Arial" w:eastAsia="Arial" w:hAnsi="Arial"/>
                <w:sz w:val="20"/>
                <w:szCs w:val="20"/>
                <w:color w:val="auto"/>
              </w:rPr>
            </w:pPr>
            <w:r>
              <w:rPr>
                <w:rFonts w:ascii="Arial" w:cs="Arial" w:eastAsia="Arial" w:hAnsi="Arial"/>
                <w:sz w:val="20"/>
                <w:szCs w:val="20"/>
                <w:color w:val="auto"/>
              </w:rPr>
              <w:t xml:space="preserve">–  </w:t>
            </w:r>
            <w:hyperlink w:anchor="page52">
              <w:r>
                <w:rPr>
                  <w:rFonts w:ascii="Arial" w:cs="Arial" w:eastAsia="Arial" w:hAnsi="Arial"/>
                  <w:sz w:val="20"/>
                  <w:szCs w:val="20"/>
                  <w:color w:val="0000FF"/>
                </w:rPr>
                <w:t>Certification of the Chief Executive Officer, as required by Section</w:t>
              </w:r>
            </w:hyperlink>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69"/>
        </w:trPr>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740" w:type="dxa"/>
            <w:vAlign w:val="bottom"/>
            <w:tcBorders>
              <w:top w:val="single" w:sz="8" w:color="0000FF"/>
            </w:tcBorders>
            <w:gridSpan w:val="6"/>
          </w:tcPr>
          <w:p>
            <w:pPr>
              <w:spacing w:after="0" w:line="169" w:lineRule="exact"/>
              <w:rPr>
                <w:rFonts w:ascii="Arial" w:cs="Arial" w:eastAsia="Arial" w:hAnsi="Arial"/>
                <w:sz w:val="19"/>
                <w:szCs w:val="19"/>
                <w:color w:val="0000FF"/>
              </w:rPr>
            </w:pPr>
            <w:hyperlink w:anchor="page52">
              <w:r>
                <w:rPr>
                  <w:rFonts w:ascii="Arial" w:cs="Arial" w:eastAsia="Arial" w:hAnsi="Arial"/>
                  <w:sz w:val="19"/>
                  <w:szCs w:val="19"/>
                  <w:color w:val="0000FF"/>
                </w:rPr>
                <w:t>906 of the Sarbanes-Oxley Act of 2002 (18 U.S.C. 1350)</w:t>
              </w:r>
            </w:hyperlink>
          </w:p>
        </w:tc>
        <w:tc>
          <w:tcPr>
            <w:tcW w:w="14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64"/>
        </w:trPr>
        <w:tc>
          <w:tcPr>
            <w:tcW w:w="1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32.2**</w:t>
            </w:r>
          </w:p>
        </w:tc>
        <w:tc>
          <w:tcPr>
            <w:tcW w:w="6260" w:type="dxa"/>
            <w:vAlign w:val="bottom"/>
            <w:gridSpan w:val="9"/>
            <w:shd w:val="clear" w:color="auto" w:fill="CCEEFF"/>
          </w:tcPr>
          <w:p>
            <w:pPr>
              <w:ind w:left="140"/>
              <w:spacing w:after="0" w:line="203" w:lineRule="exact"/>
              <w:rPr>
                <w:rFonts w:ascii="Arial" w:cs="Arial" w:eastAsia="Arial" w:hAnsi="Arial"/>
                <w:sz w:val="20"/>
                <w:szCs w:val="20"/>
                <w:color w:val="auto"/>
              </w:rPr>
            </w:pPr>
            <w:r>
              <w:rPr>
                <w:rFonts w:ascii="Arial" w:cs="Arial" w:eastAsia="Arial" w:hAnsi="Arial"/>
                <w:sz w:val="20"/>
                <w:szCs w:val="20"/>
                <w:color w:val="auto"/>
              </w:rPr>
              <w:t xml:space="preserve">–  </w:t>
            </w:r>
            <w:hyperlink w:anchor="page53">
              <w:r>
                <w:rPr>
                  <w:rFonts w:ascii="Arial" w:cs="Arial" w:eastAsia="Arial" w:hAnsi="Arial"/>
                  <w:sz w:val="20"/>
                  <w:szCs w:val="20"/>
                  <w:color w:val="0000FF"/>
                </w:rPr>
                <w:t>Certification of the Chief Financial Officer, as required by Section</w:t>
              </w:r>
            </w:hyperlink>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660" w:type="dxa"/>
            <w:vAlign w:val="bottom"/>
            <w:tcBorders>
              <w:top w:val="single" w:sz="8" w:color="0000FF"/>
            </w:tcBorders>
            <w:gridSpan w:val="5"/>
            <w:shd w:val="clear" w:color="auto" w:fill="CCEEFF"/>
          </w:tcPr>
          <w:p>
            <w:pPr>
              <w:spacing w:after="0" w:line="169" w:lineRule="exact"/>
              <w:rPr>
                <w:rFonts w:ascii="Arial" w:cs="Arial" w:eastAsia="Arial" w:hAnsi="Arial"/>
                <w:sz w:val="19"/>
                <w:szCs w:val="19"/>
                <w:color w:val="0000FF"/>
              </w:rPr>
            </w:pPr>
            <w:hyperlink w:anchor="page53">
              <w:r>
                <w:rPr>
                  <w:rFonts w:ascii="Arial" w:cs="Arial" w:eastAsia="Arial" w:hAnsi="Arial"/>
                  <w:sz w:val="19"/>
                  <w:szCs w:val="19"/>
                  <w:color w:val="0000FF"/>
                </w:rPr>
                <w:t>906 of the Sarbanes-Oxley Act of 2002 (18 U.S.C. 1350)</w:t>
              </w:r>
            </w:hyperlink>
          </w:p>
        </w:tc>
        <w:tc>
          <w:tcPr>
            <w:tcW w:w="220" w:type="dxa"/>
            <w:vAlign w:val="bottom"/>
            <w:tcBorders>
              <w:top w:val="single" w:sz="8" w:color="CCEEFF"/>
            </w:tcBorders>
            <w:gridSpan w:val="3"/>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264"/>
        </w:trPr>
        <w:tc>
          <w:tcPr>
            <w:tcW w:w="15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4860" w:type="dxa"/>
            <w:vAlign w:val="bottom"/>
            <w:tcBorders>
              <w:top w:val="single" w:sz="8" w:color="0000FF"/>
            </w:tcBorders>
            <w:shd w:val="clear" w:color="auto" w:fill="CCEEFF"/>
          </w:tcPr>
          <w:p>
            <w:pPr>
              <w:spacing w:after="0"/>
              <w:rPr>
                <w:sz w:val="22"/>
                <w:szCs w:val="22"/>
                <w:color w:val="auto"/>
              </w:rPr>
            </w:pPr>
          </w:p>
        </w:tc>
        <w:tc>
          <w:tcPr>
            <w:tcW w:w="100" w:type="dxa"/>
            <w:vAlign w:val="bottom"/>
            <w:tcBorders>
              <w:top w:val="single" w:sz="8" w:color="0000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r>
      <w:tr>
        <w:trPr>
          <w:trHeight w:val="199"/>
        </w:trPr>
        <w:tc>
          <w:tcPr>
            <w:tcW w:w="1540" w:type="dxa"/>
            <w:vAlign w:val="bottom"/>
          </w:tcPr>
          <w:p>
            <w:pPr>
              <w:ind w:left="420"/>
              <w:spacing w:after="0" w:line="199" w:lineRule="exact"/>
              <w:rPr>
                <w:sz w:val="20"/>
                <w:szCs w:val="20"/>
                <w:color w:val="auto"/>
              </w:rPr>
            </w:pPr>
            <w:r>
              <w:rPr>
                <w:rFonts w:ascii="Arial" w:cs="Arial" w:eastAsia="Arial" w:hAnsi="Arial"/>
                <w:sz w:val="20"/>
                <w:szCs w:val="20"/>
                <w:color w:val="auto"/>
              </w:rPr>
              <w:t>101.INS</w:t>
            </w:r>
          </w:p>
        </w:tc>
        <w:tc>
          <w:tcPr>
            <w:tcW w:w="380" w:type="dxa"/>
            <w:vAlign w:val="bottom"/>
          </w:tcPr>
          <w:p>
            <w:pPr>
              <w:spacing w:after="0"/>
              <w:rPr>
                <w:sz w:val="17"/>
                <w:szCs w:val="17"/>
                <w:color w:val="auto"/>
              </w:rPr>
            </w:pPr>
          </w:p>
        </w:tc>
        <w:tc>
          <w:tcPr>
            <w:tcW w:w="5880" w:type="dxa"/>
            <w:vAlign w:val="bottom"/>
            <w:gridSpan w:val="8"/>
          </w:tcPr>
          <w:p>
            <w:pPr>
              <w:spacing w:after="0" w:line="199" w:lineRule="exact"/>
              <w:rPr>
                <w:sz w:val="20"/>
                <w:szCs w:val="20"/>
                <w:color w:val="auto"/>
              </w:rPr>
            </w:pPr>
            <w:r>
              <w:rPr>
                <w:rFonts w:ascii="Arial" w:cs="Arial" w:eastAsia="Arial" w:hAnsi="Arial"/>
                <w:sz w:val="20"/>
                <w:szCs w:val="20"/>
                <w:color w:val="auto"/>
              </w:rPr>
              <w:t>XBRL Instance Document – the instance document does not</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9"/>
        </w:trPr>
        <w:tc>
          <w:tcPr>
            <w:tcW w:w="1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80" w:type="dxa"/>
            <w:vAlign w:val="bottom"/>
            <w:gridSpan w:val="8"/>
          </w:tcPr>
          <w:p>
            <w:pPr>
              <w:spacing w:after="0" w:line="189" w:lineRule="exact"/>
              <w:rPr>
                <w:sz w:val="20"/>
                <w:szCs w:val="20"/>
                <w:color w:val="auto"/>
              </w:rPr>
            </w:pPr>
            <w:r>
              <w:rPr>
                <w:rFonts w:ascii="Arial" w:cs="Arial" w:eastAsia="Arial" w:hAnsi="Arial"/>
                <w:sz w:val="20"/>
                <w:szCs w:val="20"/>
                <w:color w:val="auto"/>
              </w:rPr>
              <w:t>appear in the Interactive Data file because its XBRL tags are</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3"/>
        </w:trPr>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80" w:type="dxa"/>
            <w:vAlign w:val="bottom"/>
            <w:gridSpan w:val="8"/>
          </w:tcPr>
          <w:p>
            <w:pPr>
              <w:spacing w:after="0"/>
              <w:rPr>
                <w:sz w:val="20"/>
                <w:szCs w:val="20"/>
                <w:color w:val="auto"/>
              </w:rPr>
            </w:pPr>
            <w:r>
              <w:rPr>
                <w:rFonts w:ascii="Arial" w:cs="Arial" w:eastAsia="Arial" w:hAnsi="Arial"/>
                <w:sz w:val="20"/>
                <w:szCs w:val="20"/>
                <w:color w:val="auto"/>
              </w:rPr>
              <w:t>embedded within the Inline XBRL document</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3"/>
        </w:trPr>
        <w:tc>
          <w:tcPr>
            <w:tcW w:w="1540" w:type="dxa"/>
            <w:vAlign w:val="bottom"/>
            <w:shd w:val="clear" w:color="auto" w:fill="CCEEFF"/>
          </w:tcPr>
          <w:p>
            <w:pPr>
              <w:ind w:left="380"/>
              <w:spacing w:after="0"/>
              <w:rPr>
                <w:sz w:val="20"/>
                <w:szCs w:val="20"/>
                <w:color w:val="auto"/>
              </w:rPr>
            </w:pPr>
            <w:r>
              <w:rPr>
                <w:rFonts w:ascii="Arial" w:cs="Arial" w:eastAsia="Arial" w:hAnsi="Arial"/>
                <w:sz w:val="20"/>
                <w:szCs w:val="20"/>
                <w:color w:val="auto"/>
              </w:rPr>
              <w:t>101.SCH</w:t>
            </w:r>
          </w:p>
        </w:tc>
        <w:tc>
          <w:tcPr>
            <w:tcW w:w="380" w:type="dxa"/>
            <w:vAlign w:val="bottom"/>
            <w:shd w:val="clear" w:color="auto" w:fill="CCEEFF"/>
          </w:tcPr>
          <w:p>
            <w:pPr>
              <w:spacing w:after="0"/>
              <w:rPr>
                <w:sz w:val="21"/>
                <w:szCs w:val="21"/>
                <w:color w:val="auto"/>
              </w:rPr>
            </w:pPr>
          </w:p>
        </w:tc>
        <w:tc>
          <w:tcPr>
            <w:tcW w:w="5880" w:type="dxa"/>
            <w:vAlign w:val="bottom"/>
            <w:gridSpan w:val="8"/>
            <w:shd w:val="clear" w:color="auto" w:fill="CCEEFF"/>
          </w:tcPr>
          <w:p>
            <w:pPr>
              <w:spacing w:after="0"/>
              <w:rPr>
                <w:sz w:val="20"/>
                <w:szCs w:val="20"/>
                <w:color w:val="auto"/>
              </w:rPr>
            </w:pPr>
            <w:r>
              <w:rPr>
                <w:rFonts w:ascii="Arial" w:cs="Arial" w:eastAsia="Arial" w:hAnsi="Arial"/>
                <w:sz w:val="20"/>
                <w:szCs w:val="20"/>
                <w:color w:val="auto"/>
              </w:rPr>
              <w:t>XBRL Taxonomy Extension Schema Document</w:t>
            </w: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1540" w:type="dxa"/>
            <w:vAlign w:val="bottom"/>
          </w:tcPr>
          <w:p>
            <w:pPr>
              <w:ind w:left="400"/>
              <w:spacing w:after="0"/>
              <w:rPr>
                <w:sz w:val="20"/>
                <w:szCs w:val="20"/>
                <w:color w:val="auto"/>
              </w:rPr>
            </w:pPr>
            <w:r>
              <w:rPr>
                <w:rFonts w:ascii="Arial" w:cs="Arial" w:eastAsia="Arial" w:hAnsi="Arial"/>
                <w:sz w:val="20"/>
                <w:szCs w:val="20"/>
                <w:color w:val="auto"/>
              </w:rPr>
              <w:t>101.CAL</w:t>
            </w:r>
          </w:p>
        </w:tc>
        <w:tc>
          <w:tcPr>
            <w:tcW w:w="380" w:type="dxa"/>
            <w:vAlign w:val="bottom"/>
          </w:tcPr>
          <w:p>
            <w:pPr>
              <w:spacing w:after="0"/>
              <w:rPr>
                <w:sz w:val="21"/>
                <w:szCs w:val="21"/>
                <w:color w:val="auto"/>
              </w:rPr>
            </w:pPr>
          </w:p>
        </w:tc>
        <w:tc>
          <w:tcPr>
            <w:tcW w:w="5880" w:type="dxa"/>
            <w:vAlign w:val="bottom"/>
            <w:gridSpan w:val="8"/>
          </w:tcPr>
          <w:p>
            <w:pPr>
              <w:spacing w:after="0"/>
              <w:rPr>
                <w:sz w:val="20"/>
                <w:szCs w:val="20"/>
                <w:color w:val="auto"/>
              </w:rPr>
            </w:pPr>
            <w:r>
              <w:rPr>
                <w:rFonts w:ascii="Arial" w:cs="Arial" w:eastAsia="Arial" w:hAnsi="Arial"/>
                <w:sz w:val="20"/>
                <w:szCs w:val="20"/>
                <w:color w:val="auto"/>
              </w:rPr>
              <w:t>XBRL Taxonomy Extension Calculation Linkbase Document</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1540" w:type="dxa"/>
            <w:vAlign w:val="bottom"/>
            <w:shd w:val="clear" w:color="auto" w:fill="CCEEFF"/>
          </w:tcPr>
          <w:p>
            <w:pPr>
              <w:ind w:left="380"/>
              <w:spacing w:after="0"/>
              <w:rPr>
                <w:sz w:val="20"/>
                <w:szCs w:val="20"/>
                <w:color w:val="auto"/>
              </w:rPr>
            </w:pPr>
            <w:r>
              <w:rPr>
                <w:rFonts w:ascii="Arial" w:cs="Arial" w:eastAsia="Arial" w:hAnsi="Arial"/>
                <w:sz w:val="20"/>
                <w:szCs w:val="20"/>
                <w:color w:val="auto"/>
              </w:rPr>
              <w:t>101.DEF</w:t>
            </w:r>
          </w:p>
        </w:tc>
        <w:tc>
          <w:tcPr>
            <w:tcW w:w="380" w:type="dxa"/>
            <w:vAlign w:val="bottom"/>
            <w:shd w:val="clear" w:color="auto" w:fill="CCEEFF"/>
          </w:tcPr>
          <w:p>
            <w:pPr>
              <w:spacing w:after="0"/>
              <w:rPr>
                <w:sz w:val="21"/>
                <w:szCs w:val="21"/>
                <w:color w:val="auto"/>
              </w:rPr>
            </w:pPr>
          </w:p>
        </w:tc>
        <w:tc>
          <w:tcPr>
            <w:tcW w:w="5880" w:type="dxa"/>
            <w:vAlign w:val="bottom"/>
            <w:gridSpan w:val="8"/>
            <w:shd w:val="clear" w:color="auto" w:fill="CCEEFF"/>
          </w:tcPr>
          <w:p>
            <w:pPr>
              <w:spacing w:after="0"/>
              <w:rPr>
                <w:sz w:val="20"/>
                <w:szCs w:val="20"/>
                <w:color w:val="auto"/>
              </w:rPr>
            </w:pPr>
            <w:r>
              <w:rPr>
                <w:rFonts w:ascii="Arial" w:cs="Arial" w:eastAsia="Arial" w:hAnsi="Arial"/>
                <w:sz w:val="20"/>
                <w:szCs w:val="20"/>
                <w:color w:val="auto"/>
              </w:rPr>
              <w:t>XBRL Taxonomy Extension Definition Linkbase Document</w:t>
            </w: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1540" w:type="dxa"/>
            <w:vAlign w:val="bottom"/>
          </w:tcPr>
          <w:p>
            <w:pPr>
              <w:ind w:left="400"/>
              <w:spacing w:after="0"/>
              <w:rPr>
                <w:sz w:val="20"/>
                <w:szCs w:val="20"/>
                <w:color w:val="auto"/>
              </w:rPr>
            </w:pPr>
            <w:r>
              <w:rPr>
                <w:rFonts w:ascii="Arial" w:cs="Arial" w:eastAsia="Arial" w:hAnsi="Arial"/>
                <w:sz w:val="20"/>
                <w:szCs w:val="20"/>
                <w:color w:val="auto"/>
              </w:rPr>
              <w:t>101.LAB</w:t>
            </w:r>
          </w:p>
        </w:tc>
        <w:tc>
          <w:tcPr>
            <w:tcW w:w="380" w:type="dxa"/>
            <w:vAlign w:val="bottom"/>
          </w:tcPr>
          <w:p>
            <w:pPr>
              <w:spacing w:after="0"/>
              <w:rPr>
                <w:sz w:val="21"/>
                <w:szCs w:val="21"/>
                <w:color w:val="auto"/>
              </w:rPr>
            </w:pPr>
          </w:p>
        </w:tc>
        <w:tc>
          <w:tcPr>
            <w:tcW w:w="5880" w:type="dxa"/>
            <w:vAlign w:val="bottom"/>
            <w:gridSpan w:val="8"/>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1540" w:type="dxa"/>
            <w:vAlign w:val="bottom"/>
            <w:shd w:val="clear" w:color="auto" w:fill="CCEEFF"/>
          </w:tcPr>
          <w:p>
            <w:pPr>
              <w:ind w:left="380"/>
              <w:spacing w:after="0"/>
              <w:rPr>
                <w:sz w:val="20"/>
                <w:szCs w:val="20"/>
                <w:color w:val="auto"/>
              </w:rPr>
            </w:pPr>
            <w:r>
              <w:rPr>
                <w:rFonts w:ascii="Arial" w:cs="Arial" w:eastAsia="Arial" w:hAnsi="Arial"/>
                <w:sz w:val="20"/>
                <w:szCs w:val="20"/>
                <w:color w:val="auto"/>
              </w:rPr>
              <w:t>101.PRE</w:t>
            </w:r>
          </w:p>
        </w:tc>
        <w:tc>
          <w:tcPr>
            <w:tcW w:w="380" w:type="dxa"/>
            <w:vAlign w:val="bottom"/>
            <w:shd w:val="clear" w:color="auto" w:fill="CCEEFF"/>
          </w:tcPr>
          <w:p>
            <w:pPr>
              <w:spacing w:after="0"/>
              <w:rPr>
                <w:sz w:val="21"/>
                <w:szCs w:val="21"/>
                <w:color w:val="auto"/>
              </w:rPr>
            </w:pPr>
          </w:p>
        </w:tc>
        <w:tc>
          <w:tcPr>
            <w:tcW w:w="5880" w:type="dxa"/>
            <w:vAlign w:val="bottom"/>
            <w:gridSpan w:val="8"/>
            <w:shd w:val="clear" w:color="auto" w:fill="CCEEFF"/>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bl>
    <w:p>
      <w:pPr>
        <w:spacing w:after="0" w:line="10" w:lineRule="exact"/>
        <w:rPr>
          <w:sz w:val="20"/>
          <w:szCs w:val="20"/>
          <w:color w:val="auto"/>
        </w:rPr>
      </w:pPr>
    </w:p>
    <w:p>
      <w:pPr>
        <w:ind w:left="1920" w:hanging="1308"/>
        <w:spacing w:after="0"/>
        <w:tabs>
          <w:tab w:leader="none" w:pos="1920" w:val="left"/>
        </w:tabs>
        <w:numPr>
          <w:ilvl w:val="1"/>
          <w:numId w:val="23"/>
        </w:numPr>
        <w:rPr>
          <w:rFonts w:ascii="Arial" w:cs="Arial" w:eastAsia="Arial" w:hAnsi="Arial"/>
          <w:sz w:val="20"/>
          <w:szCs w:val="20"/>
          <w:color w:val="auto"/>
        </w:rPr>
      </w:pPr>
      <w:r>
        <w:rPr>
          <w:rFonts w:ascii="Arial" w:cs="Arial" w:eastAsia="Arial" w:hAnsi="Arial"/>
          <w:sz w:val="20"/>
          <w:szCs w:val="20"/>
          <w:color w:val="auto"/>
        </w:rPr>
        <w:t>Cover Page Interactive Data Files</w:t>
      </w:r>
    </w:p>
    <w:p>
      <w:pPr>
        <w:spacing w:after="0" w:line="350"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Filed herewith</w:t>
      </w:r>
    </w:p>
    <w:p>
      <w:pPr>
        <w:ind w:left="220" w:hanging="212"/>
        <w:spacing w:after="0"/>
        <w:tabs>
          <w:tab w:leader="none" w:pos="2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8" w:name="page49"/>
    <w:bookmarkEnd w:id="48"/>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23"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thereunto duly authorized.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Array Technologies, Inc.</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Jim Fusaro</w:t>
            </w:r>
          </w:p>
        </w:tc>
        <w:tc>
          <w:tcPr>
            <w:tcW w:w="2060" w:type="dxa"/>
            <w:vAlign w:val="bottom"/>
          </w:tcPr>
          <w:p>
            <w:pPr>
              <w:ind w:left="1620"/>
              <w:spacing w:after="0"/>
              <w:rPr>
                <w:sz w:val="20"/>
                <w:szCs w:val="20"/>
                <w:color w:val="auto"/>
              </w:rPr>
            </w:pPr>
            <w:r>
              <w:rPr>
                <w:rFonts w:ascii="Arial" w:cs="Arial" w:eastAsia="Arial" w:hAnsi="Arial"/>
                <w:sz w:val="18"/>
                <w:szCs w:val="18"/>
                <w:color w:val="auto"/>
                <w:w w:val="97"/>
              </w:rPr>
              <w:t>Date:</w:t>
            </w:r>
          </w:p>
        </w:tc>
        <w:tc>
          <w:tcPr>
            <w:tcW w:w="2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November 12, 2021</w:t>
            </w:r>
          </w:p>
        </w:tc>
      </w:tr>
      <w:tr>
        <w:trPr>
          <w:trHeight w:val="223"/>
        </w:trPr>
        <w:tc>
          <w:tcPr>
            <w:tcW w:w="86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Jim Fusaro</w:t>
            </w:r>
          </w:p>
        </w:tc>
        <w:tc>
          <w:tcPr>
            <w:tcW w:w="206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30"/>
        </w:trPr>
        <w:tc>
          <w:tcPr>
            <w:tcW w:w="86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206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499"/>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Nipul Patel</w:t>
            </w:r>
          </w:p>
        </w:tc>
        <w:tc>
          <w:tcPr>
            <w:tcW w:w="2060" w:type="dxa"/>
            <w:vAlign w:val="bottom"/>
          </w:tcPr>
          <w:p>
            <w:pPr>
              <w:ind w:left="1620"/>
              <w:spacing w:after="0"/>
              <w:rPr>
                <w:sz w:val="20"/>
                <w:szCs w:val="20"/>
                <w:color w:val="auto"/>
              </w:rPr>
            </w:pPr>
            <w:r>
              <w:rPr>
                <w:rFonts w:ascii="Arial" w:cs="Arial" w:eastAsia="Arial" w:hAnsi="Arial"/>
                <w:sz w:val="18"/>
                <w:szCs w:val="18"/>
                <w:color w:val="auto"/>
                <w:w w:val="97"/>
              </w:rPr>
              <w:t>Date:</w:t>
            </w:r>
          </w:p>
        </w:tc>
        <w:tc>
          <w:tcPr>
            <w:tcW w:w="2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November 12, 2021</w:t>
            </w:r>
          </w:p>
        </w:tc>
      </w:tr>
      <w:tr>
        <w:trPr>
          <w:trHeight w:val="223"/>
        </w:trPr>
        <w:tc>
          <w:tcPr>
            <w:tcW w:w="86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Nipul Patel</w:t>
            </w:r>
          </w:p>
        </w:tc>
        <w:tc>
          <w:tcPr>
            <w:tcW w:w="206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30"/>
        </w:trPr>
        <w:tc>
          <w:tcPr>
            <w:tcW w:w="86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2060" w:type="dxa"/>
            <w:vAlign w:val="bottom"/>
          </w:tcPr>
          <w:p>
            <w:pPr>
              <w:spacing w:after="0"/>
              <w:rPr>
                <w:sz w:val="19"/>
                <w:szCs w:val="19"/>
                <w:color w:val="auto"/>
              </w:rPr>
            </w:pPr>
          </w:p>
        </w:tc>
        <w:tc>
          <w:tcPr>
            <w:tcW w:w="2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120"/>
          </w:cols>
          <w:pgMar w:left="320" w:top="1097"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BY CHIEF EXECUTIVE OFFICER PURSUANT TO</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Jim Fusaro, certify that:</w:t>
      </w:r>
    </w:p>
    <w:p>
      <w:pPr>
        <w:spacing w:after="0" w:line="249"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18"/>
          <w:szCs w:val="18"/>
          <w:color w:val="auto"/>
        </w:rPr>
        <w:t xml:space="preserve">I have reviewed this Quarterly Report on Form 10-Q of </w:t>
      </w:r>
      <w:r>
        <w:rPr>
          <w:rFonts w:ascii="Arial" w:cs="Arial" w:eastAsia="Arial" w:hAnsi="Arial"/>
          <w:sz w:val="19"/>
          <w:szCs w:val="19"/>
          <w:color w:val="auto"/>
        </w:rPr>
        <w:t>Array Technologies, Inc.</w:t>
      </w:r>
      <w:r>
        <w:rPr>
          <w:rFonts w:ascii="Arial" w:cs="Arial" w:eastAsia="Arial" w:hAnsi="Arial"/>
          <w:sz w:val="18"/>
          <w:szCs w:val="18"/>
          <w:color w:val="auto"/>
        </w:rPr>
        <w:t>;</w:t>
      </w:r>
    </w:p>
    <w:p>
      <w:pPr>
        <w:spacing w:after="0" w:line="245" w:lineRule="exact"/>
        <w:rPr>
          <w:rFonts w:ascii="Arial" w:cs="Arial" w:eastAsia="Arial" w:hAnsi="Arial"/>
          <w:sz w:val="20"/>
          <w:szCs w:val="20"/>
          <w:color w:val="auto"/>
        </w:rPr>
      </w:pPr>
    </w:p>
    <w:p>
      <w:pPr>
        <w:ind w:left="660" w:right="40" w:hanging="328"/>
        <w:spacing w:after="0" w:line="256"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00" w:hanging="328"/>
        <w:spacing w:after="0" w:line="256"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right="100" w:hanging="328"/>
        <w:spacing w:after="0" w:line="256"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[omitted pursuant to Rules 13a-14(a) and 15d-14(a)] for the registrant and have:</w:t>
      </w:r>
    </w:p>
    <w:p>
      <w:pPr>
        <w:spacing w:after="0" w:line="228"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1300" w:hanging="320"/>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[omitted pursuant to Rules 13a-14(a) and 15d-14(a)]</w:t>
      </w:r>
    </w:p>
    <w:p>
      <w:pPr>
        <w:spacing w:after="0" w:line="252" w:lineRule="exact"/>
        <w:rPr>
          <w:rFonts w:ascii="Arial" w:cs="Arial" w:eastAsia="Arial" w:hAnsi="Arial"/>
          <w:sz w:val="18"/>
          <w:szCs w:val="18"/>
          <w:color w:val="auto"/>
        </w:rPr>
      </w:pPr>
    </w:p>
    <w:p>
      <w:pPr>
        <w:ind w:left="1300" w:right="260" w:hanging="320"/>
        <w:spacing w:after="0" w:line="256" w:lineRule="auto"/>
        <w:tabs>
          <w:tab w:leader="none" w:pos="1288"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20" w:hanging="320"/>
        <w:spacing w:after="0" w:line="256" w:lineRule="auto"/>
        <w:tabs>
          <w:tab w:leader="none" w:pos="129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320" w:hanging="328"/>
        <w:spacing w:after="0" w:line="256"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right="420" w:hanging="320"/>
        <w:spacing w:after="0" w:line="256" w:lineRule="auto"/>
        <w:tabs>
          <w:tab w:leader="none" w:pos="129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760" w:hanging="320"/>
        <w:spacing w:after="0" w:line="261" w:lineRule="auto"/>
        <w:tabs>
          <w:tab w:leader="none" w:pos="129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Jim Fusaro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66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Jim Fusaro</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(Principal Executive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2021</w:t>
      </w:r>
    </w:p>
    <w:p>
      <w:pPr>
        <w:sectPr>
          <w:pgSz w:w="11900" w:h="16838" w:orient="portrait"/>
          <w:cols w:equalWidth="0" w:num="1">
            <w:col w:w="11200"/>
          </w:cols>
          <w:pgMar w:left="320" w:top="765"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BY CHIEF FINANCIAL OFFICER PURSUANT TO</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Nipul Patel, certify that:</w:t>
      </w:r>
    </w:p>
    <w:p>
      <w:pPr>
        <w:spacing w:after="0" w:line="249"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18"/>
          <w:szCs w:val="18"/>
          <w:color w:val="auto"/>
        </w:rPr>
        <w:t xml:space="preserve">I have reviewed this Quarterly Report on Form 10-Q of </w:t>
      </w:r>
      <w:r>
        <w:rPr>
          <w:rFonts w:ascii="Arial" w:cs="Arial" w:eastAsia="Arial" w:hAnsi="Arial"/>
          <w:sz w:val="19"/>
          <w:szCs w:val="19"/>
          <w:color w:val="auto"/>
        </w:rPr>
        <w:t>Array Technologies, Inc.</w:t>
      </w:r>
      <w:r>
        <w:rPr>
          <w:rFonts w:ascii="Arial" w:cs="Arial" w:eastAsia="Arial" w:hAnsi="Arial"/>
          <w:sz w:val="18"/>
          <w:szCs w:val="18"/>
          <w:color w:val="auto"/>
        </w:rPr>
        <w:t>;</w:t>
      </w:r>
    </w:p>
    <w:p>
      <w:pPr>
        <w:spacing w:after="0" w:line="245" w:lineRule="exact"/>
        <w:rPr>
          <w:rFonts w:ascii="Arial" w:cs="Arial" w:eastAsia="Arial" w:hAnsi="Arial"/>
          <w:sz w:val="20"/>
          <w:szCs w:val="20"/>
          <w:color w:val="auto"/>
        </w:rPr>
      </w:pPr>
    </w:p>
    <w:p>
      <w:pPr>
        <w:ind w:left="660" w:right="40" w:hanging="328"/>
        <w:spacing w:after="0" w:line="256"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00" w:hanging="328"/>
        <w:spacing w:after="0" w:line="256"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right="100" w:hanging="328"/>
        <w:spacing w:after="0" w:line="256"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[omitted pursuant to Rules 13a-14(a) and 15d-14(a)] for the registrant and have:</w:t>
      </w:r>
    </w:p>
    <w:p>
      <w:pPr>
        <w:spacing w:after="0" w:line="228" w:lineRule="exact"/>
        <w:rPr>
          <w:rFonts w:ascii="Arial" w:cs="Arial" w:eastAsia="Arial" w:hAnsi="Arial"/>
          <w:sz w:val="18"/>
          <w:szCs w:val="18"/>
          <w:color w:val="auto"/>
        </w:rPr>
      </w:pPr>
    </w:p>
    <w:p>
      <w:pPr>
        <w:ind w:left="1300" w:hanging="320"/>
        <w:spacing w:after="0" w:line="256" w:lineRule="auto"/>
        <w:tabs>
          <w:tab w:leader="none" w:pos="129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[omitted pursuant to Rules 13a-14(a) and 15d-14(a)]</w:t>
      </w:r>
    </w:p>
    <w:p>
      <w:pPr>
        <w:spacing w:after="0" w:line="252" w:lineRule="exact"/>
        <w:rPr>
          <w:rFonts w:ascii="Arial" w:cs="Arial" w:eastAsia="Arial" w:hAnsi="Arial"/>
          <w:sz w:val="18"/>
          <w:szCs w:val="18"/>
          <w:color w:val="auto"/>
        </w:rPr>
      </w:pPr>
    </w:p>
    <w:p>
      <w:pPr>
        <w:ind w:left="1300" w:right="260" w:hanging="320"/>
        <w:spacing w:after="0" w:line="256" w:lineRule="auto"/>
        <w:tabs>
          <w:tab w:leader="none" w:pos="1288"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20" w:hanging="320"/>
        <w:spacing w:after="0" w:line="256" w:lineRule="auto"/>
        <w:tabs>
          <w:tab w:leader="none" w:pos="129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320" w:hanging="328"/>
        <w:spacing w:after="0" w:line="256" w:lineRule="auto"/>
        <w:tabs>
          <w:tab w:leader="none" w:pos="6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right="420" w:hanging="320"/>
        <w:spacing w:after="0" w:line="256" w:lineRule="auto"/>
        <w:tabs>
          <w:tab w:leader="none" w:pos="129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760" w:hanging="320"/>
        <w:spacing w:after="0" w:line="261" w:lineRule="auto"/>
        <w:tabs>
          <w:tab w:leader="none" w:pos="129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6350</wp:posOffset>
            </wp:positionV>
            <wp:extent cx="42862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 (Principal Financial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2021</w:t>
      </w:r>
    </w:p>
    <w:p>
      <w:pPr>
        <w:sectPr>
          <w:pgSz w:w="11900" w:h="16838" w:orient="portrait"/>
          <w:cols w:equalWidth="0" w:num="1">
            <w:col w:w="11200"/>
          </w:cols>
          <w:pgMar w:left="320" w:top="765"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this Quarterly Report of Array Technologies, Inc. (the "Company") filed on Form 10-Q for the period ended September 30, 2021, as filed with the Securities and Exchange Commission on the date hereof (the “Report”), I, Jim Fusaro, Chief Executive Officer of the Company, certify, pursuant to 18 U.S.C. Section 1350, as adopted pursuant to Section 906 of the Sarbanes-Oxley Act of 2002, that to my knowledge:</w:t>
      </w:r>
    </w:p>
    <w:p>
      <w:pPr>
        <w:spacing w:after="0" w:line="231"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Jim Fusaro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6350</wp:posOffset>
            </wp:positionV>
            <wp:extent cx="42862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Jim Fusaro</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Chief Executive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2021</w:t>
      </w:r>
    </w:p>
    <w:p>
      <w:pPr>
        <w:sectPr>
          <w:pgSz w:w="11900" w:h="16838" w:orient="portrait"/>
          <w:cols w:equalWidth="0" w:num="1">
            <w:col w:w="11160"/>
          </w:cols>
          <w:pgMar w:left="320" w:top="765" w:right="41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this Quarterly Report of Array Technologies, Inc. (the "Company") filed on Form 10-Q for the period ended September 30, 2021, as filed with the Securities and Exchange Commission on the date hereof (the “Report”), I, Nipul Patel, Chief Financial Officer of the Company, certify, pursuant to 18 U.S.C. Section 1350, as adopted pursuant to Section 906 of the Sarbanes-Oxley Act of 2002, that to my knowledge:</w:t>
      </w:r>
    </w:p>
    <w:p>
      <w:pPr>
        <w:spacing w:after="0" w:line="231"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6350</wp:posOffset>
            </wp:positionV>
            <wp:extent cx="42862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2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Chief Financial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2021</w:t>
      </w:r>
    </w:p>
    <w:sectPr>
      <w:pgSz w:w="11900" w:h="16838" w:orient="portrait"/>
      <w:cols w:equalWidth="0" w:num="1">
        <w:col w:w="11160"/>
      </w:cols>
      <w:pgMar w:left="320" w:top="76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2"/>
    </w:lvl>
  </w:abstractNum>
  <w:abstractNum w:abstractNumId="7">
    <w:nsid w:val="431BD7B7"/>
    <w:multiLevelType w:val="hybridMultilevel"/>
    <w:lvl w:ilvl="0">
      <w:lvlJc w:val="left"/>
      <w:lvlText w:val="%1."/>
      <w:numFmt w:val="decimal"/>
      <w:start w:val="5"/>
    </w:lvl>
  </w:abstractNum>
  <w:abstractNum w:abstractNumId="8">
    <w:nsid w:val="3F2DBA31"/>
    <w:multiLevelType w:val="hybridMultilevel"/>
    <w:lvl w:ilvl="0">
      <w:lvlJc w:val="left"/>
      <w:lvlText w:val="%1."/>
      <w:numFmt w:val="decimal"/>
      <w:start w:val="6"/>
    </w:lvl>
  </w:abstractNum>
  <w:abstractNum w:abstractNumId="9">
    <w:nsid w:val="7C83E458"/>
    <w:multiLevelType w:val="hybridMultilevel"/>
    <w:lvl w:ilvl="0">
      <w:lvlJc w:val="left"/>
      <w:lvlText w:val="%1."/>
      <w:numFmt w:val="decimal"/>
      <w:start w:val="7"/>
    </w:lvl>
  </w:abstractNum>
  <w:abstractNum w:abstractNumId="10">
    <w:nsid w:val="257130A3"/>
    <w:multiLevelType w:val="hybridMultilevel"/>
    <w:lvl w:ilvl="0">
      <w:lvlJc w:val="left"/>
      <w:lvlText w:val="%1."/>
      <w:numFmt w:val="decimal"/>
      <w:start w:val="9"/>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decimal"/>
      <w:start w:val="11"/>
    </w:lvl>
  </w:abstractNum>
  <w:abstractNum w:abstractNumId="13">
    <w:nsid w:val="628C895D"/>
    <w:multiLevelType w:val="hybridMultilevel"/>
    <w:lvl w:ilvl="0">
      <w:lvlJc w:val="left"/>
      <w:lvlText w:val="%1."/>
      <w:numFmt w:val="decimal"/>
      <w:start w:val="12"/>
    </w:lvl>
  </w:abstractNum>
  <w:abstractNum w:abstractNumId="14">
    <w:nsid w:val="333AB105"/>
    <w:multiLevelType w:val="hybridMultilevel"/>
    <w:lvl w:ilvl="0">
      <w:lvlJc w:val="left"/>
      <w:lvlText w:val="%1."/>
      <w:numFmt w:val="decimal"/>
      <w:start w:val="13"/>
    </w:lvl>
  </w:abstractNum>
  <w:abstractNum w:abstractNumId="15">
    <w:nsid w:val="721DA317"/>
    <w:multiLevelType w:val="hybridMultilevel"/>
    <w:lvl w:ilvl="0">
      <w:lvlJc w:val="left"/>
      <w:lvlText w:val="%1."/>
      <w:numFmt w:val="decimal"/>
      <w:start w:val="14"/>
    </w:lvl>
  </w:abstractNum>
  <w:abstractNum w:abstractNumId="16">
    <w:nsid w:val="2443A858"/>
    <w:multiLevelType w:val="hybridMultilevel"/>
    <w:lvl w:ilvl="0">
      <w:lvlJc w:val="left"/>
      <w:lvlText w:val="%1."/>
      <w:numFmt w:val="decimal"/>
      <w:start w:val="15"/>
    </w:lvl>
  </w:abstractNum>
  <w:abstractNum w:abstractNumId="17">
    <w:nsid w:val="2D1D5AE9"/>
    <w:multiLevelType w:val="hybridMultilevel"/>
    <w:lvl w:ilvl="0">
      <w:lvlJc w:val="left"/>
      <w:lvlText w:val="%1."/>
      <w:numFmt w:val="decimal"/>
      <w:start w:val="17"/>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lvl w:ilvl="1">
      <w:lvlJc w:val="left"/>
      <w:lvlText w:val="%2"/>
      <w:numFmt w:val="decimal"/>
      <w:start w:val="104"/>
    </w:lvl>
  </w:abstractNum>
  <w:abstractNum w:abstractNumId="23">
    <w:nsid w:val="B03E0C6"/>
    <w:multiLevelType w:val="hybridMultilevel"/>
    <w:lvl w:ilvl="0">
      <w:lvlJc w:val="left"/>
      <w:lvlText w:val="**"/>
      <w:numFmt w:val="bullet"/>
      <w:start w:val="1"/>
    </w:lvl>
    <w:lvl w:ilvl="1">
      <w:lvlJc w:val="left"/>
      <w:lvlText w:val="%2"/>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4"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70" Type="http://schemas.openxmlformats.org/officeDocument/2006/relationships/hyperlink" Target="http://www.sec.gov/Archives/edgar/data/1820721/000119312520272092/d50569dex31.htm" TargetMode="External"/><Relationship Id="rId71" Type="http://schemas.openxmlformats.org/officeDocument/2006/relationships/hyperlink" Target="http://www.sec.gov/Archives/edgar/data/1820721/000119312520272092/d50569dex32.htm" TargetMode="External"/><Relationship Id="rId72" Type="http://schemas.openxmlformats.org/officeDocument/2006/relationships/hyperlink" Target="https://www.sec.gov/Archives/edgar/data/0001820721/000182072121000057/helios-certificateofdesign.htm" TargetMode="External"/><Relationship Id="rId73" Type="http://schemas.openxmlformats.org/officeDocument/2006/relationships/hyperlink" Target="https://www.sec.gov/Archives/edgar/data/1820721/000182072121000057/array-securitiespurchaseag.htm" TargetMode="External"/><Relationship Id="rId75" Type="http://schemas.openxmlformats.org/officeDocument/2006/relationships/hyperlink" Target="https://www.sec.gov/Archives/edgar/data/0001820721/000182072121000057/helios-bxregistrationrigh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2021-11-12T17:03:08Z</dcterms:created>
  <dcterms:modified xsi:type="dcterms:W3CDTF">2021-11-12T17:03:08Z</dcterms:modified>
</cp:coreProperties>
</file>