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58" w:lineRule="exact"/>
        <w:rPr>
          <w:sz w:val="24"/>
          <w:szCs w:val="24"/>
          <w:color w:val="auto"/>
        </w:rPr>
      </w:pPr>
    </w:p>
    <w:p>
      <w:pPr>
        <w:jc w:val="center"/>
        <w:ind w:left="3760" w:right="920" w:hanging="2825"/>
        <w:spacing w:after="0" w:line="287" w:lineRule="auto"/>
        <w:tabs>
          <w:tab w:leader="none" w:pos="11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62" w:lineRule="exact"/>
        <w:rPr>
          <w:sz w:val="24"/>
          <w:szCs w:val="24"/>
          <w:color w:val="auto"/>
        </w:rPr>
      </w:pPr>
    </w:p>
    <w:p>
      <w:pPr>
        <w:jc w:val="center"/>
        <w:ind w:left="3640" w:right="1400" w:hanging="2242"/>
        <w:spacing w:after="0" w:line="286"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36" w:lineRule="exact"/>
        <w:rPr>
          <w:sz w:val="24"/>
          <w:szCs w:val="24"/>
          <w:color w:val="auto"/>
        </w:rPr>
      </w:pPr>
    </w:p>
    <w:p>
      <w:pPr>
        <w:ind w:right="220"/>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7"/>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of May 6, 2024, there were 151,769,152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16"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200" w:type="dxa"/>
            <w:vAlign w:val="bottom"/>
            <w:tcBorders>
              <w:top w:val="single" w:sz="8" w:color="CCEEFF"/>
            </w:tcBorders>
            <w:gridSpan w:val="3"/>
          </w:tcPr>
          <w:p>
            <w:pPr>
              <w:jc w:val="center"/>
              <w:ind w:right="20"/>
              <w:spacing w:after="0" w:line="189" w:lineRule="exact"/>
              <w:rPr>
                <w:sz w:val="20"/>
                <w:szCs w:val="20"/>
                <w:color w:val="auto"/>
              </w:rPr>
            </w:pPr>
            <w:r>
              <w:rPr>
                <w:rFonts w:ascii="Arial" w:cs="Arial" w:eastAsia="Arial" w:hAnsi="Arial"/>
                <w:sz w:val="18"/>
                <w:szCs w:val="18"/>
                <w:color w:val="0000FF"/>
                <w:w w:val="99"/>
              </w:rPr>
              <w:t>1</w:t>
            </w: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3</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2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0000FF"/>
                <w:w w:val="99"/>
              </w:rPr>
              <w:t>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w:t>
            </w:r>
          </w:p>
        </w:tc>
        <w:tc>
          <w:tcPr>
            <w:tcW w:w="6040" w:type="dxa"/>
            <w:vAlign w:val="bottom"/>
            <w:tcBorders>
              <w:top w:val="single" w:sz="8" w:color="0000FF"/>
            </w:tcBorders>
            <w:gridSpan w:val="1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60" w:type="dxa"/>
            <w:vAlign w:val="bottom"/>
            <w:tcBorders>
              <w:top w:val="single" w:sz="8" w:color="CCEEFF"/>
            </w:tcBorders>
            <w:gridSpan w:val="2"/>
            <w:vMerge w:val="continue"/>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200" w:type="dxa"/>
            <w:vAlign w:val="bottom"/>
            <w:gridSpan w:val="3"/>
          </w:tcPr>
          <w:p>
            <w:pPr>
              <w:jc w:val="center"/>
              <w:ind w:right="20"/>
              <w:spacing w:after="0" w:line="183" w:lineRule="exact"/>
              <w:rPr>
                <w:sz w:val="20"/>
                <w:szCs w:val="20"/>
                <w:color w:val="auto"/>
              </w:rPr>
            </w:pPr>
            <w:r>
              <w:rPr>
                <w:rFonts w:ascii="Arial" w:cs="Arial" w:eastAsia="Arial" w:hAnsi="Arial"/>
                <w:sz w:val="18"/>
                <w:szCs w:val="18"/>
                <w:color w:val="0000FF"/>
                <w:w w:val="99"/>
              </w:rPr>
              <w:t>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gridSpan w:val="6"/>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9</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4"/>
          </w:tcPr>
          <w:p>
            <w:pPr>
              <w:jc w:val="center"/>
              <w:ind w:right="520"/>
              <w:spacing w:after="0" w:line="189" w:lineRule="exact"/>
              <w:rPr>
                <w:sz w:val="20"/>
                <w:szCs w:val="20"/>
                <w:color w:val="auto"/>
              </w:rPr>
            </w:pPr>
            <w:r>
              <w:rPr>
                <w:rFonts w:ascii="Arial" w:cs="Arial" w:eastAsia="Arial" w:hAnsi="Arial"/>
                <w:sz w:val="18"/>
                <w:szCs w:val="18"/>
                <w:color w:val="0000FF"/>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43</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2"/>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44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45</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45</w:t>
            </w: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45</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45</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46</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46</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1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46</w:t>
            </w:r>
          </w:p>
        </w:tc>
        <w:tc>
          <w:tcPr>
            <w:tcW w:w="120" w:type="dxa"/>
            <w:vAlign w:val="bottom"/>
          </w:tcPr>
          <w:p>
            <w:pPr>
              <w:spacing w:after="0"/>
              <w:rPr>
                <w:sz w:val="18"/>
                <w:szCs w:val="18"/>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 w:name="page4"/>
    <w:bookmarkEnd w:id="3"/>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2024</w:t>
            </w:r>
          </w:p>
        </w:tc>
        <w:tc>
          <w:tcPr>
            <w:tcW w:w="200" w:type="dxa"/>
            <w:vAlign w:val="bottom"/>
          </w:tcPr>
          <w:p>
            <w:pPr>
              <w:spacing w:after="0"/>
              <w:rPr>
                <w:sz w:val="24"/>
                <w:szCs w:val="24"/>
                <w:color w:val="auto"/>
              </w:rPr>
            </w:pPr>
          </w:p>
        </w:tc>
        <w:tc>
          <w:tcPr>
            <w:tcW w:w="2120" w:type="dxa"/>
            <w:vAlign w:val="bottom"/>
          </w:tcPr>
          <w:p>
            <w:pPr>
              <w:jc w:val="right"/>
              <w:ind w:right="181"/>
              <w:spacing w:after="0"/>
              <w:rPr>
                <w:sz w:val="20"/>
                <w:szCs w:val="20"/>
                <w:color w:val="auto"/>
              </w:rPr>
            </w:pPr>
            <w:r>
              <w:rPr>
                <w:rFonts w:ascii="Arial" w:cs="Arial" w:eastAsia="Arial" w:hAnsi="Arial"/>
                <w:sz w:val="20"/>
                <w:szCs w:val="20"/>
                <w:b w:val="1"/>
                <w:bCs w:val="1"/>
                <w:color w:val="auto"/>
              </w:rPr>
              <w:t>December 31, 2023</w:t>
            </w:r>
          </w:p>
        </w:tc>
        <w:tc>
          <w:tcPr>
            <w:tcW w:w="0" w:type="dxa"/>
            <w:vAlign w:val="bottom"/>
          </w:tcPr>
          <w:p>
            <w:pPr>
              <w:spacing w:after="0"/>
              <w:rPr>
                <w:sz w:val="1"/>
                <w:szCs w:val="1"/>
                <w:color w:val="auto"/>
              </w:rPr>
            </w:pPr>
          </w:p>
        </w:tc>
      </w:tr>
      <w:tr>
        <w:trPr>
          <w:trHeight w:val="240"/>
        </w:trPr>
        <w:tc>
          <w:tcPr>
            <w:tcW w:w="6500" w:type="dxa"/>
            <w:vAlign w:val="bottom"/>
            <w:tcBorders>
              <w:top w:val="single" w:sz="8" w:color="CCEEFF"/>
            </w:tcBorders>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300" w:type="dxa"/>
            <w:vAlign w:val="bottom"/>
            <w:tcBorders>
              <w:top w:val="single" w:sz="8" w:color="auto"/>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287,620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249,080</w:t>
            </w:r>
          </w:p>
        </w:tc>
        <w:tc>
          <w:tcPr>
            <w:tcW w:w="0" w:type="dxa"/>
            <w:vAlign w:val="bottom"/>
          </w:tcPr>
          <w:p>
            <w:pPr>
              <w:spacing w:after="0"/>
              <w:rPr>
                <w:sz w:val="1"/>
                <w:szCs w:val="1"/>
                <w:color w:val="auto"/>
              </w:rPr>
            </w:pPr>
          </w:p>
        </w:tc>
      </w:tr>
      <w:tr>
        <w:trPr>
          <w:trHeight w:val="194"/>
        </w:trPr>
        <w:tc>
          <w:tcPr>
            <w:tcW w:w="6500" w:type="dxa"/>
            <w:vAlign w:val="bottom"/>
          </w:tcPr>
          <w:p>
            <w:pPr>
              <w:ind w:left="260"/>
              <w:spacing w:after="0" w:line="194" w:lineRule="exact"/>
              <w:rPr>
                <w:sz w:val="20"/>
                <w:szCs w:val="20"/>
                <w:color w:val="auto"/>
              </w:rPr>
            </w:pPr>
            <w:r>
              <w:rPr>
                <w:rFonts w:ascii="Arial" w:cs="Arial" w:eastAsia="Arial" w:hAnsi="Arial"/>
                <w:sz w:val="20"/>
                <w:szCs w:val="20"/>
                <w:color w:val="auto"/>
              </w:rPr>
              <w:t>Accounts receivable, net of allowance of $4,614 and $3,824,</w:t>
            </w:r>
          </w:p>
        </w:tc>
        <w:tc>
          <w:tcPr>
            <w:tcW w:w="30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229,224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332,152</w:t>
            </w:r>
          </w:p>
        </w:tc>
        <w:tc>
          <w:tcPr>
            <w:tcW w:w="0" w:type="dxa"/>
            <w:vAlign w:val="bottom"/>
          </w:tcPr>
          <w:p>
            <w:pPr>
              <w:spacing w:after="0"/>
              <w:rPr>
                <w:sz w:val="1"/>
                <w:szCs w:val="1"/>
                <w:color w:val="auto"/>
              </w:rPr>
            </w:pPr>
          </w:p>
        </w:tc>
      </w:tr>
      <w:tr>
        <w:trPr>
          <w:trHeight w:val="251"/>
        </w:trPr>
        <w:tc>
          <w:tcPr>
            <w:tcW w:w="6500" w:type="dxa"/>
            <w:vAlign w:val="bottom"/>
          </w:tcPr>
          <w:p>
            <w:pPr>
              <w:ind w:left="260"/>
              <w:spacing w:after="0"/>
              <w:rPr>
                <w:sz w:val="20"/>
                <w:szCs w:val="20"/>
                <w:color w:val="auto"/>
              </w:rPr>
            </w:pPr>
            <w:r>
              <w:rPr>
                <w:rFonts w:ascii="Arial" w:cs="Arial" w:eastAsia="Arial" w:hAnsi="Arial"/>
                <w:sz w:val="20"/>
                <w:szCs w:val="20"/>
                <w:color w:val="auto"/>
              </w:rPr>
              <w:t>respectively</w:t>
            </w:r>
          </w:p>
        </w:tc>
        <w:tc>
          <w:tcPr>
            <w:tcW w:w="300" w:type="dxa"/>
            <w:vAlign w:val="bottom"/>
          </w:tcPr>
          <w:p>
            <w:pPr>
              <w:spacing w:after="0"/>
              <w:rPr>
                <w:sz w:val="21"/>
                <w:szCs w:val="21"/>
                <w:color w:val="auto"/>
              </w:rPr>
            </w:pPr>
          </w:p>
        </w:tc>
        <w:tc>
          <w:tcPr>
            <w:tcW w:w="2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w:t>
            </w: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178,695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161,964</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Prepaid expenses and other</w:t>
            </w: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78,884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89,085</w:t>
            </w: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current assets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774,423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832,281</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27,893</w:t>
            </w:r>
          </w:p>
        </w:tc>
        <w:tc>
          <w:tcPr>
            <w:tcW w:w="0" w:type="dxa"/>
            <w:vAlign w:val="bottom"/>
          </w:tcPr>
          <w:p>
            <w:pPr>
              <w:spacing w:after="0"/>
              <w:rPr>
                <w:sz w:val="1"/>
                <w:szCs w:val="1"/>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Goodwill</w:t>
            </w:r>
          </w:p>
        </w:tc>
        <w:tc>
          <w:tcPr>
            <w:tcW w:w="3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425,414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435,591</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339,177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354,389</w:t>
            </w:r>
          </w:p>
        </w:tc>
        <w:tc>
          <w:tcPr>
            <w:tcW w:w="0" w:type="dxa"/>
            <w:vAlign w:val="bottom"/>
          </w:tcPr>
          <w:p>
            <w:pPr>
              <w:spacing w:after="0"/>
              <w:rPr>
                <w:sz w:val="1"/>
                <w:szCs w:val="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Deferred income tax assets</w:t>
            </w:r>
          </w:p>
        </w:tc>
        <w:tc>
          <w:tcPr>
            <w:tcW w:w="3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13,854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15,870</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49,726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40,717</w:t>
            </w:r>
          </w:p>
        </w:tc>
        <w:tc>
          <w:tcPr>
            <w:tcW w:w="0" w:type="dxa"/>
            <w:vAlign w:val="bottom"/>
          </w:tcPr>
          <w:p>
            <w:pPr>
              <w:spacing w:after="0"/>
              <w:rPr>
                <w:sz w:val="1"/>
                <w:szCs w:val="1"/>
                <w:color w:val="auto"/>
              </w:rPr>
            </w:pPr>
          </w:p>
        </w:tc>
      </w:tr>
      <w:tr>
        <w:trPr>
          <w:trHeight w:val="250"/>
        </w:trPr>
        <w:tc>
          <w:tcPr>
            <w:tcW w:w="6500" w:type="dxa"/>
            <w:vAlign w:val="bottom"/>
          </w:tcPr>
          <w:p>
            <w:pPr>
              <w:ind w:left="520"/>
              <w:spacing w:after="0"/>
              <w:rPr>
                <w:sz w:val="20"/>
                <w:szCs w:val="20"/>
                <w:color w:val="auto"/>
              </w:rPr>
            </w:pPr>
            <w:r>
              <w:rPr>
                <w:rFonts w:ascii="Arial" w:cs="Arial" w:eastAsia="Arial" w:hAnsi="Arial"/>
                <w:sz w:val="20"/>
                <w:szCs w:val="20"/>
                <w:color w:val="auto"/>
              </w:rPr>
              <w:t>Total assets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1,629,283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1,706,741</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1140" w:firstLine="1118"/>
        <w:spacing w:after="0" w:line="265"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15175"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650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740" w:type="dxa"/>
            <w:vAlign w:val="bottom"/>
          </w:tcPr>
          <w:p>
            <w:pPr>
              <w:jc w:val="right"/>
              <w:ind w:right="52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93,404</w:t>
            </w:r>
          </w:p>
        </w:tc>
        <w:tc>
          <w:tcPr>
            <w:tcW w:w="100" w:type="dxa"/>
            <w:vAlign w:val="bottom"/>
          </w:tcPr>
          <w:p>
            <w:pPr>
              <w:spacing w:after="0"/>
              <w:rPr>
                <w:sz w:val="22"/>
                <w:szCs w:val="22"/>
                <w:color w:val="auto"/>
              </w:rPr>
            </w:pPr>
          </w:p>
        </w:tc>
        <w:tc>
          <w:tcPr>
            <w:tcW w:w="740" w:type="dxa"/>
            <w:vAlign w:val="bottom"/>
          </w:tcPr>
          <w:p>
            <w:pPr>
              <w:jc w:val="right"/>
              <w:ind w:right="521"/>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119,498</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34,449</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70,211</w:t>
            </w:r>
          </w:p>
        </w:tc>
      </w:tr>
      <w:tr>
        <w:trPr>
          <w:trHeight w:val="257"/>
        </w:trPr>
        <w:tc>
          <w:tcPr>
            <w:tcW w:w="650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2,279</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2,790</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7,030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5,754</w:t>
            </w:r>
          </w:p>
        </w:tc>
      </w:tr>
      <w:tr>
        <w:trPr>
          <w:trHeight w:val="257"/>
        </w:trPr>
        <w:tc>
          <w:tcPr>
            <w:tcW w:w="650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86,558</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66,488</w:t>
            </w: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1,427</w:t>
            </w:r>
          </w:p>
        </w:tc>
      </w:tr>
      <w:tr>
        <w:trPr>
          <w:trHeight w:val="256"/>
        </w:trPr>
        <w:tc>
          <w:tcPr>
            <w:tcW w:w="650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22,496</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21,472</w:t>
            </w: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7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35,558</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48,051</w:t>
            </w:r>
          </w:p>
        </w:tc>
      </w:tr>
      <w:tr>
        <w:trPr>
          <w:trHeight w:val="250"/>
        </w:trPr>
        <w:tc>
          <w:tcPr>
            <w:tcW w:w="6500" w:type="dxa"/>
            <w:vAlign w:val="bottom"/>
          </w:tcPr>
          <w:p>
            <w:pPr>
              <w:ind w:left="520"/>
              <w:spacing w:after="0"/>
              <w:rPr>
                <w:sz w:val="20"/>
                <w:szCs w:val="20"/>
                <w:color w:val="auto"/>
              </w:rPr>
            </w:pPr>
            <w:r>
              <w:rPr>
                <w:rFonts w:ascii="Arial" w:cs="Arial" w:eastAsia="Arial" w:hAnsi="Arial"/>
                <w:sz w:val="20"/>
                <w:szCs w:val="20"/>
                <w:color w:val="auto"/>
              </w:rPr>
              <w:t>Total current liabilities</w:t>
            </w:r>
          </w:p>
        </w:tc>
        <w:tc>
          <w:tcPr>
            <w:tcW w:w="7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283,662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335,691</w:t>
            </w:r>
          </w:p>
        </w:tc>
      </w:tr>
      <w:tr>
        <w:trPr>
          <w:trHeight w:val="270"/>
        </w:trPr>
        <w:tc>
          <w:tcPr>
            <w:tcW w:w="65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Deferred income tax liabilities</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62,880</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66,858</w:t>
            </w: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6,313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8,936</w:t>
            </w: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Other long-term liabilities</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19,260</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20,428</w:t>
            </w: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warranty</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3,474</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3,372</w:t>
            </w:r>
          </w:p>
        </w:tc>
      </w:tr>
      <w:tr>
        <w:trPr>
          <w:trHeight w:val="25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Long-term debt, net of current portion</w:t>
            </w:r>
          </w:p>
        </w:tc>
        <w:tc>
          <w:tcPr>
            <w:tcW w:w="7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657,708</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660,948</w:t>
            </w:r>
          </w:p>
        </w:tc>
      </w:tr>
      <w:tr>
        <w:trPr>
          <w:trHeight w:val="250"/>
        </w:trPr>
        <w:tc>
          <w:tcPr>
            <w:tcW w:w="6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liabilities</w:t>
            </w:r>
          </w:p>
        </w:tc>
        <w:tc>
          <w:tcPr>
            <w:tcW w:w="7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1,033,297</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1,096,233</w:t>
            </w: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2024</w:t>
            </w:r>
          </w:p>
        </w:tc>
        <w:tc>
          <w:tcPr>
            <w:tcW w:w="200" w:type="dxa"/>
            <w:vAlign w:val="bottom"/>
          </w:tcPr>
          <w:p>
            <w:pPr>
              <w:spacing w:after="0"/>
              <w:rPr>
                <w:sz w:val="24"/>
                <w:szCs w:val="24"/>
                <w:color w:val="auto"/>
              </w:rPr>
            </w:pPr>
          </w:p>
        </w:tc>
        <w:tc>
          <w:tcPr>
            <w:tcW w:w="2120" w:type="dxa"/>
            <w:vAlign w:val="bottom"/>
          </w:tcPr>
          <w:p>
            <w:pPr>
              <w:jc w:val="right"/>
              <w:ind w:right="181"/>
              <w:spacing w:after="0"/>
              <w:rPr>
                <w:sz w:val="20"/>
                <w:szCs w:val="20"/>
                <w:color w:val="auto"/>
              </w:rPr>
            </w:pPr>
            <w:r>
              <w:rPr>
                <w:rFonts w:ascii="Arial" w:cs="Arial" w:eastAsia="Arial" w:hAnsi="Arial"/>
                <w:sz w:val="20"/>
                <w:szCs w:val="20"/>
                <w:b w:val="1"/>
                <w:bCs w:val="1"/>
                <w:color w:val="auto"/>
              </w:rPr>
              <w:t>December 31, 2023</w:t>
            </w:r>
          </w:p>
        </w:tc>
        <w:tc>
          <w:tcPr>
            <w:tcW w:w="0" w:type="dxa"/>
            <w:vAlign w:val="bottom"/>
          </w:tcPr>
          <w:p>
            <w:pPr>
              <w:spacing w:after="0"/>
              <w:rPr>
                <w:sz w:val="1"/>
                <w:szCs w:val="1"/>
                <w:color w:val="auto"/>
              </w:rPr>
            </w:pPr>
          </w:p>
        </w:tc>
      </w:tr>
      <w:tr>
        <w:trPr>
          <w:trHeight w:val="24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11)</w:t>
            </w:r>
          </w:p>
        </w:tc>
        <w:tc>
          <w:tcPr>
            <w:tcW w:w="280" w:type="dxa"/>
            <w:vAlign w:val="bottom"/>
            <w:tcBorders>
              <w:top w:val="single" w:sz="8" w:color="auto"/>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Series A Redeemable Perpetual Preferred Stock of $0.001 par value;</w:t>
            </w:r>
          </w:p>
        </w:tc>
        <w:tc>
          <w:tcPr>
            <w:tcW w:w="2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rPr>
              <w:t>500,000 authorized; 439,596 and 432,759 shares issued as of March 31,</w:t>
            </w:r>
          </w:p>
        </w:tc>
        <w:tc>
          <w:tcPr>
            <w:tcW w:w="2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2024 and December 31, 2023, respectively; liquidation preference of</w:t>
            </w:r>
          </w:p>
        </w:tc>
        <w:tc>
          <w:tcPr>
            <w:tcW w:w="280" w:type="dxa"/>
            <w:vAlign w:val="bottom"/>
            <w:shd w:val="clear" w:color="auto" w:fill="CCEEFF"/>
          </w:tcPr>
          <w:p>
            <w:pPr>
              <w:spacing w:after="0"/>
              <w:rPr>
                <w:sz w:val="16"/>
                <w:szCs w:val="16"/>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364,762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351,260</w:t>
            </w: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$493.1 million at both dates</w:t>
            </w:r>
          </w:p>
        </w:tc>
        <w:tc>
          <w:tcPr>
            <w:tcW w:w="28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w:t>
            </w:r>
          </w:p>
        </w:tc>
        <w:tc>
          <w:tcPr>
            <w:tcW w:w="28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40"/>
              <w:spacing w:after="0" w:line="194" w:lineRule="exact"/>
              <w:rPr>
                <w:sz w:val="20"/>
                <w:szCs w:val="20"/>
                <w:color w:val="auto"/>
              </w:rPr>
            </w:pPr>
            <w:r>
              <w:rPr>
                <w:rFonts w:ascii="Arial" w:cs="Arial" w:eastAsia="Arial" w:hAnsi="Arial"/>
                <w:sz w:val="20"/>
                <w:szCs w:val="20"/>
                <w:color w:val="auto"/>
              </w:rPr>
              <w:t>Preferred stock of $0.001 par value - 4,500,000 shares authorized;</w:t>
            </w:r>
          </w:p>
        </w:tc>
        <w:tc>
          <w:tcPr>
            <w:tcW w:w="280" w:type="dxa"/>
            <w:vAlign w:val="bottom"/>
          </w:tcPr>
          <w:p>
            <w:pPr>
              <w:spacing w:after="0"/>
              <w:rPr>
                <w:sz w:val="16"/>
                <w:szCs w:val="16"/>
                <w:color w:val="auto"/>
              </w:rPr>
            </w:pPr>
          </w:p>
        </w:tc>
        <w:tc>
          <w:tcPr>
            <w:tcW w:w="21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520" w:type="dxa"/>
            <w:vAlign w:val="bottom"/>
          </w:tcPr>
          <w:p>
            <w:pPr>
              <w:ind w:left="240"/>
              <w:spacing w:after="0"/>
              <w:rPr>
                <w:sz w:val="20"/>
                <w:szCs w:val="20"/>
                <w:color w:val="auto"/>
              </w:rPr>
            </w:pPr>
            <w:r>
              <w:rPr>
                <w:rFonts w:ascii="Arial" w:cs="Arial" w:eastAsia="Arial" w:hAnsi="Arial"/>
                <w:sz w:val="20"/>
                <w:szCs w:val="20"/>
                <w:color w:val="auto"/>
              </w:rPr>
              <w:t>none issued at respective dates</w:t>
            </w:r>
          </w:p>
        </w:tc>
        <w:tc>
          <w:tcPr>
            <w:tcW w:w="280" w:type="dxa"/>
            <w:vAlign w:val="bottom"/>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Common stock of $0.001 par value - 1,000,000,000 shares authorized;</w:t>
            </w:r>
          </w:p>
        </w:tc>
        <w:tc>
          <w:tcPr>
            <w:tcW w:w="280" w:type="dxa"/>
            <w:vAlign w:val="bottom"/>
            <w:shd w:val="clear" w:color="auto" w:fill="CCEEFF"/>
          </w:tcPr>
          <w:p>
            <w:pPr>
              <w:spacing w:after="0"/>
              <w:rPr>
                <w:sz w:val="16"/>
                <w:szCs w:val="16"/>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151,726,568 and 151,242,120 shares issued at respective dates</w:t>
            </w:r>
          </w:p>
        </w:tc>
        <w:tc>
          <w:tcPr>
            <w:tcW w:w="280" w:type="dxa"/>
            <w:vAlign w:val="bottom"/>
            <w:shd w:val="clear" w:color="auto" w:fill="CCEEFF"/>
          </w:tcPr>
          <w:p>
            <w:pPr>
              <w:spacing w:after="0"/>
              <w:rPr>
                <w:sz w:val="21"/>
                <w:szCs w:val="21"/>
                <w:color w:val="auto"/>
              </w:rPr>
            </w:pPr>
          </w:p>
        </w:tc>
        <w:tc>
          <w:tcPr>
            <w:tcW w:w="20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28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333,570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344,517</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28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(128,065)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(130,230)</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2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25,568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44,810</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231,224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259,248</w:t>
            </w:r>
          </w:p>
        </w:tc>
        <w:tc>
          <w:tcPr>
            <w:tcW w:w="0" w:type="dxa"/>
            <w:vAlign w:val="bottom"/>
          </w:tcPr>
          <w:p>
            <w:pPr>
              <w:spacing w:after="0"/>
              <w:rPr>
                <w:sz w:val="1"/>
                <w:szCs w:val="1"/>
                <w:color w:val="auto"/>
              </w:rPr>
            </w:pPr>
          </w:p>
        </w:tc>
      </w:tr>
      <w:tr>
        <w:trPr>
          <w:trHeight w:val="174"/>
        </w:trPr>
        <w:tc>
          <w:tcPr>
            <w:tcW w:w="6520" w:type="dxa"/>
            <w:vAlign w:val="bottom"/>
          </w:tcPr>
          <w:p>
            <w:pPr>
              <w:ind w:left="520"/>
              <w:spacing w:after="0" w:line="174" w:lineRule="exact"/>
              <w:rPr>
                <w:sz w:val="20"/>
                <w:szCs w:val="20"/>
                <w:color w:val="auto"/>
              </w:rPr>
            </w:pPr>
            <w:r>
              <w:rPr>
                <w:rFonts w:ascii="Arial" w:cs="Arial" w:eastAsia="Arial" w:hAnsi="Arial"/>
                <w:sz w:val="20"/>
                <w:szCs w:val="20"/>
                <w:color w:val="auto"/>
              </w:rPr>
              <w:t>Total liabilities, redeemable perpetual preferred stock and</w:t>
            </w:r>
          </w:p>
        </w:tc>
        <w:tc>
          <w:tcPr>
            <w:tcW w:w="280" w:type="dxa"/>
            <w:vAlign w:val="bottom"/>
            <w:vMerge w:val="restart"/>
          </w:tcPr>
          <w:p>
            <w:pPr>
              <w:jc w:val="right"/>
              <w:ind w:right="61"/>
              <w:spacing w:after="0"/>
              <w:rPr>
                <w:sz w:val="20"/>
                <w:szCs w:val="20"/>
                <w:color w:val="auto"/>
              </w:rPr>
            </w:pPr>
            <w:r>
              <w:rPr>
                <w:rFonts w:ascii="Arial" w:cs="Arial" w:eastAsia="Arial" w:hAnsi="Arial"/>
                <w:sz w:val="20"/>
                <w:szCs w:val="20"/>
                <w:color w:val="auto"/>
                <w:w w:val="89"/>
              </w:rPr>
              <w:t>$</w:t>
            </w: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1,629,283</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1,706,741</w:t>
            </w:r>
          </w:p>
        </w:tc>
        <w:tc>
          <w:tcPr>
            <w:tcW w:w="0" w:type="dxa"/>
            <w:vAlign w:val="bottom"/>
          </w:tcPr>
          <w:p>
            <w:pPr>
              <w:spacing w:after="0"/>
              <w:rPr>
                <w:sz w:val="1"/>
                <w:szCs w:val="1"/>
                <w:color w:val="auto"/>
              </w:rPr>
            </w:pPr>
          </w:p>
        </w:tc>
      </w:tr>
      <w:tr>
        <w:trPr>
          <w:trHeight w:val="229"/>
        </w:trPr>
        <w:tc>
          <w:tcPr>
            <w:tcW w:w="6520" w:type="dxa"/>
            <w:vAlign w:val="bottom"/>
          </w:tcPr>
          <w:p>
            <w:pPr>
              <w:ind w:left="520"/>
              <w:spacing w:after="0" w:line="224" w:lineRule="exact"/>
              <w:rPr>
                <w:sz w:val="20"/>
                <w:szCs w:val="20"/>
                <w:color w:val="auto"/>
              </w:rPr>
            </w:pPr>
            <w:r>
              <w:rPr>
                <w:rFonts w:ascii="Arial" w:cs="Arial" w:eastAsia="Arial" w:hAnsi="Arial"/>
                <w:sz w:val="20"/>
                <w:szCs w:val="20"/>
                <w:color w:val="auto"/>
              </w:rPr>
              <w:t>stockholders’ equity</w:t>
            </w:r>
          </w:p>
        </w:tc>
        <w:tc>
          <w:tcPr>
            <w:tcW w:w="28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 w:name="page6"/>
    <w:bookmarkEnd w:id="5"/>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8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r>
      <w:tr>
        <w:trPr>
          <w:trHeight w:val="250"/>
        </w:trPr>
        <w:tc>
          <w:tcPr>
            <w:tcW w:w="65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840" w:type="dxa"/>
            <w:vAlign w:val="bottom"/>
            <w:tcBorders>
              <w:bottom w:val="single" w:sz="8" w:color="auto"/>
            </w:tcBorders>
          </w:tcPr>
          <w:p>
            <w:pPr>
              <w:spacing w:after="0"/>
              <w:rPr>
                <w:sz w:val="21"/>
                <w:szCs w:val="21"/>
                <w:color w:val="auto"/>
              </w:rPr>
            </w:pPr>
          </w:p>
        </w:tc>
      </w:tr>
      <w:tr>
        <w:trPr>
          <w:trHeight w:val="250"/>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153,403</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376,773</w:t>
            </w: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1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94,674</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275,594</w:t>
            </w:r>
          </w:p>
        </w:tc>
      </w:tr>
      <w:tr>
        <w:trPr>
          <w:trHeight w:val="256"/>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Amortization of developed technology</w:t>
            </w:r>
          </w:p>
        </w:tc>
        <w:tc>
          <w:tcPr>
            <w:tcW w:w="1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r>
      <w:tr>
        <w:trPr>
          <w:trHeight w:val="250"/>
        </w:trPr>
        <w:tc>
          <w:tcPr>
            <w:tcW w:w="65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cost of revenue</w:t>
            </w:r>
          </w:p>
        </w:tc>
        <w:tc>
          <w:tcPr>
            <w:tcW w:w="1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98,313</w:t>
            </w:r>
          </w:p>
        </w:tc>
        <w:tc>
          <w:tcPr>
            <w:tcW w:w="8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279,233</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Gross profit</w:t>
            </w:r>
          </w:p>
        </w:tc>
        <w:tc>
          <w:tcPr>
            <w:tcW w:w="1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55,090</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97,540</w:t>
            </w:r>
          </w:p>
        </w:tc>
      </w:tr>
      <w:tr>
        <w:trPr>
          <w:trHeight w:val="250"/>
        </w:trPr>
        <w:tc>
          <w:tcPr>
            <w:tcW w:w="6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1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General and administrative</w:t>
            </w: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37,784</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38,142</w:t>
            </w:r>
          </w:p>
        </w:tc>
      </w:tr>
      <w:tr>
        <w:trPr>
          <w:trHeight w:val="257"/>
        </w:trPr>
        <w:tc>
          <w:tcPr>
            <w:tcW w:w="6500" w:type="dxa"/>
            <w:vAlign w:val="bottom"/>
          </w:tcPr>
          <w:p>
            <w:pPr>
              <w:ind w:left="240"/>
              <w:spacing w:after="0"/>
              <w:rPr>
                <w:sz w:val="20"/>
                <w:szCs w:val="20"/>
                <w:color w:val="auto"/>
              </w:rPr>
            </w:pPr>
            <w:r>
              <w:rPr>
                <w:rFonts w:ascii="Arial" w:cs="Arial" w:eastAsia="Arial" w:hAnsi="Arial"/>
                <w:sz w:val="20"/>
                <w:szCs w:val="20"/>
                <w:color w:val="auto"/>
              </w:rPr>
              <w:t>Change in fair value of contingent consideration</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(735)</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1,338</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Depreciation and amortization</w:t>
            </w:r>
          </w:p>
        </w:tc>
        <w:tc>
          <w:tcPr>
            <w:tcW w:w="1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9,627</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10,602</w:t>
            </w:r>
          </w:p>
        </w:tc>
      </w:tr>
      <w:tr>
        <w:trPr>
          <w:trHeight w:val="250"/>
        </w:trPr>
        <w:tc>
          <w:tcPr>
            <w:tcW w:w="65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operating expenses</w:t>
            </w:r>
          </w:p>
        </w:tc>
        <w:tc>
          <w:tcPr>
            <w:tcW w:w="1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46,676</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50,082</w:t>
            </w:r>
          </w:p>
        </w:tc>
      </w:tr>
      <w:tr>
        <w:trPr>
          <w:trHeight w:val="250"/>
        </w:trPr>
        <w:tc>
          <w:tcPr>
            <w:tcW w:w="6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Income from operations</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8,414</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47,458</w:t>
            </w:r>
          </w:p>
        </w:tc>
      </w:tr>
      <w:tr>
        <w:trPr>
          <w:trHeight w:val="270"/>
        </w:trPr>
        <w:tc>
          <w:tcPr>
            <w:tcW w:w="65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57"/>
        </w:trPr>
        <w:tc>
          <w:tcPr>
            <w:tcW w:w="6500" w:type="dxa"/>
            <w:vAlign w:val="bottom"/>
          </w:tcPr>
          <w:p>
            <w:pPr>
              <w:ind w:left="240"/>
              <w:spacing w:after="0"/>
              <w:rPr>
                <w:sz w:val="20"/>
                <w:szCs w:val="20"/>
                <w:color w:val="auto"/>
              </w:rPr>
            </w:pPr>
            <w:r>
              <w:rPr>
                <w:rFonts w:ascii="Arial" w:cs="Arial" w:eastAsia="Arial" w:hAnsi="Arial"/>
                <w:sz w:val="20"/>
                <w:szCs w:val="20"/>
                <w:color w:val="auto"/>
              </w:rPr>
              <w:t>Other income, net</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814</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income</w:t>
            </w: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3,680</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1,231</w:t>
            </w:r>
          </w:p>
        </w:tc>
      </w:tr>
      <w:tr>
        <w:trPr>
          <w:trHeight w:val="257"/>
        </w:trPr>
        <w:tc>
          <w:tcPr>
            <w:tcW w:w="6500" w:type="dxa"/>
            <w:vAlign w:val="bottom"/>
          </w:tcPr>
          <w:p>
            <w:pPr>
              <w:ind w:left="240"/>
              <w:spacing w:after="0"/>
              <w:rPr>
                <w:sz w:val="20"/>
                <w:szCs w:val="20"/>
                <w:color w:val="auto"/>
              </w:rPr>
            </w:pPr>
            <w:r>
              <w:rPr>
                <w:rFonts w:ascii="Arial" w:cs="Arial" w:eastAsia="Arial" w:hAnsi="Arial"/>
                <w:sz w:val="20"/>
                <w:szCs w:val="20"/>
                <w:color w:val="auto"/>
              </w:rPr>
              <w:t>Foreign currency loss</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expense</w:t>
            </w:r>
          </w:p>
        </w:tc>
        <w:tc>
          <w:tcPr>
            <w:tcW w:w="1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(8,940)</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(10,731)</w:t>
            </w:r>
          </w:p>
        </w:tc>
      </w:tr>
      <w:tr>
        <w:trPr>
          <w:trHeight w:val="250"/>
        </w:trPr>
        <w:tc>
          <w:tcPr>
            <w:tcW w:w="6500" w:type="dxa"/>
            <w:vAlign w:val="bottom"/>
            <w:tcBorders>
              <w:bottom w:val="single" w:sz="8" w:color="CCEEFF"/>
            </w:tcBorders>
          </w:tcPr>
          <w:p>
            <w:pPr>
              <w:ind w:left="580"/>
              <w:spacing w:after="0"/>
              <w:rPr>
                <w:sz w:val="20"/>
                <w:szCs w:val="20"/>
                <w:color w:val="auto"/>
              </w:rPr>
            </w:pPr>
            <w:r>
              <w:rPr>
                <w:rFonts w:ascii="Arial" w:cs="Arial" w:eastAsia="Arial" w:hAnsi="Arial"/>
                <w:sz w:val="20"/>
                <w:szCs w:val="20"/>
                <w:color w:val="auto"/>
              </w:rPr>
              <w:t>Total other expense, net</w:t>
            </w:r>
          </w:p>
        </w:tc>
        <w:tc>
          <w:tcPr>
            <w:tcW w:w="1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(4,945)</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(9,500)</w:t>
            </w:r>
          </w:p>
        </w:tc>
      </w:tr>
      <w:tr>
        <w:trPr>
          <w:trHeight w:val="250"/>
        </w:trPr>
        <w:tc>
          <w:tcPr>
            <w:tcW w:w="6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Income before income tax expense</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3,469</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37,958</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1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1,304</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8,323</w:t>
            </w:r>
          </w:p>
        </w:tc>
      </w:tr>
      <w:tr>
        <w:trPr>
          <w:trHeight w:val="250"/>
        </w:trPr>
        <w:tc>
          <w:tcPr>
            <w:tcW w:w="650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2,165</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29,635</w:t>
            </w: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Preferred dividends and accretion</w:t>
            </w:r>
          </w:p>
        </w:tc>
        <w:tc>
          <w:tcPr>
            <w:tcW w:w="1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13,502</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12,484</w:t>
            </w:r>
          </w:p>
        </w:tc>
      </w:tr>
      <w:tr>
        <w:trPr>
          <w:trHeight w:val="250"/>
        </w:trPr>
        <w:tc>
          <w:tcPr>
            <w:tcW w:w="6500" w:type="dxa"/>
            <w:vAlign w:val="bottom"/>
          </w:tcPr>
          <w:p>
            <w:pPr>
              <w:ind w:left="20"/>
              <w:spacing w:after="0"/>
              <w:rPr>
                <w:sz w:val="20"/>
                <w:szCs w:val="20"/>
                <w:color w:val="auto"/>
              </w:rPr>
            </w:pPr>
            <w:r>
              <w:rPr>
                <w:rFonts w:ascii="Arial" w:cs="Arial" w:eastAsia="Arial" w:hAnsi="Arial"/>
                <w:sz w:val="20"/>
                <w:szCs w:val="20"/>
                <w:color w:val="auto"/>
              </w:rPr>
              <w:t>Net (loss) income to common shareholders</w:t>
            </w:r>
          </w:p>
        </w:tc>
        <w:tc>
          <w:tcPr>
            <w:tcW w:w="146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(11,337)</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17,151</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(Loss) income per common share</w:t>
            </w:r>
          </w:p>
        </w:tc>
        <w:tc>
          <w:tcPr>
            <w:tcW w:w="1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2"/>
        </w:trPr>
        <w:tc>
          <w:tcPr>
            <w:tcW w:w="6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Basic</w:t>
            </w:r>
          </w:p>
        </w:tc>
        <w:tc>
          <w:tcPr>
            <w:tcW w:w="146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(0.07)</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20"/>
                <w:szCs w:val="20"/>
                <w:color w:val="auto"/>
              </w:rPr>
              <w:t>Diluted</w:t>
            </w:r>
          </w:p>
        </w:tc>
        <w:tc>
          <w:tcPr>
            <w:tcW w:w="146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0.11</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6500" w:type="dxa"/>
            <w:vAlign w:val="bottom"/>
            <w:shd w:val="clear" w:color="auto" w:fill="CCEEFF"/>
          </w:tcPr>
          <w:p>
            <w:pPr>
              <w:ind w:left="20"/>
              <w:spacing w:after="0" w:line="224" w:lineRule="exact"/>
              <w:rPr>
                <w:sz w:val="20"/>
                <w:szCs w:val="20"/>
                <w:color w:val="auto"/>
              </w:rPr>
            </w:pPr>
            <w:r>
              <w:rPr>
                <w:rFonts w:ascii="Arial" w:cs="Arial" w:eastAsia="Arial" w:hAnsi="Arial"/>
                <w:sz w:val="20"/>
                <w:szCs w:val="20"/>
                <w:color w:val="auto"/>
              </w:rPr>
              <w:t>Weighted average number of common shares outstanding</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6500" w:type="dxa"/>
            <w:vAlign w:val="bottom"/>
          </w:tcPr>
          <w:p>
            <w:pPr>
              <w:ind w:left="260"/>
              <w:spacing w:after="0"/>
              <w:rPr>
                <w:sz w:val="20"/>
                <w:szCs w:val="20"/>
                <w:color w:val="auto"/>
              </w:rPr>
            </w:pPr>
            <w:r>
              <w:rPr>
                <w:rFonts w:ascii="Arial" w:cs="Arial" w:eastAsia="Arial" w:hAnsi="Arial"/>
                <w:sz w:val="20"/>
                <w:szCs w:val="20"/>
                <w:color w:val="auto"/>
              </w:rPr>
              <w:t>Basic</w:t>
            </w:r>
          </w:p>
        </w:tc>
        <w:tc>
          <w:tcPr>
            <w:tcW w:w="1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151,351</w:t>
            </w:r>
          </w:p>
        </w:tc>
        <w:tc>
          <w:tcPr>
            <w:tcW w:w="8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150,607</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5"/>
        </w:trPr>
        <w:tc>
          <w:tcPr>
            <w:tcW w:w="6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Diluted</w:t>
            </w:r>
          </w:p>
        </w:tc>
        <w:tc>
          <w:tcPr>
            <w:tcW w:w="1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151,351</w:t>
            </w: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151,795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sectPr>
      </w:pPr>
    </w:p>
    <w:bookmarkStart w:id="6" w:name="page7"/>
    <w:bookmarkEnd w:id="6"/>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ind w:right="-19"/>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20" w:type="dxa"/>
            <w:vAlign w:val="bottom"/>
          </w:tcPr>
          <w:p>
            <w:pPr>
              <w:spacing w:after="0"/>
              <w:rPr>
                <w:sz w:val="23"/>
                <w:szCs w:val="23"/>
                <w:color w:val="auto"/>
              </w:rPr>
            </w:pPr>
          </w:p>
        </w:tc>
        <w:tc>
          <w:tcPr>
            <w:tcW w:w="39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Three Months Ended March 31,</w:t>
            </w:r>
          </w:p>
        </w:tc>
        <w:tc>
          <w:tcPr>
            <w:tcW w:w="800" w:type="dxa"/>
            <w:vAlign w:val="bottom"/>
            <w:tcBorders>
              <w:bottom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2024</w:t>
            </w: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2023</w:t>
            </w:r>
          </w:p>
        </w:tc>
        <w:tc>
          <w:tcPr>
            <w:tcW w:w="800" w:type="dxa"/>
            <w:vAlign w:val="bottom"/>
            <w:tcBorders>
              <w:bottom w:val="single" w:sz="8" w:color="auto"/>
            </w:tcBorders>
          </w:tcPr>
          <w:p>
            <w:pPr>
              <w:spacing w:after="0"/>
              <w:rPr>
                <w:sz w:val="21"/>
                <w:szCs w:val="21"/>
                <w:color w:val="auto"/>
              </w:rPr>
            </w:pPr>
          </w:p>
        </w:tc>
      </w:tr>
      <w:tr>
        <w:trPr>
          <w:trHeight w:val="250"/>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460" w:type="dxa"/>
            <w:vAlign w:val="bottom"/>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2,165</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29,635</w:t>
            </w:r>
          </w:p>
        </w:tc>
      </w:tr>
      <w:tr>
        <w:trPr>
          <w:trHeight w:val="257"/>
        </w:trPr>
        <w:tc>
          <w:tcPr>
            <w:tcW w:w="652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Foreign currency translation</w:t>
            </w:r>
            <w:r>
              <w:rPr>
                <w:rFonts w:ascii="Arial" w:cs="Arial" w:eastAsia="Arial" w:hAnsi="Arial"/>
                <w:sz w:val="25"/>
                <w:szCs w:val="25"/>
                <w:color w:val="auto"/>
                <w:vertAlign w:val="superscript"/>
              </w:rPr>
              <w:t>(1)</w:t>
            </w:r>
          </w:p>
        </w:tc>
        <w:tc>
          <w:tcPr>
            <w:tcW w:w="1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(19,242)</w:t>
            </w:r>
          </w:p>
        </w:tc>
        <w:tc>
          <w:tcPr>
            <w:tcW w:w="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13,872</w:t>
            </w:r>
          </w:p>
        </w:tc>
      </w:tr>
      <w:tr>
        <w:trPr>
          <w:trHeight w:val="27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(loss) income</w:t>
            </w:r>
          </w:p>
        </w:tc>
        <w:tc>
          <w:tcPr>
            <w:tcW w:w="146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(17,077)</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43,507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36"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There are no tax effects on foreign currency adjustments.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2" w:right="359" w:bottom="1440" w:gutter="0" w:footer="0" w:header="0"/>
        </w:sectPr>
      </w:pPr>
    </w:p>
    <w:bookmarkStart w:id="7" w:name="page8"/>
    <w:bookmarkEnd w:id="7"/>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March 31, 2024</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$351,260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151,242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(13,502)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(13,502)</w:t>
            </w:r>
          </w:p>
        </w:tc>
        <w:tc>
          <w:tcPr>
            <w:tcW w:w="0" w:type="dxa"/>
            <w:vAlign w:val="bottom"/>
          </w:tcPr>
          <w:p>
            <w:pPr>
              <w:spacing w:after="0"/>
              <w:rPr>
                <w:sz w:val="1"/>
                <w:szCs w:val="1"/>
                <w:color w:val="auto"/>
              </w:rPr>
            </w:pPr>
          </w:p>
        </w:tc>
      </w:tr>
      <w:tr>
        <w:trPr>
          <w:trHeight w:val="235"/>
        </w:trPr>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(19,242)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March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364,762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151,727</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333,570</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(128,065)</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0" w:type="dxa"/>
            <w:vAlign w:val="bottom"/>
          </w:tcPr>
          <w:p>
            <w:pPr>
              <w:spacing w:after="0"/>
              <w:rPr>
                <w:sz w:val="1"/>
                <w:szCs w:val="1"/>
                <w:color w:val="auto"/>
              </w:rPr>
            </w:pPr>
          </w:p>
        </w:tc>
      </w:tr>
      <w:tr>
        <w:trPr>
          <w:trHeight w:val="236"/>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rPr>
          <w:sz w:val="20"/>
          <w:szCs w:val="20"/>
          <w:color w:val="auto"/>
        </w:rPr>
      </w:pPr>
      <w:r>
        <w:rPr>
          <w:rFonts w:ascii="Arial" w:cs="Arial" w:eastAsia="Arial" w:hAnsi="Arial"/>
          <w:sz w:val="20"/>
          <w:szCs w:val="20"/>
          <w:b w:val="1"/>
          <w:bCs w:val="1"/>
          <w:i w:val="1"/>
          <w:iCs w:val="1"/>
          <w:color w:val="auto"/>
        </w:rPr>
        <w:t>Three Months Ended March 31, 2023</w:t>
      </w:r>
    </w:p>
    <w:p>
      <w:pPr>
        <w:sectPr>
          <w:pgSz w:w="11900" w:h="16838" w:orient="portrait"/>
          <w:cols w:equalWidth="0" w:num="1">
            <w:col w:w="11240"/>
          </w:cols>
          <w:pgMar w:left="320" w:top="6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Balance at December 31, 2022</w:t>
      </w:r>
    </w:p>
    <w:p>
      <w:pPr>
        <w:spacing w:after="0" w:line="7" w:lineRule="exact"/>
        <w:rPr>
          <w:sz w:val="20"/>
          <w:szCs w:val="20"/>
          <w:color w:val="auto"/>
        </w:rPr>
      </w:pPr>
    </w:p>
    <w:p>
      <w:pPr>
        <w:ind w:left="20" w:right="20"/>
        <w:spacing w:after="0" w:line="256" w:lineRule="auto"/>
        <w:rPr>
          <w:sz w:val="20"/>
          <w:szCs w:val="20"/>
          <w:color w:val="auto"/>
        </w:rPr>
      </w:pPr>
      <w:r>
        <w:rPr>
          <w:rFonts w:ascii="Arial" w:cs="Arial" w:eastAsia="Arial" w:hAnsi="Arial"/>
          <w:sz w:val="17"/>
          <w:szCs w:val="17"/>
          <w:color w:val="auto"/>
        </w:rPr>
        <w:t>Equity-based compensation</w:t>
      </w:r>
    </w:p>
    <w:p>
      <w:pPr>
        <w:spacing w:after="0" w:line="1" w:lineRule="exact"/>
        <w:rPr>
          <w:sz w:val="20"/>
          <w:szCs w:val="20"/>
          <w:color w:val="auto"/>
        </w:rPr>
      </w:pPr>
    </w:p>
    <w:p>
      <w:pPr>
        <w:ind w:left="20" w:right="280"/>
        <w:spacing w:after="0" w:line="228" w:lineRule="auto"/>
        <w:rPr>
          <w:sz w:val="20"/>
          <w:szCs w:val="20"/>
          <w:color w:val="auto"/>
        </w:rPr>
      </w:pPr>
      <w:r>
        <w:rPr>
          <w:rFonts w:ascii="Arial" w:cs="Arial" w:eastAsia="Arial" w:hAnsi="Arial"/>
          <w:sz w:val="17"/>
          <w:szCs w:val="17"/>
          <w:color w:val="auto"/>
        </w:rPr>
        <w:t>Preferred cumulative dividends</w:t>
      </w:r>
    </w:p>
    <w:p>
      <w:pPr>
        <w:spacing w:after="0" w:line="1"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plus accretion Net income</w:t>
      </w:r>
    </w:p>
    <w:p>
      <w:pPr>
        <w:ind w:left="20" w:right="300"/>
        <w:spacing w:after="0" w:line="224" w:lineRule="auto"/>
        <w:rPr>
          <w:sz w:val="20"/>
          <w:szCs w:val="20"/>
          <w:color w:val="auto"/>
        </w:rPr>
      </w:pPr>
      <w:r>
        <w:rPr>
          <w:rFonts w:ascii="Arial" w:cs="Arial" w:eastAsia="Arial" w:hAnsi="Arial"/>
          <w:sz w:val="18"/>
          <w:szCs w:val="18"/>
          <w:color w:val="auto"/>
        </w:rPr>
        <w:t>Foreign currency translation</w:t>
      </w:r>
    </w:p>
    <w:p>
      <w:pPr>
        <w:spacing w:after="0" w:line="5" w:lineRule="exact"/>
        <w:rPr>
          <w:sz w:val="20"/>
          <w:szCs w:val="20"/>
          <w:color w:val="auto"/>
        </w:rPr>
      </w:pPr>
    </w:p>
    <w:p>
      <w:pPr>
        <w:jc w:val="both"/>
        <w:ind w:left="20" w:right="280"/>
        <w:spacing w:after="0" w:line="227" w:lineRule="auto"/>
        <w:rPr>
          <w:sz w:val="20"/>
          <w:szCs w:val="20"/>
          <w:color w:val="auto"/>
        </w:rPr>
      </w:pPr>
      <w:r>
        <w:rPr>
          <w:rFonts w:ascii="Arial" w:cs="Arial" w:eastAsia="Arial" w:hAnsi="Arial"/>
          <w:sz w:val="18"/>
          <w:szCs w:val="18"/>
          <w:color w:val="auto"/>
        </w:rPr>
        <w:t>Balance at March 31, 2023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Borders>
              <w:right w:val="single" w:sz="8" w:color="auto"/>
            </w:tcBorders>
            <w:gridSpan w:val="4"/>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Borders>
              <w:right w:val="single" w:sz="8" w:color="auto"/>
            </w:tcBorders>
            <w:gridSpan w:val="4"/>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60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7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0"/>
                <w:szCs w:val="20"/>
                <w:color w:val="auto"/>
              </w:rPr>
            </w:pPr>
          </w:p>
        </w:tc>
        <w:tc>
          <w:tcPr>
            <w:tcW w:w="160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6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Loss</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578"/>
        </w:trPr>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$299,570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150,513</w:t>
            </w:r>
          </w:p>
        </w:tc>
        <w:tc>
          <w:tcPr>
            <w:tcW w:w="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383,176</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(267,470)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8,425</w:t>
            </w:r>
          </w:p>
        </w:tc>
        <w:tc>
          <w:tcPr>
            <w:tcW w:w="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41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760"/>
        </w:trPr>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12,484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39"/>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29,635</w:t>
            </w:r>
          </w:p>
        </w:tc>
        <w:tc>
          <w:tcPr>
            <w:tcW w:w="0" w:type="dxa"/>
            <w:vAlign w:val="bottom"/>
          </w:tcPr>
          <w:p>
            <w:pPr>
              <w:spacing w:after="0"/>
              <w:rPr>
                <w:sz w:val="1"/>
                <w:szCs w:val="1"/>
                <w:color w:val="auto"/>
              </w:rPr>
            </w:pPr>
          </w:p>
        </w:tc>
      </w:tr>
      <w:tr>
        <w:trPr>
          <w:trHeight w:val="590"/>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587"/>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312,054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150,823</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373,307</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(237,835)</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22,297</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-2047875</wp:posOffset>
            </wp:positionV>
            <wp:extent cx="71323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-1405255</wp:posOffset>
            </wp:positionV>
            <wp:extent cx="713232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-770890</wp:posOffset>
            </wp:positionV>
            <wp:extent cx="713232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0"/>
            <w:col w:w="10060"/>
          </w:cols>
          <w:pgMar w:left="320" w:top="602" w:right="339"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type w:val="continuous"/>
        </w:sectPr>
      </w:pPr>
    </w:p>
    <w:bookmarkStart w:id="9" w:name="page10"/>
    <w:bookmarkEnd w:id="9"/>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 xml:space="preserve">Condensed Consolidated Statements of Cash Flows </w:t>
      </w:r>
      <w:r>
        <w:rPr>
          <w:rFonts w:ascii="Arial" w:cs="Arial" w:eastAsia="Arial" w:hAnsi="Arial"/>
          <w:sz w:val="19"/>
          <w:szCs w:val="19"/>
          <w:b w:val="1"/>
          <w:bCs w:val="1"/>
          <w:i w:val="1"/>
          <w:i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200"/>
          </w:cols>
          <w:pgMar w:left="340" w:top="6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11517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Net income</w:t>
      </w:r>
      <w:r>
        <w:rPr>
          <w:sz w:val="20"/>
          <w:szCs w:val="20"/>
          <w:color w:val="auto"/>
        </w:rPr>
        <w:tab/>
      </w:r>
      <w:r>
        <w:rPr>
          <w:rFonts w:ascii="Arial" w:cs="Arial" w:eastAsia="Arial" w:hAnsi="Arial"/>
          <w:sz w:val="20"/>
          <w:szCs w:val="20"/>
          <w:color w:val="auto"/>
        </w:rPr>
        <w: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Adjustments to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tax (benefit) expense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developed technology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debt discount and issuance costs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711517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provision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Write-down of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Changes in operating assets and liabilities, net of business acquisition: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Lease liabilities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provided by operating activities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711517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Purchase of property, plant and equipment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Retirement/disposal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used in investing activities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983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2024</w:t>
      </w:r>
      <w:r>
        <w:rPr>
          <w:sz w:val="20"/>
          <w:szCs w:val="20"/>
          <w:color w:val="auto"/>
        </w:rPr>
        <w:tab/>
      </w:r>
      <w:r>
        <w:rPr>
          <w:rFonts w:ascii="Arial" w:cs="Arial" w:eastAsia="Arial" w:hAnsi="Arial"/>
          <w:sz w:val="20"/>
          <w:szCs w:val="20"/>
          <w:b w:val="1"/>
          <w:bCs w:val="1"/>
          <w:color w:val="auto"/>
        </w:rPr>
        <w:t>2023</w:t>
      </w:r>
    </w:p>
    <w:p>
      <w:pPr>
        <w:spacing w:after="0" w:line="309" w:lineRule="exact"/>
        <w:rPr>
          <w:sz w:val="20"/>
          <w:szCs w:val="20"/>
          <w:color w:val="auto"/>
        </w:rPr>
      </w:pPr>
    </w:p>
    <w:tbl>
      <w:tblPr>
        <w:tblLayout w:type="fixed"/>
        <w:tblInd w:w="660" w:type="dxa"/>
        <w:tblCellMar>
          <w:top w:w="0" w:type="dxa"/>
          <w:left w:w="0" w:type="dxa"/>
          <w:bottom w:w="0" w:type="dxa"/>
          <w:right w:w="0" w:type="dxa"/>
        </w:tblCellMar>
      </w:tblPr>
      <w:tr>
        <w:trPr>
          <w:trHeight w:val="261"/>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2,165</w:t>
            </w:r>
          </w:p>
        </w:tc>
        <w:tc>
          <w:tcPr>
            <w:tcW w:w="840" w:type="dxa"/>
            <w:vAlign w:val="bottom"/>
          </w:tcPr>
          <w:p>
            <w:pPr>
              <w:jc w:val="right"/>
              <w:ind w:right="62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29,635</w:t>
            </w:r>
          </w:p>
        </w:tc>
      </w:tr>
      <w:tr>
        <w:trPr>
          <w:trHeight w:val="540"/>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896</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233</w:t>
            </w:r>
          </w:p>
        </w:tc>
      </w:tr>
      <w:tr>
        <w:trPr>
          <w:trHeight w:val="283"/>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3,002</w:t>
            </w:r>
          </w:p>
        </w:tc>
      </w:tr>
      <w:tr>
        <w:trPr>
          <w:trHeight w:val="283"/>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10,125</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10,894</w:t>
            </w:r>
          </w:p>
        </w:tc>
      </w:tr>
      <w:tr>
        <w:trPr>
          <w:trHeight w:val="284"/>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3,639</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3,639</w:t>
            </w:r>
          </w:p>
        </w:tc>
      </w:tr>
      <w:tr>
        <w:trPr>
          <w:trHeight w:val="279"/>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1,553</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2,826</w:t>
            </w:r>
          </w:p>
        </w:tc>
      </w:tr>
      <w:tr>
        <w:trPr>
          <w:trHeight w:val="257"/>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3,926</w:t>
            </w:r>
          </w:p>
        </w:tc>
        <w:tc>
          <w:tcPr>
            <w:tcW w:w="8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3,366</w:t>
            </w:r>
          </w:p>
        </w:tc>
      </w:tr>
      <w:tr>
        <w:trPr>
          <w:trHeight w:val="261"/>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(735)</w:t>
            </w:r>
          </w:p>
        </w:tc>
        <w:tc>
          <w:tcPr>
            <w:tcW w:w="8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1,338</w:t>
            </w:r>
          </w:p>
        </w:tc>
      </w:tr>
      <w:tr>
        <w:trPr>
          <w:trHeight w:val="283"/>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(1,138)</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436</w:t>
            </w:r>
          </w:p>
        </w:tc>
      </w:tr>
      <w:tr>
        <w:trPr>
          <w:trHeight w:val="284"/>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600</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1,847</w:t>
            </w:r>
          </w:p>
        </w:tc>
      </w:tr>
      <w:tr>
        <w:trPr>
          <w:trHeight w:val="567"/>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95,990</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6,238</w:t>
            </w:r>
          </w:p>
        </w:tc>
      </w:tr>
      <w:tr>
        <w:trPr>
          <w:trHeight w:val="283"/>
        </w:trPr>
        <w:tc>
          <w:tcPr>
            <w:tcW w:w="840" w:type="dxa"/>
            <w:vAlign w:val="bottom"/>
          </w:tcPr>
          <w:p>
            <w:pPr>
              <w:jc w:val="right"/>
              <w:ind w:right="1"/>
              <w:spacing w:after="0"/>
              <w:rPr>
                <w:sz w:val="20"/>
                <w:szCs w:val="20"/>
                <w:color w:val="auto"/>
              </w:rPr>
            </w:pPr>
            <w:r>
              <w:rPr>
                <w:rFonts w:ascii="Arial" w:cs="Arial" w:eastAsia="Arial" w:hAnsi="Arial"/>
                <w:sz w:val="20"/>
                <w:szCs w:val="20"/>
                <w:color w:val="auto"/>
                <w:w w:val="96"/>
              </w:rPr>
              <w:t>(11,542)</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(23,312)</w:t>
            </w:r>
          </w:p>
        </w:tc>
      </w:tr>
      <w:tr>
        <w:trPr>
          <w:trHeight w:val="284"/>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369</w:t>
            </w:r>
          </w:p>
        </w:tc>
      </w:tr>
      <w:tr>
        <w:trPr>
          <w:trHeight w:val="283"/>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(2,219)</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(6,947)</w:t>
            </w:r>
          </w:p>
        </w:tc>
      </w:tr>
      <w:tr>
        <w:trPr>
          <w:trHeight w:val="283"/>
        </w:trPr>
        <w:tc>
          <w:tcPr>
            <w:tcW w:w="840" w:type="dxa"/>
            <w:vAlign w:val="bottom"/>
          </w:tcPr>
          <w:p>
            <w:pPr>
              <w:jc w:val="right"/>
              <w:ind w:right="1"/>
              <w:spacing w:after="0"/>
              <w:rPr>
                <w:sz w:val="20"/>
                <w:szCs w:val="20"/>
                <w:color w:val="auto"/>
              </w:rPr>
            </w:pPr>
            <w:r>
              <w:rPr>
                <w:rFonts w:ascii="Arial" w:cs="Arial" w:eastAsia="Arial" w:hAnsi="Arial"/>
                <w:sz w:val="20"/>
                <w:szCs w:val="20"/>
                <w:color w:val="auto"/>
                <w:w w:val="96"/>
              </w:rPr>
              <w:t>(23,891)</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30,155</w:t>
            </w:r>
          </w:p>
        </w:tc>
      </w:tr>
      <w:tr>
        <w:trPr>
          <w:trHeight w:val="284"/>
        </w:trPr>
        <w:tc>
          <w:tcPr>
            <w:tcW w:w="840" w:type="dxa"/>
            <w:vAlign w:val="bottom"/>
          </w:tcPr>
          <w:p>
            <w:pPr>
              <w:jc w:val="right"/>
              <w:ind w:right="1"/>
              <w:spacing w:after="0"/>
              <w:rPr>
                <w:sz w:val="20"/>
                <w:szCs w:val="20"/>
                <w:color w:val="auto"/>
              </w:rPr>
            </w:pPr>
            <w:r>
              <w:rPr>
                <w:rFonts w:ascii="Arial" w:cs="Arial" w:eastAsia="Arial" w:hAnsi="Arial"/>
                <w:sz w:val="20"/>
                <w:szCs w:val="20"/>
                <w:color w:val="auto"/>
                <w:w w:val="96"/>
              </w:rPr>
              <w:t>(50,569)</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3,900</w:t>
            </w:r>
          </w:p>
        </w:tc>
      </w:tr>
      <w:tr>
        <w:trPr>
          <w:trHeight w:val="283"/>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935</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4,952</w:t>
            </w:r>
          </w:p>
        </w:tc>
      </w:tr>
      <w:tr>
        <w:trPr>
          <w:trHeight w:val="283"/>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(2,472)</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824</w:t>
            </w:r>
          </w:p>
        </w:tc>
      </w:tr>
      <w:tr>
        <w:trPr>
          <w:trHeight w:val="284"/>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20,250</w:t>
            </w: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(27,579)</w:t>
            </w:r>
          </w:p>
        </w:tc>
      </w:tr>
      <w:tr>
        <w:trPr>
          <w:trHeight w:val="265"/>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47,502</w:t>
            </w:r>
          </w:p>
        </w:tc>
        <w:tc>
          <w:tcPr>
            <w:tcW w:w="8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45,816</w:t>
            </w:r>
          </w:p>
        </w:tc>
      </w:tr>
      <w:tr>
        <w:trPr>
          <w:trHeight w:val="545"/>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(2,396)</w:t>
            </w:r>
          </w:p>
        </w:tc>
        <w:tc>
          <w:tcPr>
            <w:tcW w:w="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(3,883)</w:t>
            </w:r>
          </w:p>
        </w:tc>
      </w:tr>
      <w:tr>
        <w:trPr>
          <w:trHeight w:val="283"/>
        </w:trPr>
        <w:tc>
          <w:tcPr>
            <w:tcW w:w="840" w:type="dxa"/>
            <w:vAlign w:val="bottom"/>
          </w:tcPr>
          <w:p>
            <w:pPr>
              <w:jc w:val="right"/>
              <w:ind w:right="61"/>
              <w:spacing w:after="0"/>
              <w:rPr>
                <w:sz w:val="20"/>
                <w:szCs w:val="20"/>
                <w:color w:val="auto"/>
              </w:rPr>
            </w:pPr>
            <w:r>
              <w:rPr>
                <w:rFonts w:ascii="Arial" w:cs="Arial" w:eastAsia="Arial" w:hAnsi="Arial"/>
                <w:sz w:val="20"/>
                <w:szCs w:val="20"/>
                <w:color w:val="auto"/>
              </w:rPr>
              <w:t>10</w:t>
            </w: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5"/>
        </w:trPr>
        <w:tc>
          <w:tcPr>
            <w:tcW w:w="840" w:type="dxa"/>
            <w:vAlign w:val="bottom"/>
          </w:tcPr>
          <w:p>
            <w:pPr>
              <w:jc w:val="right"/>
              <w:ind w:right="1"/>
              <w:spacing w:after="0"/>
              <w:rPr>
                <w:sz w:val="20"/>
                <w:szCs w:val="20"/>
                <w:color w:val="auto"/>
              </w:rPr>
            </w:pPr>
            <w:r>
              <w:rPr>
                <w:rFonts w:ascii="Arial" w:cs="Arial" w:eastAsia="Arial" w:hAnsi="Arial"/>
                <w:sz w:val="20"/>
                <w:szCs w:val="20"/>
                <w:color w:val="auto"/>
              </w:rPr>
              <w:t>(2,386)</w:t>
            </w:r>
          </w:p>
        </w:tc>
        <w:tc>
          <w:tcPr>
            <w:tcW w:w="8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-7620</wp:posOffset>
            </wp:positionV>
            <wp:extent cx="1465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-728345</wp:posOffset>
            </wp:positionV>
            <wp:extent cx="1465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6680" w:space="720"/>
            <w:col w:w="3800"/>
          </w:cols>
          <w:pgMar w:left="340" w:top="602"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Series A equity issuance costs</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(750)</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Tax withholding related to vesting of equity-based compensation</w:t>
            </w:r>
          </w:p>
        </w:tc>
        <w:tc>
          <w:tcPr>
            <w:tcW w:w="2320" w:type="dxa"/>
            <w:vAlign w:val="bottom"/>
          </w:tcPr>
          <w:p>
            <w:pPr>
              <w:jc w:val="right"/>
              <w:spacing w:after="0"/>
              <w:rPr>
                <w:sz w:val="20"/>
                <w:szCs w:val="20"/>
                <w:color w:val="auto"/>
              </w:rPr>
            </w:pPr>
            <w:r>
              <w:rPr>
                <w:rFonts w:ascii="Arial" w:cs="Arial" w:eastAsia="Arial" w:hAnsi="Arial"/>
                <w:sz w:val="20"/>
                <w:szCs w:val="20"/>
                <w:color w:val="auto"/>
              </w:rPr>
              <w:t>(580)</w:t>
            </w:r>
          </w:p>
        </w:tc>
        <w:tc>
          <w:tcPr>
            <w:tcW w:w="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2,283</w:t>
            </w:r>
          </w:p>
        </w:tc>
        <w:tc>
          <w:tcPr>
            <w:tcW w:w="8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6,469</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Principal payments on other debt</w:t>
            </w:r>
          </w:p>
        </w:tc>
        <w:tc>
          <w:tcPr>
            <w:tcW w:w="2320" w:type="dxa"/>
            <w:vAlign w:val="bottom"/>
          </w:tcPr>
          <w:p>
            <w:pPr>
              <w:jc w:val="right"/>
              <w:spacing w:after="0"/>
              <w:rPr>
                <w:sz w:val="20"/>
                <w:szCs w:val="20"/>
                <w:color w:val="auto"/>
              </w:rPr>
            </w:pPr>
            <w:r>
              <w:rPr>
                <w:rFonts w:ascii="Arial" w:cs="Arial" w:eastAsia="Arial" w:hAnsi="Arial"/>
                <w:sz w:val="20"/>
                <w:szCs w:val="20"/>
                <w:color w:val="auto"/>
              </w:rPr>
              <w:t>(3,781)</w:t>
            </w:r>
          </w:p>
        </w:tc>
        <w:tc>
          <w:tcPr>
            <w:tcW w:w="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(17,206)</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(1,070)</w:t>
            </w:r>
          </w:p>
        </w:tc>
        <w:tc>
          <w:tcPr>
            <w:tcW w:w="8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(11,075)</w:t>
            </w:r>
          </w:p>
        </w:tc>
      </w:tr>
      <w:tr>
        <w:trPr>
          <w:trHeight w:val="282"/>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Contingent consideration payments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(1,427)</w:t>
            </w:r>
          </w:p>
        </w:tc>
        <w:tc>
          <w:tcPr>
            <w:tcW w:w="8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(1,200)</w:t>
            </w:r>
          </w:p>
        </w:tc>
      </w:tr>
      <w:tr>
        <w:trPr>
          <w:trHeight w:val="265"/>
        </w:trPr>
        <w:tc>
          <w:tcPr>
            <w:tcW w:w="6500" w:type="dxa"/>
            <w:vAlign w:val="bottom"/>
            <w:shd w:val="clear" w:color="auto" w:fill="CCEEFF"/>
          </w:tcPr>
          <w:p>
            <w:pPr>
              <w:ind w:left="660"/>
              <w:spacing w:after="0"/>
              <w:rPr>
                <w:sz w:val="20"/>
                <w:szCs w:val="20"/>
                <w:color w:val="auto"/>
              </w:rPr>
            </w:pPr>
            <w:r>
              <w:rPr>
                <w:rFonts w:ascii="Arial" w:cs="Arial" w:eastAsia="Arial" w:hAnsi="Arial"/>
                <w:sz w:val="20"/>
                <w:szCs w:val="20"/>
                <w:color w:val="auto"/>
              </w:rPr>
              <w:t>Net cash used in financing activities</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(4,575)</w:t>
            </w:r>
          </w:p>
        </w:tc>
        <w:tc>
          <w:tcPr>
            <w:tcW w:w="80" w:type="dxa"/>
            <w:vAlign w:val="bottom"/>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(23,762)</w:t>
            </w:r>
          </w:p>
        </w:tc>
      </w:tr>
      <w:tr>
        <w:trPr>
          <w:trHeight w:val="262"/>
        </w:trPr>
        <w:tc>
          <w:tcPr>
            <w:tcW w:w="650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2320" w:type="dxa"/>
            <w:vAlign w:val="bottom"/>
          </w:tcPr>
          <w:p>
            <w:pPr>
              <w:jc w:val="right"/>
              <w:spacing w:after="0"/>
              <w:rPr>
                <w:sz w:val="20"/>
                <w:szCs w:val="20"/>
                <w:color w:val="auto"/>
              </w:rPr>
            </w:pPr>
            <w:r>
              <w:rPr>
                <w:rFonts w:ascii="Arial" w:cs="Arial" w:eastAsia="Arial" w:hAnsi="Arial"/>
                <w:sz w:val="20"/>
                <w:szCs w:val="20"/>
                <w:color w:val="auto"/>
              </w:rPr>
              <w:t>(2,001)</w:t>
            </w:r>
          </w:p>
        </w:tc>
        <w:tc>
          <w:tcPr>
            <w:tcW w:w="8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(4,316)</w:t>
            </w:r>
          </w:p>
        </w:tc>
      </w:tr>
      <w:tr>
        <w:trPr>
          <w:trHeight w:val="285"/>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38,540</w:t>
            </w:r>
          </w:p>
        </w:tc>
        <w:tc>
          <w:tcPr>
            <w:tcW w:w="8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13,855</w:t>
            </w:r>
          </w:p>
        </w:tc>
      </w:tr>
      <w:tr>
        <w:trPr>
          <w:trHeight w:val="282"/>
        </w:trPr>
        <w:tc>
          <w:tcPr>
            <w:tcW w:w="6500" w:type="dxa"/>
            <w:vAlign w:val="bottom"/>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249,080</w:t>
            </w:r>
          </w:p>
        </w:tc>
        <w:tc>
          <w:tcPr>
            <w:tcW w:w="80" w:type="dxa"/>
            <w:vAlign w:val="bottom"/>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133,901</w:t>
            </w:r>
          </w:p>
        </w:tc>
      </w:tr>
    </w:tbl>
    <w:p>
      <w:pPr>
        <w:spacing w:after="0" w:line="200" w:lineRule="exact"/>
        <w:rPr>
          <w:sz w:val="20"/>
          <w:szCs w:val="20"/>
          <w:color w:val="auto"/>
        </w:rPr>
      </w:pPr>
    </w:p>
    <w:p>
      <w:pPr>
        <w:sectPr>
          <w:pgSz w:w="11900" w:h="16838" w:orient="portrait"/>
          <w:cols w:equalWidth="0" w:num="1">
            <w:col w:w="11200"/>
          </w:cols>
          <w:pgMar w:left="340" w:top="602" w:right="35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10" w:name="page11"/>
    <w:bookmarkEnd w:id="10"/>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Three Months Ended March 31,</w:t>
            </w:r>
          </w:p>
        </w:tc>
      </w:tr>
      <w:tr>
        <w:trPr>
          <w:trHeight w:val="250"/>
        </w:trPr>
        <w:tc>
          <w:tcPr>
            <w:tcW w:w="65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b w:val="1"/>
                <w:bCs w:val="1"/>
                <w:color w:val="auto"/>
              </w:rPr>
              <w:t>2023</w:t>
            </w:r>
          </w:p>
        </w:tc>
      </w:tr>
      <w:tr>
        <w:trPr>
          <w:trHeight w:val="27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5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287,620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147,756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3"/>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5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82"/>
        </w:trPr>
        <w:tc>
          <w:tcPr>
            <w:tcW w:w="6500" w:type="dxa"/>
            <w:vAlign w:val="bottom"/>
          </w:tcPr>
          <w:p>
            <w:pPr>
              <w:ind w:left="260"/>
              <w:spacing w:after="0"/>
              <w:rPr>
                <w:sz w:val="20"/>
                <w:szCs w:val="20"/>
                <w:color w:val="auto"/>
              </w:rPr>
            </w:pPr>
            <w:r>
              <w:rPr>
                <w:rFonts w:ascii="Arial" w:cs="Arial" w:eastAsia="Arial" w:hAnsi="Arial"/>
                <w:sz w:val="20"/>
                <w:szCs w:val="20"/>
                <w:color w:val="auto"/>
              </w:rPr>
              <w:t>Cash paid for interest</w:t>
            </w:r>
          </w:p>
        </w:tc>
        <w:tc>
          <w:tcPr>
            <w:tcW w:w="52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11,300</w:t>
            </w:r>
          </w:p>
        </w:tc>
        <w:tc>
          <w:tcPr>
            <w:tcW w:w="80" w:type="dxa"/>
            <w:vAlign w:val="bottom"/>
          </w:tcPr>
          <w:p>
            <w:pPr>
              <w:spacing w:after="0"/>
              <w:rPr>
                <w:sz w:val="24"/>
                <w:szCs w:val="24"/>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7,980</w:t>
            </w:r>
          </w:p>
        </w:tc>
      </w:tr>
      <w:tr>
        <w:trPr>
          <w:trHeight w:val="285"/>
        </w:trPr>
        <w:tc>
          <w:tcPr>
            <w:tcW w:w="65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income taxes (net of refunds)</w:t>
            </w:r>
          </w:p>
        </w:tc>
        <w:tc>
          <w:tcPr>
            <w:tcW w:w="520" w:type="dxa"/>
            <w:vAlign w:val="bottom"/>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402</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2,522</w:t>
            </w:r>
          </w:p>
        </w:tc>
      </w:tr>
      <w:tr>
        <w:trPr>
          <w:trHeight w:val="270"/>
        </w:trPr>
        <w:tc>
          <w:tcPr>
            <w:tcW w:w="6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83"/>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5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80"/>
        </w:trPr>
        <w:tc>
          <w:tcPr>
            <w:tcW w:w="6500" w:type="dxa"/>
            <w:vAlign w:val="bottom"/>
          </w:tcPr>
          <w:p>
            <w:pPr>
              <w:ind w:left="260"/>
              <w:spacing w:after="0"/>
              <w:rPr>
                <w:sz w:val="20"/>
                <w:szCs w:val="20"/>
                <w:color w:val="auto"/>
              </w:rPr>
            </w:pPr>
            <w:r>
              <w:rPr>
                <w:rFonts w:ascii="Arial" w:cs="Arial" w:eastAsia="Arial" w:hAnsi="Arial"/>
                <w:sz w:val="20"/>
                <w:szCs w:val="20"/>
                <w:color w:val="auto"/>
              </w:rPr>
              <w:t>Dividends accrued on Series A Preferred</w:t>
            </w:r>
          </w:p>
        </w:tc>
        <w:tc>
          <w:tcPr>
            <w:tcW w:w="52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6,837</w:t>
            </w:r>
          </w:p>
        </w:tc>
        <w:tc>
          <w:tcPr>
            <w:tcW w:w="80" w:type="dxa"/>
            <w:vAlign w:val="bottom"/>
          </w:tcPr>
          <w:p>
            <w:pPr>
              <w:spacing w:after="0"/>
              <w:rPr>
                <w:sz w:val="24"/>
                <w:szCs w:val="24"/>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6,350</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Business and Out-of-Period Adjustments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Headquartered in Albuquerque, New Mexico, the Company is a leading global manufacturer and supplier of utility-scale solar tracking systems and technologies.</w:t>
      </w:r>
    </w:p>
    <w:p>
      <w:pPr>
        <w:spacing w:after="0" w:line="1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months ended March 31, 2024, are not necessarily indicative of results to be expected for the year ending December 31, 2024, or any other interim periods, or any future year or period. The balance sheet as of December 31, 2023, included herein was derived from the audited financial statements as of that date. Certain disclosures have been condensed or omitted from the interim financial statements. These condensed consolidated financial statements should be read in conjunction with the Company’s audited consolidated financial statements included in our Annual Report on Form 10-K for the year ended December 31, 2023, filed with the SEC on February 28, 2024.</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Unless expressly stated or the context otherwise requires, the terms “the Company”, “we”, “us”, “our”, “Array”, and “Array Technologies” refer to Array Technologies, Inc. and its consolidated subsidiaries, and the term “condensed consolidated financial statements” refers to the accompanying unaudited condensed consolidated financial statements contained in this Quarterly Report.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Software Implementation Costs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the first quarter of 2024, the Company reclassified amounts recorded for software implementation costs and accumulated depreciation from “Property, plant and equipment, net” to “Intangible assets, net” on the condensed consolidated balance sheets. The Company believes this presentation correctly reflects the intangible nature of implementation costs.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These reclassifications resulted in $7.1 million and $4.0 million recorded to Intangible assets, net as of March 31, 2024 and 2023, respectively, with corresponding decreases in the same amounts to Property, plant and equipment, net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line="31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reclassifications did not impact the Company’s operating income (loss), net income (loss) or earnings (loss) per share for any current or historical periods. These reclassifications also did not impact the condensed consolidated statements of operations or condensed consolidated statements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Developed Technology</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Beginning in the third quarter of 2023, the Company reclassified amounts recorded for amortization of certain acquired intangible assets in prior presentations from Total operating expenses under the caption "Depreciation and amortization" to Total cost of revenue under the caption "Amortization of developed technology" in the condensed consolidated statements of operations. The Company believes this presentation enhances the comparability of the Company’s financial statements to industry peers.</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reclassifications would have resulted in a $3.6 million increase to Amortization of developed technology within Total cost of revenue and a corresponding $3.6 million decrease to Depreciation and amortization within Total operating expenses during the three months ended March 31, 2023.</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reclassifications did not impact the Company’s operating income (loss), net income (loss) or earnings (loss) per share for any current or historical periods. These reclassifications also did not impact the condensed consolidated balance sheets or condensed consolidated statements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Brazil Value-Added Tax Benefit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Revenue in 2023, excludes a Brazil value-added tax benefit, Imposto sobre Circulação de Mercadorias e Servicos (“ICMS”), that has been reclassified and included in cost of revenues in the current year. For the three months ended March 31, 2023, the Brazil ICMS value-added tax benefit was $3.9 million.</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This reclassification had no impact on the Company’s gross profit, income (loss) from operations, net income or income (loss) per common share in the current period. These reclassifications also did not impact the condensed consolidated balance sheets or condensed consolidated statements of cash flows.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condensed consolidated financial statements include the accounts of the Company and its subsidiaries. All intercompany accounts and transactions have been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condensed consolidated financial statements. Estimates and assumptions are reviewed periodically, and the effects of revisions are reflected in the period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Company incurs research and development costs during its process of researching and developing new products and significant enhancements to existing products. Research and development costs consist primarily of personnel-related costs associated with our team of internal engineers, third-party consultants, materials and overhead. The Company expenses these costs as incurred prior to a respective product being ready for commercial production. Research and development expense was $1.9 million and $2.1 million during the three months ended March 31, 2024 and 2023,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Russian-Ukraine Conflict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Russian-Ukraine conflict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Attacks on Shipping in the Red Sea</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Houthi rebels in Yemen have significantly stepped-up attacks against commercial vessels in the Bab-el-Mandeb strait between the Arabian peninsula and the Horn of Africa since late November of 2023, which has led to many shipping companies pausing shipments through the Suez Canal and the Red Sea. Many of these shipments are being redirected around the Cape of Good Hope in South Africa, adding between 3,000 to 3,500 nautical miles to routes connecting Europe with Asia. As an additional result of the reroute, certain ports could see crowding and delays in unloading shipments. We do not yet know the duration of these disruptions or the severity of their impact on our operations, but we continue to monitor the situation and evaluate our procurement strategy and supply chain to reduce any negative impact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Inflationary pressures are expected to persist, at least in the near-term, and may negatively impact our results of operations.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Vendor Rebates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The Company has, and will continue to, enter into arrangements with manufacturing vendors that produce 45X Credit eligible parts, in which the vendors agree to share a portion of the benefit received related to Array purchases, in the form of “Vendor Rebates”.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accounts for these Vendor Rebates as a reduction of the purchase prices of the vendors’ products and therefore a reduction in the cost of inventory until the inventory is sold, at which time the Company recognizes such rebates as a reduction of cost of revenues on the consolidated statements of operations. As of March 31, 2024, the Company had outstanding Vendor Rebates of $57.1 million, of which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1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$45.9 million was included in Prepaid expenses and other and $11.2 million was included in Other assets on the condensed consolidated balance sheets. As of December 31, 2023, the Company had outstanding Vendor Rebates of $48.4 million included in Prepaid expenses and other.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foreign subsidiaries have functional currencies that are different than our reporting currency. When translating balances from the functional currency to the reporting currency, assets and liabilities are translated into U.S. dollars at period end exchange rates, retained earnings is translated at historical rates, and income, expenses, and cash flow items are translated at average exchange rates prevailing during the period. Translation adjustments for these subsidiaries are accumulated within accumulated other comprehensive income. In situations when a foreign subsidiary has a local currency that is different than the functional currency, monetary assets and liabilities are translated into the functional currency at the period end exchange rates, and non-monetary assets and the related income statement effects are translated into the functional currency using historical rates. Gains and losses that result from remeasurement from a local currency to the functional currency are included in earnings.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December 2023,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ended December 31, 2025, with early adoption permitted. The Company does not expect to early adopt this reporting standard and expects no material impacts upon adoption.</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November 2023, the Financial Accounting Standards Board (the “FASB”) issued ASU 2023-07, Segment Reporting (Topic 280): Improvements to Reportable Segment Disclosures. The amendments in this ASU will require public entities to disclose significant segment expenses and other segment items and to provide in interim periods all disclosures about a reportable segment’s profit or loss and assets that are currently required annually. Public entities with a single reportable segment will also be required to provide the new disclosures and all the disclosures required under ASC 280. The guidance is effective for fiscal years beginning after December 15, 2023, and for interim periods within fiscal years beginning after December 15, 2024, with early adoption permitted. The amendments in this ASU should be applied retrospectively to all periods presented unless it is impracticable. The Company is currently assessing the impact of the guidance on its financial statements.</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In March 2023, the Company adopted ASU 2020-04 and 2022-06, Reference Rate Reform (Topic 848), and amended an existing debt agreement to replace the London Interbank Offered Rate (“LIBOR”) interest rate provisions with interest rate provisions based on a forward-looking term rate based on the secured overnight funding rate (“SOFR”) (see </w:t>
      </w:r>
      <w:r>
        <w:rPr>
          <w:rFonts w:ascii="Arial" w:cs="Arial" w:eastAsia="Arial" w:hAnsi="Arial"/>
          <w:sz w:val="20"/>
          <w:szCs w:val="20"/>
          <w:u w:val="single" w:color="auto"/>
          <w:color w:val="0000FF"/>
        </w:rPr>
        <w:t>Note 7 – Debt</w:t>
      </w:r>
      <w:r>
        <w:rPr>
          <w:rFonts w:ascii="Arial" w:cs="Arial" w:eastAsia="Arial" w:hAnsi="Arial"/>
          <w:sz w:val="20"/>
          <w:szCs w:val="20"/>
          <w:color w:val="auto"/>
        </w:rPr>
        <w:t>). There were no other changes to the agreement. There was no significant impact to the Company’s condensed consolidated financial statements.</w:t>
      </w:r>
    </w:p>
    <w:p>
      <w:pPr>
        <w:spacing w:after="0" w:line="200" w:lineRule="exact"/>
        <w:rPr>
          <w:sz w:val="20"/>
          <w:szCs w:val="20"/>
          <w:color w:val="auto"/>
        </w:rPr>
      </w:pPr>
    </w:p>
    <w:p>
      <w:pPr>
        <w:ind w:right="2600"/>
        <w:spacing w:after="0" w:line="374" w:lineRule="auto"/>
        <w:rPr>
          <w:sz w:val="20"/>
          <w:szCs w:val="20"/>
          <w:color w:val="auto"/>
        </w:rPr>
      </w:pPr>
      <w:r>
        <w:rPr>
          <w:rFonts w:ascii="Arial" w:cs="Arial" w:eastAsia="Arial" w:hAnsi="Arial"/>
          <w:sz w:val="20"/>
          <w:szCs w:val="20"/>
          <w:b w:val="1"/>
          <w:bCs w:val="1"/>
          <w:color w:val="auto"/>
        </w:rPr>
        <w:t xml:space="preserve">Immaterial Correction of 2023 Interim Period Condensed Consolidated Financial Statements </w:t>
      </w:r>
      <w:r>
        <w:rPr>
          <w:rFonts w:ascii="Arial" w:cs="Arial" w:eastAsia="Arial" w:hAnsi="Arial"/>
          <w:sz w:val="20"/>
          <w:szCs w:val="20"/>
          <w:u w:val="single" w:color="auto"/>
          <w:color w:val="auto"/>
        </w:rPr>
        <w:t>Capped Calls</w:t>
      </w:r>
    </w:p>
    <w:p>
      <w:pPr>
        <w:spacing w:after="0" w:line="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In connection with the pricing of the Convertible Notes, we entered into capped call transactions with the Option Counterparties. At issuance the Company concluded that the Capped Calls met the criteria for equity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classification because they are indexed to the Company’s common stock and the Company has discretion to settle the Capped Calls in shares or cash. As a result, the amount paid for the Capped Calls was recorded as a reduction to additional paid-in capital. 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of the accounting during the three months ended March 31, 2023, the Company concluded that the modification to the volatility inputs in the side letters precluded the Capped Calls from being accounted for as an equity instrument indexed to its own stock and should be accounted for as a freestanding derivative instrument asset recognized at fair value, with subsequent changes in fair value recognized in earnings. During the three months ended March 31, 2023, the Company began to account for the Capped Calls as derivative assets, with subsequent changes in fair value being recorded through earnings. During the three months ended December 31, 2023, after consultation with the staff of the Office of the Chief Accountant of the SEC, the Company concluded that the original equity classification accounting treatment was acceptable. As a result, the Company reclassified the derivative asset recognized at March 31, 2023, as a reduction to equity and reversed the related mark to market adjustments recognized during the three months ended March 31, 2023.</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Redeemable Perpetual Preferred Stock</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At issuance, the Company evaluated the accounting for the instruments issued pursuant to the SPA and determined the Series A Shares and common stock issued in the Initial Closing, as well as the Prepaid Forward Contract, and Put Option are freestanding instruments that are classified in equity. During the first quarter of 2023, the Company reconsidered the provisions of the Put Option and concluded that it should be accounted for as a freestanding derivative instrument asset accounted for at fair value with subsequent fair value adjustments recognized in earnings. During the fourth quarter of 2023, after consultation with the staff of the Office of the Chief Accountant of the SEC, the Company concluded that the original equity accounting classification was correct. As a result, the Company reclassified the derivative asset recognized during the three months ended March 31, 2023, as a reduction of equity and also reversed the related fair value adjustments.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Management evaluated the above misstatements and concluded they were not material to the three months ended March 31, 2023, individually or in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1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following tables reflect the effects of the correction on all affected line items of the Company’s previously reported condensed consolidated financial statements to be presented as comparative in the Form 10-Q for the three months ended March 31, 2024:</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Operations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9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20"/>
                <w:szCs w:val="20"/>
                <w:b w:val="1"/>
                <w:bCs w:val="1"/>
                <w:color w:val="auto"/>
                <w:w w:val="98"/>
              </w:rPr>
              <w:t>Three Months Ended March 31, 2023</w:t>
            </w:r>
          </w:p>
        </w:tc>
        <w:tc>
          <w:tcPr>
            <w:tcW w:w="0" w:type="dxa"/>
            <w:vAlign w:val="bottom"/>
          </w:tcPr>
          <w:p>
            <w:pPr>
              <w:spacing w:after="0"/>
              <w:rPr>
                <w:sz w:val="1"/>
                <w:szCs w:val="1"/>
                <w:color w:val="auto"/>
              </w:rPr>
            </w:pPr>
          </w:p>
        </w:tc>
      </w:tr>
      <w:tr>
        <w:trPr>
          <w:trHeight w:val="186"/>
        </w:trPr>
        <w:tc>
          <w:tcPr>
            <w:tcW w:w="508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240" w:type="dxa"/>
            <w:vAlign w:val="bottom"/>
          </w:tcPr>
          <w:p>
            <w:pPr>
              <w:spacing w:after="0"/>
              <w:rPr>
                <w:sz w:val="16"/>
                <w:szCs w:val="16"/>
                <w:color w:val="auto"/>
              </w:rPr>
            </w:pPr>
          </w:p>
        </w:tc>
        <w:tc>
          <w:tcPr>
            <w:tcW w:w="1840" w:type="dxa"/>
            <w:vAlign w:val="bottom"/>
            <w:gridSpan w:val="2"/>
          </w:tcPr>
          <w:p>
            <w:pPr>
              <w:jc w:val="center"/>
              <w:ind w:right="320"/>
              <w:spacing w:after="0" w:line="185" w:lineRule="exact"/>
              <w:rPr>
                <w:sz w:val="20"/>
                <w:szCs w:val="20"/>
                <w:color w:val="auto"/>
              </w:rPr>
            </w:pPr>
            <w:r>
              <w:rPr>
                <w:rFonts w:ascii="Arial" w:cs="Arial" w:eastAsia="Arial" w:hAnsi="Arial"/>
                <w:sz w:val="20"/>
                <w:szCs w:val="20"/>
                <w:b w:val="1"/>
                <w:bCs w:val="1"/>
                <w:color w:val="auto"/>
                <w:w w:val="99"/>
              </w:rPr>
              <w:t>As Previously</w:t>
            </w:r>
          </w:p>
        </w:tc>
        <w:tc>
          <w:tcPr>
            <w:tcW w:w="260" w:type="dxa"/>
            <w:vAlign w:val="bottom"/>
          </w:tcPr>
          <w:p>
            <w:pPr>
              <w:spacing w:after="0"/>
              <w:rPr>
                <w:sz w:val="16"/>
                <w:szCs w:val="16"/>
                <w:color w:val="auto"/>
              </w:rPr>
            </w:pPr>
          </w:p>
        </w:tc>
        <w:tc>
          <w:tcPr>
            <w:tcW w:w="1820" w:type="dxa"/>
            <w:vAlign w:val="bottom"/>
            <w:gridSpan w:val="2"/>
            <w:vMerge w:val="restart"/>
          </w:tcPr>
          <w:p>
            <w:pPr>
              <w:jc w:val="center"/>
              <w:ind w:right="340"/>
              <w:spacing w:after="0"/>
              <w:rPr>
                <w:sz w:val="20"/>
                <w:szCs w:val="20"/>
                <w:color w:val="auto"/>
              </w:rPr>
            </w:pPr>
            <w:r>
              <w:rPr>
                <w:rFonts w:ascii="Arial" w:cs="Arial" w:eastAsia="Arial" w:hAnsi="Arial"/>
                <w:sz w:val="20"/>
                <w:szCs w:val="20"/>
                <w:b w:val="1"/>
                <w:bCs w:val="1"/>
                <w:color w:val="auto"/>
                <w:w w:val="99"/>
              </w:rPr>
              <w:t>Adjustments</w:t>
            </w:r>
          </w:p>
        </w:tc>
        <w:tc>
          <w:tcPr>
            <w:tcW w:w="260" w:type="dxa"/>
            <w:vAlign w:val="bottom"/>
          </w:tcPr>
          <w:p>
            <w:pPr>
              <w:spacing w:after="0"/>
              <w:rPr>
                <w:sz w:val="16"/>
                <w:szCs w:val="16"/>
                <w:color w:val="auto"/>
              </w:rPr>
            </w:pPr>
          </w:p>
        </w:tc>
        <w:tc>
          <w:tcPr>
            <w:tcW w:w="1740" w:type="dxa"/>
            <w:vAlign w:val="bottom"/>
            <w:vMerge w:val="restart"/>
          </w:tcPr>
          <w:p>
            <w:pPr>
              <w:jc w:val="right"/>
              <w:ind w:right="281"/>
              <w:spacing w:after="0"/>
              <w:rPr>
                <w:sz w:val="20"/>
                <w:szCs w:val="20"/>
                <w:color w:val="auto"/>
              </w:rPr>
            </w:pPr>
            <w:r>
              <w:rPr>
                <w:rFonts w:ascii="Arial" w:cs="Arial" w:eastAsia="Arial" w:hAnsi="Arial"/>
                <w:sz w:val="20"/>
                <w:szCs w:val="20"/>
                <w:b w:val="1"/>
                <w:bCs w:val="1"/>
                <w:color w:val="auto"/>
              </w:rPr>
              <w:t>As Corrected</w:t>
            </w:r>
          </w:p>
        </w:tc>
        <w:tc>
          <w:tcPr>
            <w:tcW w:w="0" w:type="dxa"/>
            <w:vAlign w:val="bottom"/>
          </w:tcPr>
          <w:p>
            <w:pPr>
              <w:spacing w:after="0"/>
              <w:rPr>
                <w:sz w:val="1"/>
                <w:szCs w:val="1"/>
                <w:color w:val="auto"/>
              </w:rPr>
            </w:pPr>
          </w:p>
        </w:tc>
      </w:tr>
      <w:tr>
        <w:trPr>
          <w:trHeight w:val="253"/>
        </w:trPr>
        <w:tc>
          <w:tcPr>
            <w:tcW w:w="50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rPr>
              <w:t>Reported</w:t>
            </w:r>
          </w:p>
        </w:tc>
        <w:tc>
          <w:tcPr>
            <w:tcW w:w="260" w:type="dxa"/>
            <w:vAlign w:val="bottom"/>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Change in fair value of derivative assets</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(1,950)</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1,950</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5080" w:type="dxa"/>
            <w:vAlign w:val="bottom"/>
          </w:tcPr>
          <w:p>
            <w:pPr>
              <w:ind w:left="20"/>
              <w:spacing w:after="0"/>
              <w:rPr>
                <w:sz w:val="20"/>
                <w:szCs w:val="20"/>
                <w:color w:val="auto"/>
              </w:rPr>
            </w:pPr>
            <w:r>
              <w:rPr>
                <w:rFonts w:ascii="Arial" w:cs="Arial" w:eastAsia="Arial" w:hAnsi="Arial"/>
                <w:sz w:val="20"/>
                <w:szCs w:val="20"/>
                <w:color w:val="auto"/>
              </w:rPr>
              <w:t>Total other income (expense)</w:t>
            </w: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(11,450)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1,950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(9,500)</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before income tax benefit</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36,008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37,958</w:t>
            </w:r>
          </w:p>
        </w:tc>
        <w:tc>
          <w:tcPr>
            <w:tcW w:w="0" w:type="dxa"/>
            <w:vAlign w:val="bottom"/>
          </w:tcPr>
          <w:p>
            <w:pPr>
              <w:spacing w:after="0"/>
              <w:rPr>
                <w:sz w:val="1"/>
                <w:szCs w:val="1"/>
                <w:color w:val="auto"/>
              </w:rPr>
            </w:pPr>
          </w:p>
        </w:tc>
      </w:tr>
      <w:tr>
        <w:trPr>
          <w:trHeight w:val="282"/>
        </w:trPr>
        <w:tc>
          <w:tcPr>
            <w:tcW w:w="5080" w:type="dxa"/>
            <w:vAlign w:val="bottom"/>
          </w:tcPr>
          <w:p>
            <w:pPr>
              <w:ind w:left="20"/>
              <w:spacing w:after="0"/>
              <w:rPr>
                <w:sz w:val="20"/>
                <w:szCs w:val="20"/>
                <w:color w:val="auto"/>
              </w:rPr>
            </w:pPr>
            <w:r>
              <w:rPr>
                <w:rFonts w:ascii="Arial" w:cs="Arial" w:eastAsia="Arial" w:hAnsi="Arial"/>
                <w:sz w:val="20"/>
                <w:szCs w:val="20"/>
                <w:color w:val="auto"/>
              </w:rPr>
              <w:t>Income tax expense (benefit)</w:t>
            </w: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9,876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(1,553)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8,323</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26,132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29,635</w:t>
            </w:r>
          </w:p>
        </w:tc>
        <w:tc>
          <w:tcPr>
            <w:tcW w:w="0" w:type="dxa"/>
            <w:vAlign w:val="bottom"/>
          </w:tcPr>
          <w:p>
            <w:pPr>
              <w:spacing w:after="0"/>
              <w:rPr>
                <w:sz w:val="1"/>
                <w:szCs w:val="1"/>
                <w:color w:val="auto"/>
              </w:rPr>
            </w:pPr>
          </w:p>
        </w:tc>
      </w:tr>
      <w:tr>
        <w:trPr>
          <w:trHeight w:val="282"/>
        </w:trPr>
        <w:tc>
          <w:tcPr>
            <w:tcW w:w="5080" w:type="dxa"/>
            <w:vAlign w:val="bottom"/>
          </w:tcPr>
          <w:p>
            <w:pPr>
              <w:ind w:left="20"/>
              <w:spacing w:after="0"/>
              <w:rPr>
                <w:sz w:val="20"/>
                <w:szCs w:val="20"/>
                <w:color w:val="auto"/>
              </w:rPr>
            </w:pPr>
            <w:r>
              <w:rPr>
                <w:rFonts w:ascii="Arial" w:cs="Arial" w:eastAsia="Arial" w:hAnsi="Arial"/>
                <w:sz w:val="20"/>
                <w:szCs w:val="20"/>
                <w:color w:val="auto"/>
              </w:rPr>
              <w:t>Net income to common shareholders</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13,648</w:t>
            </w:r>
          </w:p>
        </w:tc>
        <w:tc>
          <w:tcPr>
            <w:tcW w:w="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3,503</w:t>
            </w:r>
          </w:p>
        </w:tc>
        <w:tc>
          <w:tcPr>
            <w:tcW w:w="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17,151</w:t>
            </w:r>
          </w:p>
        </w:tc>
        <w:tc>
          <w:tcPr>
            <w:tcW w:w="0" w:type="dxa"/>
            <w:vAlign w:val="bottom"/>
          </w:tcPr>
          <w:p>
            <w:pPr>
              <w:spacing w:after="0"/>
              <w:rPr>
                <w:sz w:val="1"/>
                <w:szCs w:val="1"/>
                <w:color w:val="auto"/>
              </w:rPr>
            </w:pPr>
          </w:p>
        </w:tc>
      </w:tr>
      <w:tr>
        <w:trPr>
          <w:trHeight w:val="285"/>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per common share</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240"/>
              <w:spacing w:after="0"/>
              <w:rPr>
                <w:sz w:val="20"/>
                <w:szCs w:val="20"/>
                <w:color w:val="auto"/>
              </w:rPr>
            </w:pPr>
            <w:r>
              <w:rPr>
                <w:rFonts w:ascii="Arial" w:cs="Arial" w:eastAsia="Arial" w:hAnsi="Arial"/>
                <w:sz w:val="20"/>
                <w:szCs w:val="20"/>
                <w:color w:val="auto"/>
              </w:rPr>
              <w:t>Basic</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0.09</w:t>
            </w:r>
          </w:p>
        </w:tc>
        <w:tc>
          <w:tcPr>
            <w:tcW w:w="80" w:type="dxa"/>
            <w:vAlign w:val="bottom"/>
          </w:tcPr>
          <w:p>
            <w:pPr>
              <w:spacing w:after="0"/>
              <w:rPr>
                <w:sz w:val="23"/>
                <w:szCs w:val="23"/>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3"/>
                <w:szCs w:val="23"/>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92"/>
        </w:trPr>
        <w:tc>
          <w:tcPr>
            <w:tcW w:w="50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9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20"/>
                <w:szCs w:val="20"/>
                <w:b w:val="1"/>
                <w:bCs w:val="1"/>
                <w:color w:val="auto"/>
                <w:w w:val="98"/>
              </w:rPr>
              <w:t>Three Months Ended March 31, 2023</w:t>
            </w:r>
          </w:p>
        </w:tc>
        <w:tc>
          <w:tcPr>
            <w:tcW w:w="0" w:type="dxa"/>
            <w:vAlign w:val="bottom"/>
          </w:tcPr>
          <w:p>
            <w:pPr>
              <w:spacing w:after="0"/>
              <w:rPr>
                <w:sz w:val="1"/>
                <w:szCs w:val="1"/>
                <w:color w:val="auto"/>
              </w:rPr>
            </w:pPr>
          </w:p>
        </w:tc>
      </w:tr>
      <w:tr>
        <w:trPr>
          <w:trHeight w:val="186"/>
        </w:trPr>
        <w:tc>
          <w:tcPr>
            <w:tcW w:w="508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240" w:type="dxa"/>
            <w:vAlign w:val="bottom"/>
          </w:tcPr>
          <w:p>
            <w:pPr>
              <w:spacing w:after="0"/>
              <w:rPr>
                <w:sz w:val="16"/>
                <w:szCs w:val="16"/>
                <w:color w:val="auto"/>
              </w:rPr>
            </w:pPr>
          </w:p>
        </w:tc>
        <w:tc>
          <w:tcPr>
            <w:tcW w:w="1840" w:type="dxa"/>
            <w:vAlign w:val="bottom"/>
            <w:gridSpan w:val="2"/>
          </w:tcPr>
          <w:p>
            <w:pPr>
              <w:jc w:val="center"/>
              <w:ind w:right="320"/>
              <w:spacing w:after="0" w:line="185" w:lineRule="exact"/>
              <w:rPr>
                <w:sz w:val="20"/>
                <w:szCs w:val="20"/>
                <w:color w:val="auto"/>
              </w:rPr>
            </w:pPr>
            <w:r>
              <w:rPr>
                <w:rFonts w:ascii="Arial" w:cs="Arial" w:eastAsia="Arial" w:hAnsi="Arial"/>
                <w:sz w:val="20"/>
                <w:szCs w:val="20"/>
                <w:b w:val="1"/>
                <w:bCs w:val="1"/>
                <w:color w:val="auto"/>
                <w:w w:val="99"/>
              </w:rPr>
              <w:t>As Previously</w:t>
            </w:r>
          </w:p>
        </w:tc>
        <w:tc>
          <w:tcPr>
            <w:tcW w:w="260" w:type="dxa"/>
            <w:vAlign w:val="bottom"/>
          </w:tcPr>
          <w:p>
            <w:pPr>
              <w:spacing w:after="0"/>
              <w:rPr>
                <w:sz w:val="16"/>
                <w:szCs w:val="16"/>
                <w:color w:val="auto"/>
              </w:rPr>
            </w:pPr>
          </w:p>
        </w:tc>
        <w:tc>
          <w:tcPr>
            <w:tcW w:w="1820" w:type="dxa"/>
            <w:vAlign w:val="bottom"/>
            <w:gridSpan w:val="2"/>
            <w:vMerge w:val="restart"/>
          </w:tcPr>
          <w:p>
            <w:pPr>
              <w:jc w:val="center"/>
              <w:ind w:right="340"/>
              <w:spacing w:after="0"/>
              <w:rPr>
                <w:sz w:val="20"/>
                <w:szCs w:val="20"/>
                <w:color w:val="auto"/>
              </w:rPr>
            </w:pPr>
            <w:r>
              <w:rPr>
                <w:rFonts w:ascii="Arial" w:cs="Arial" w:eastAsia="Arial" w:hAnsi="Arial"/>
                <w:sz w:val="20"/>
                <w:szCs w:val="20"/>
                <w:b w:val="1"/>
                <w:bCs w:val="1"/>
                <w:color w:val="auto"/>
                <w:w w:val="99"/>
              </w:rPr>
              <w:t>Adjustments</w:t>
            </w:r>
          </w:p>
        </w:tc>
        <w:tc>
          <w:tcPr>
            <w:tcW w:w="260" w:type="dxa"/>
            <w:vAlign w:val="bottom"/>
          </w:tcPr>
          <w:p>
            <w:pPr>
              <w:spacing w:after="0"/>
              <w:rPr>
                <w:sz w:val="16"/>
                <w:szCs w:val="16"/>
                <w:color w:val="auto"/>
              </w:rPr>
            </w:pPr>
          </w:p>
        </w:tc>
        <w:tc>
          <w:tcPr>
            <w:tcW w:w="1740" w:type="dxa"/>
            <w:vAlign w:val="bottom"/>
            <w:vMerge w:val="restart"/>
          </w:tcPr>
          <w:p>
            <w:pPr>
              <w:jc w:val="right"/>
              <w:ind w:right="281"/>
              <w:spacing w:after="0"/>
              <w:rPr>
                <w:sz w:val="20"/>
                <w:szCs w:val="20"/>
                <w:color w:val="auto"/>
              </w:rPr>
            </w:pPr>
            <w:r>
              <w:rPr>
                <w:rFonts w:ascii="Arial" w:cs="Arial" w:eastAsia="Arial" w:hAnsi="Arial"/>
                <w:sz w:val="20"/>
                <w:szCs w:val="20"/>
                <w:b w:val="1"/>
                <w:bCs w:val="1"/>
                <w:color w:val="auto"/>
              </w:rPr>
              <w:t>As Corrected</w:t>
            </w:r>
          </w:p>
        </w:tc>
        <w:tc>
          <w:tcPr>
            <w:tcW w:w="0" w:type="dxa"/>
            <w:vAlign w:val="bottom"/>
          </w:tcPr>
          <w:p>
            <w:pPr>
              <w:spacing w:after="0"/>
              <w:rPr>
                <w:sz w:val="1"/>
                <w:szCs w:val="1"/>
                <w:color w:val="auto"/>
              </w:rPr>
            </w:pPr>
          </w:p>
        </w:tc>
      </w:tr>
      <w:tr>
        <w:trPr>
          <w:trHeight w:val="253"/>
        </w:trPr>
        <w:tc>
          <w:tcPr>
            <w:tcW w:w="50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rPr>
              <w:t>Reported</w:t>
            </w:r>
          </w:p>
        </w:tc>
        <w:tc>
          <w:tcPr>
            <w:tcW w:w="260" w:type="dxa"/>
            <w:vAlign w:val="bottom"/>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26,132</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3,503</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29,635</w:t>
            </w:r>
          </w:p>
        </w:tc>
        <w:tc>
          <w:tcPr>
            <w:tcW w:w="0" w:type="dxa"/>
            <w:vAlign w:val="bottom"/>
          </w:tcPr>
          <w:p>
            <w:pPr>
              <w:spacing w:after="0"/>
              <w:rPr>
                <w:sz w:val="1"/>
                <w:szCs w:val="1"/>
                <w:color w:val="auto"/>
              </w:rPr>
            </w:pPr>
          </w:p>
        </w:tc>
      </w:tr>
      <w:tr>
        <w:trPr>
          <w:trHeight w:val="280"/>
        </w:trPr>
        <w:tc>
          <w:tcPr>
            <w:tcW w:w="5080" w:type="dxa"/>
            <w:vAlign w:val="bottom"/>
          </w:tcPr>
          <w:p>
            <w:pPr>
              <w:ind w:left="20"/>
              <w:spacing w:after="0"/>
              <w:rPr>
                <w:sz w:val="20"/>
                <w:szCs w:val="20"/>
                <w:color w:val="auto"/>
              </w:rPr>
            </w:pPr>
            <w:r>
              <w:rPr>
                <w:rFonts w:ascii="Arial" w:cs="Arial" w:eastAsia="Arial" w:hAnsi="Arial"/>
                <w:sz w:val="20"/>
                <w:szCs w:val="20"/>
                <w:color w:val="auto"/>
              </w:rPr>
              <w:t>Comprehensive income</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40,004</w:t>
            </w:r>
          </w:p>
        </w:tc>
        <w:tc>
          <w:tcPr>
            <w:tcW w:w="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3,503</w:t>
            </w:r>
          </w:p>
        </w:tc>
        <w:tc>
          <w:tcPr>
            <w:tcW w:w="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43,507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Changes in Redeemable Perpetual Preferred Stock and Stockholders’ Equity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080" w:type="dxa"/>
            <w:vAlign w:val="bottom"/>
            <w:gridSpan w:val="5"/>
          </w:tcPr>
          <w:p>
            <w:pPr>
              <w:spacing w:after="0"/>
              <w:rPr>
                <w:sz w:val="20"/>
                <w:szCs w:val="20"/>
                <w:color w:val="auto"/>
              </w:rPr>
            </w:pPr>
            <w:r>
              <w:rPr>
                <w:rFonts w:ascii="Arial" w:cs="Arial" w:eastAsia="Arial" w:hAnsi="Arial"/>
                <w:sz w:val="20"/>
                <w:szCs w:val="20"/>
                <w:b w:val="1"/>
                <w:bCs w:val="1"/>
                <w:color w:val="auto"/>
              </w:rPr>
              <w:t>(unaudited)</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2"/>
          </w:tcPr>
          <w:p>
            <w:pPr>
              <w:jc w:val="center"/>
              <w:spacing w:after="0"/>
              <w:rPr>
                <w:sz w:val="20"/>
                <w:szCs w:val="20"/>
                <w:color w:val="auto"/>
              </w:rPr>
            </w:pPr>
            <w:r>
              <w:rPr>
                <w:rFonts w:ascii="Arial" w:cs="Arial" w:eastAsia="Arial" w:hAnsi="Arial"/>
                <w:sz w:val="20"/>
                <w:szCs w:val="20"/>
                <w:b w:val="1"/>
                <w:bCs w:val="1"/>
                <w:color w:val="auto"/>
                <w:w w:val="98"/>
              </w:rPr>
              <w:t>Three Months Ended March 31, 2023</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(in thousands)</w:t>
            </w:r>
          </w:p>
        </w:tc>
        <w:tc>
          <w:tcPr>
            <w:tcW w:w="140" w:type="dxa"/>
            <w:vAlign w:val="bottom"/>
          </w:tcPr>
          <w:p>
            <w:pPr>
              <w:spacing w:after="0"/>
              <w:rPr>
                <w:sz w:val="15"/>
                <w:szCs w:val="15"/>
                <w:color w:val="auto"/>
              </w:rPr>
            </w:pPr>
          </w:p>
        </w:tc>
        <w:tc>
          <w:tcPr>
            <w:tcW w:w="1920" w:type="dxa"/>
            <w:vAlign w:val="bottom"/>
            <w:gridSpan w:val="4"/>
          </w:tcPr>
          <w:p>
            <w:pPr>
              <w:jc w:val="center"/>
              <w:ind w:right="220"/>
              <w:spacing w:after="0" w:line="183" w:lineRule="exact"/>
              <w:rPr>
                <w:sz w:val="20"/>
                <w:szCs w:val="20"/>
                <w:color w:val="auto"/>
              </w:rPr>
            </w:pPr>
            <w:r>
              <w:rPr>
                <w:rFonts w:ascii="Arial" w:cs="Arial" w:eastAsia="Arial" w:hAnsi="Arial"/>
                <w:sz w:val="20"/>
                <w:szCs w:val="20"/>
                <w:b w:val="1"/>
                <w:bCs w:val="1"/>
                <w:color w:val="auto"/>
                <w:w w:val="99"/>
              </w:rPr>
              <w:t>Additional Paid-In</w:t>
            </w:r>
          </w:p>
        </w:tc>
        <w:tc>
          <w:tcPr>
            <w:tcW w:w="20" w:type="dxa"/>
            <w:vAlign w:val="bottom"/>
          </w:tcPr>
          <w:p>
            <w:pPr>
              <w:spacing w:after="0"/>
              <w:rPr>
                <w:sz w:val="15"/>
                <w:szCs w:val="15"/>
                <w:color w:val="auto"/>
              </w:rPr>
            </w:pPr>
          </w:p>
        </w:tc>
        <w:tc>
          <w:tcPr>
            <w:tcW w:w="198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auto"/>
                <w:w w:val="98"/>
              </w:rPr>
              <w:t>Accumulated 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2"/>
          </w:tcPr>
          <w:p>
            <w:pPr>
              <w:jc w:val="center"/>
              <w:spacing w:after="0" w:line="183" w:lineRule="exact"/>
              <w:rPr>
                <w:sz w:val="20"/>
                <w:szCs w:val="20"/>
                <w:color w:val="auto"/>
              </w:rPr>
            </w:pPr>
            <w:r>
              <w:rPr>
                <w:rFonts w:ascii="Arial" w:cs="Arial" w:eastAsia="Arial" w:hAnsi="Arial"/>
                <w:sz w:val="20"/>
                <w:szCs w:val="20"/>
                <w:b w:val="1"/>
                <w:bCs w:val="1"/>
                <w:color w:val="auto"/>
                <w:w w:val="98"/>
              </w:rPr>
              <w:t>Total Stockholders’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4"/>
            <w:vMerge w:val="continue"/>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Capital</w:t>
            </w:r>
          </w:p>
        </w:tc>
        <w:tc>
          <w:tcPr>
            <w:tcW w:w="20" w:type="dxa"/>
            <w:vAlign w:val="bottom"/>
          </w:tcPr>
          <w:p>
            <w:pPr>
              <w:spacing w:after="0"/>
              <w:rPr>
                <w:sz w:val="22"/>
                <w:szCs w:val="22"/>
                <w:color w:val="auto"/>
              </w:rPr>
            </w:pPr>
          </w:p>
        </w:tc>
        <w:tc>
          <w:tcPr>
            <w:tcW w:w="1980" w:type="dxa"/>
            <w:vAlign w:val="bottom"/>
            <w:gridSpan w:val="4"/>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jc w:val="center"/>
              <w:ind w:right="561"/>
              <w:spacing w:after="0"/>
              <w:rPr>
                <w:sz w:val="20"/>
                <w:szCs w:val="20"/>
                <w:color w:val="auto"/>
              </w:rPr>
            </w:pPr>
            <w:r>
              <w:rPr>
                <w:rFonts w:ascii="Arial" w:cs="Arial" w:eastAsia="Arial" w:hAnsi="Arial"/>
                <w:sz w:val="20"/>
                <w:szCs w:val="20"/>
                <w:b w:val="1"/>
                <w:bCs w:val="1"/>
                <w:color w:val="auto"/>
                <w:w w:val="98"/>
              </w:rPr>
              <w:t>Equity</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CCEEFF"/>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20"/>
                <w:szCs w:val="20"/>
                <w:b w:val="1"/>
                <w:bCs w:val="1"/>
                <w:color w:val="auto"/>
                <w:w w:val="98"/>
              </w:rPr>
              <w:t>As Previously Reported</w:t>
            </w: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20"/>
                <w:szCs w:val="20"/>
                <w:color w:val="auto"/>
              </w:rPr>
              <w:t>Balance at December 31, 2022</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383,176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(267,470)</w:t>
            </w:r>
          </w:p>
        </w:tc>
        <w:tc>
          <w:tcPr>
            <w:tcW w:w="760" w:type="dxa"/>
            <w:vAlign w:val="bottom"/>
            <w:gridSpan w:val="4"/>
          </w:tcPr>
          <w:p>
            <w:pPr>
              <w:jc w:val="right"/>
              <w:ind w:right="44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124,281</w:t>
            </w:r>
          </w:p>
        </w:tc>
        <w:tc>
          <w:tcPr>
            <w:tcW w:w="0" w:type="dxa"/>
            <w:vAlign w:val="bottom"/>
          </w:tcPr>
          <w:p>
            <w:pPr>
              <w:spacing w:after="0"/>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Correction of the Capped Call and Put Option errors</w:t>
            </w:r>
          </w:p>
        </w:tc>
        <w:tc>
          <w:tcPr>
            <w:tcW w:w="1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52,914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52,914</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20"/>
                <w:szCs w:val="20"/>
                <w:color w:val="auto"/>
              </w:rPr>
              <w:t>Net income</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26,132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26,132</w:t>
            </w:r>
          </w:p>
        </w:tc>
        <w:tc>
          <w:tcPr>
            <w:tcW w:w="0" w:type="dxa"/>
            <w:vAlign w:val="bottom"/>
          </w:tcPr>
          <w:p>
            <w:pPr>
              <w:spacing w:after="0"/>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Balance at March 31, 2023</w:t>
            </w:r>
          </w:p>
        </w:tc>
        <w:tc>
          <w:tcPr>
            <w:tcW w:w="1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426,221</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(241,338)</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spacing w:after="0" w:line="216" w:lineRule="exact"/>
              <w:rPr>
                <w:sz w:val="20"/>
                <w:szCs w:val="20"/>
                <w:color w:val="auto"/>
              </w:rPr>
            </w:pPr>
            <w:r>
              <w:rPr>
                <w:rFonts w:ascii="Arial" w:cs="Arial" w:eastAsia="Arial" w:hAnsi="Arial"/>
                <w:sz w:val="20"/>
                <w:szCs w:val="20"/>
                <w:b w:val="1"/>
                <w:bCs w:val="1"/>
                <w:color w:val="auto"/>
              </w:rPr>
              <w:t>Adjustments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Correction of the Capped Call and Put Option errors</w:t>
            </w:r>
          </w:p>
        </w:tc>
        <w:tc>
          <w:tcPr>
            <w:tcW w:w="1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(52,914)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(52,914)</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20"/>
                <w:szCs w:val="20"/>
                <w:color w:val="auto"/>
              </w:rPr>
              <w:t>Net income</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3,503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3,503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spacing w:after="0" w:line="218" w:lineRule="exact"/>
              <w:rPr>
                <w:sz w:val="20"/>
                <w:szCs w:val="20"/>
                <w:color w:val="auto"/>
              </w:rPr>
            </w:pPr>
            <w:r>
              <w:rPr>
                <w:rFonts w:ascii="Arial" w:cs="Arial" w:eastAsia="Arial" w:hAnsi="Arial"/>
                <w:sz w:val="20"/>
                <w:szCs w:val="20"/>
                <w:b w:val="1"/>
                <w:bCs w:val="1"/>
                <w:color w:val="auto"/>
              </w:rPr>
              <w:t>As Corrected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20"/>
                <w:szCs w:val="20"/>
                <w:color w:val="auto"/>
              </w:rPr>
              <w:t>Balance at December 31, 2022</w:t>
            </w:r>
          </w:p>
        </w:tc>
        <w:tc>
          <w:tcPr>
            <w:tcW w:w="14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383,176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(267,470)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124,281</w:t>
            </w:r>
          </w:p>
        </w:tc>
        <w:tc>
          <w:tcPr>
            <w:tcW w:w="0" w:type="dxa"/>
            <w:vAlign w:val="bottom"/>
          </w:tcPr>
          <w:p>
            <w:pPr>
              <w:spacing w:after="0"/>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Correction of the Capped Call and Put Option errors</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20"/>
                <w:szCs w:val="20"/>
                <w:color w:val="auto"/>
              </w:rPr>
              <w:t>Net income</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29,635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29,635</w:t>
            </w:r>
          </w:p>
        </w:tc>
        <w:tc>
          <w:tcPr>
            <w:tcW w:w="0" w:type="dxa"/>
            <w:vAlign w:val="bottom"/>
          </w:tcPr>
          <w:p>
            <w:pPr>
              <w:spacing w:after="0"/>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Balance at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373,307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(237,835)</w:t>
            </w:r>
          </w:p>
        </w:tc>
        <w:tc>
          <w:tcPr>
            <w:tcW w:w="760" w:type="dxa"/>
            <w:vAlign w:val="bottom"/>
            <w:gridSpan w:val="4"/>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157,919</w:t>
            </w:r>
          </w:p>
        </w:tc>
        <w:tc>
          <w:tcPr>
            <w:tcW w:w="0" w:type="dxa"/>
            <w:vAlign w:val="bottom"/>
          </w:tcPr>
          <w:p>
            <w:pPr>
              <w:spacing w:after="0"/>
              <w:rPr>
                <w:sz w:val="1"/>
                <w:szCs w:val="1"/>
                <w:color w:val="auto"/>
              </w:rPr>
            </w:pPr>
          </w:p>
        </w:tc>
      </w:tr>
      <w:tr>
        <w:trPr>
          <w:trHeight w:val="803"/>
        </w:trPr>
        <w:tc>
          <w:tcPr>
            <w:tcW w:w="7140" w:type="dxa"/>
            <w:vAlign w:val="bottom"/>
            <w:gridSpan w:val="10"/>
          </w:tcPr>
          <w:p>
            <w:pPr>
              <w:spacing w:after="0"/>
              <w:rPr>
                <w:sz w:val="20"/>
                <w:szCs w:val="20"/>
                <w:color w:val="auto"/>
              </w:rPr>
            </w:pPr>
            <w:r>
              <w:rPr>
                <w:rFonts w:ascii="Arial" w:cs="Arial" w:eastAsia="Arial" w:hAnsi="Arial"/>
                <w:sz w:val="20"/>
                <w:szCs w:val="20"/>
                <w:b w:val="1"/>
                <w:bCs w:val="1"/>
                <w:color w:val="auto"/>
              </w:rPr>
              <w:t>Condensed Consolidated Statements of Cash Flows (unaudited)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2"/>
          </w:tcPr>
          <w:p>
            <w:pPr>
              <w:jc w:val="center"/>
              <w:spacing w:after="0"/>
              <w:rPr>
                <w:sz w:val="20"/>
                <w:szCs w:val="20"/>
                <w:color w:val="auto"/>
              </w:rPr>
            </w:pPr>
            <w:r>
              <w:rPr>
                <w:rFonts w:ascii="Arial" w:cs="Arial" w:eastAsia="Arial" w:hAnsi="Arial"/>
                <w:sz w:val="20"/>
                <w:szCs w:val="20"/>
                <w:b w:val="1"/>
                <w:bCs w:val="1"/>
                <w:color w:val="auto"/>
                <w:w w:val="98"/>
              </w:rPr>
              <w:t>Three Months Ended March 31, 2023</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(in thousands)</w:t>
            </w:r>
          </w:p>
        </w:tc>
        <w:tc>
          <w:tcPr>
            <w:tcW w:w="140" w:type="dxa"/>
            <w:vAlign w:val="bottom"/>
          </w:tcPr>
          <w:p>
            <w:pPr>
              <w:spacing w:after="0"/>
              <w:rPr>
                <w:sz w:val="15"/>
                <w:szCs w:val="15"/>
                <w:color w:val="auto"/>
              </w:rPr>
            </w:pPr>
          </w:p>
        </w:tc>
        <w:tc>
          <w:tcPr>
            <w:tcW w:w="1920" w:type="dxa"/>
            <w:vAlign w:val="bottom"/>
            <w:gridSpan w:val="4"/>
          </w:tcPr>
          <w:p>
            <w:pPr>
              <w:jc w:val="center"/>
              <w:ind w:right="200"/>
              <w:spacing w:after="0" w:line="183" w:lineRule="exact"/>
              <w:rPr>
                <w:sz w:val="20"/>
                <w:szCs w:val="20"/>
                <w:color w:val="auto"/>
              </w:rPr>
            </w:pPr>
            <w:r>
              <w:rPr>
                <w:rFonts w:ascii="Arial" w:cs="Arial" w:eastAsia="Arial" w:hAnsi="Arial"/>
                <w:sz w:val="20"/>
                <w:szCs w:val="20"/>
                <w:b w:val="1"/>
                <w:bCs w:val="1"/>
                <w:color w:val="auto"/>
                <w:w w:val="99"/>
              </w:rPr>
              <w:t>As Previously</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9"/>
              </w:rPr>
              <w:t>Adjustments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8"/>
              </w:rPr>
              <w:t>As Corrected</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5060" w:type="dxa"/>
            <w:vAlign w:val="bottom"/>
            <w:tcBorders>
              <w:bottom w:val="single" w:sz="8" w:color="CCEEFF"/>
            </w:tcBorders>
            <w:gridSpan w:val="4"/>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0"/>
                <w:szCs w:val="20"/>
                <w:b w:val="1"/>
                <w:bCs w:val="1"/>
                <w:color w:val="auto"/>
              </w:rPr>
              <w:t>Reported</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26,132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3,503</w:t>
            </w:r>
          </w:p>
        </w:tc>
        <w:tc>
          <w:tcPr>
            <w:tcW w:w="760" w:type="dxa"/>
            <w:vAlign w:val="bottom"/>
            <w:gridSpan w:val="4"/>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29,635</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Arial" w:cs="Arial" w:eastAsia="Arial" w:hAnsi="Arial"/>
                <w:sz w:val="20"/>
                <w:szCs w:val="20"/>
                <w:color w:val="auto"/>
              </w:rPr>
              <w:t>Deferred tax expense (benefit)</w:t>
            </w:r>
          </w:p>
        </w:tc>
        <w:tc>
          <w:tcPr>
            <w:tcW w:w="14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4,555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(1,553)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3,002</w:t>
            </w:r>
          </w:p>
        </w:tc>
        <w:tc>
          <w:tcPr>
            <w:tcW w:w="0" w:type="dxa"/>
            <w:vAlign w:val="bottom"/>
          </w:tcPr>
          <w:p>
            <w:pPr>
              <w:spacing w:after="0"/>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Change in fair value of derivative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1,950</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(1,950)</w:t>
            </w:r>
          </w:p>
        </w:tc>
        <w:tc>
          <w:tcPr>
            <w:tcW w:w="760" w:type="dxa"/>
            <w:vAlign w:val="bottom"/>
            <w:gridSpan w:val="4"/>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87"/>
        </w:trPr>
        <w:tc>
          <w:tcPr>
            <w:tcW w:w="5080" w:type="dxa"/>
            <w:vAlign w:val="bottom"/>
            <w:gridSpan w:val="5"/>
          </w:tcPr>
          <w:p>
            <w:pPr>
              <w:spacing w:after="0"/>
              <w:rPr>
                <w:sz w:val="20"/>
                <w:szCs w:val="20"/>
                <w:color w:val="auto"/>
              </w:rPr>
            </w:pPr>
            <w:r>
              <w:rPr>
                <w:rFonts w:ascii="Arial" w:cs="Arial" w:eastAsia="Arial" w:hAnsi="Arial"/>
                <w:sz w:val="20"/>
                <w:szCs w:val="20"/>
                <w:b w:val="1"/>
                <w:bCs w:val="1"/>
                <w:color w:val="auto"/>
              </w:rPr>
              <w:t>3.  Inventories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5080" w:type="dxa"/>
            <w:vAlign w:val="bottom"/>
            <w:gridSpan w:val="5"/>
          </w:tcPr>
          <w:p>
            <w:pPr>
              <w:spacing w:after="0"/>
              <w:rPr>
                <w:sz w:val="20"/>
                <w:szCs w:val="20"/>
                <w:color w:val="auto"/>
              </w:rPr>
            </w:pPr>
            <w:r>
              <w:rPr>
                <w:rFonts w:ascii="Arial" w:cs="Arial" w:eastAsia="Arial" w:hAnsi="Arial"/>
                <w:sz w:val="20"/>
                <w:szCs w:val="20"/>
                <w:color w:val="auto"/>
              </w:rPr>
              <w:t>Inventories consisted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gridSpan w:val="6"/>
          </w:tcPr>
          <w:p>
            <w:pPr>
              <w:jc w:val="right"/>
              <w:ind w:right="381"/>
              <w:spacing w:after="0"/>
              <w:rPr>
                <w:sz w:val="20"/>
                <w:szCs w:val="20"/>
                <w:color w:val="auto"/>
              </w:rPr>
            </w:pPr>
            <w:r>
              <w:rPr>
                <w:rFonts w:ascii="Arial" w:cs="Arial" w:eastAsia="Arial" w:hAnsi="Arial"/>
                <w:sz w:val="20"/>
                <w:szCs w:val="20"/>
                <w:b w:val="1"/>
                <w:bCs w:val="1"/>
                <w:color w:val="auto"/>
              </w:rPr>
              <w:t>March 31, 2024</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20"/>
                <w:szCs w:val="20"/>
                <w:b w:val="1"/>
                <w:bCs w:val="1"/>
                <w:color w:val="auto"/>
                <w:w w:val="97"/>
              </w:rPr>
              <w:t>December 31, 2023</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Raw materials</w:t>
            </w:r>
          </w:p>
        </w:tc>
        <w:tc>
          <w:tcPr>
            <w:tcW w:w="1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34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46,723</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86,614</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tcPr>
          <w:p>
            <w:pPr>
              <w:spacing w:after="0"/>
              <w:rPr>
                <w:sz w:val="24"/>
                <w:szCs w:val="24"/>
                <w:color w:val="auto"/>
              </w:rPr>
            </w:pPr>
          </w:p>
        </w:tc>
        <w:tc>
          <w:tcPr>
            <w:tcW w:w="5060" w:type="dxa"/>
            <w:vAlign w:val="bottom"/>
            <w:tcBorders>
              <w:bottom w:val="single" w:sz="8" w:color="CCEEFF"/>
            </w:tcBorders>
            <w:gridSpan w:val="4"/>
          </w:tcPr>
          <w:p>
            <w:pPr>
              <w:spacing w:after="0"/>
              <w:rPr>
                <w:sz w:val="20"/>
                <w:szCs w:val="20"/>
                <w:color w:val="auto"/>
              </w:rPr>
            </w:pPr>
            <w:r>
              <w:rPr>
                <w:rFonts w:ascii="Arial" w:cs="Arial" w:eastAsia="Arial" w:hAnsi="Arial"/>
                <w:sz w:val="20"/>
                <w:szCs w:val="20"/>
                <w:color w:val="auto"/>
              </w:rPr>
              <w:t>Finished goods</w:t>
            </w: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131,972</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75,350</w:t>
            </w:r>
          </w:p>
        </w:tc>
        <w:tc>
          <w:tcPr>
            <w:tcW w:w="0" w:type="dxa"/>
            <w:vAlign w:val="bottom"/>
          </w:tcPr>
          <w:p>
            <w:pPr>
              <w:spacing w:after="0"/>
              <w:rPr>
                <w:sz w:val="1"/>
                <w:szCs w:val="1"/>
                <w:color w:val="auto"/>
              </w:rPr>
            </w:pPr>
          </w:p>
        </w:tc>
      </w:tr>
      <w:tr>
        <w:trPr>
          <w:trHeight w:val="297"/>
        </w:trPr>
        <w:tc>
          <w:tcPr>
            <w:tcW w:w="20" w:type="dxa"/>
            <w:vAlign w:val="bottom"/>
            <w:shd w:val="clear" w:color="auto" w:fill="CCEEFF"/>
          </w:tcPr>
          <w:p>
            <w:pPr>
              <w:spacing w:after="0"/>
              <w:rPr>
                <w:sz w:val="24"/>
                <w:szCs w:val="24"/>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Inventories</w:t>
            </w:r>
          </w:p>
        </w:tc>
        <w:tc>
          <w:tcPr>
            <w:tcW w:w="1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34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178,695</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161,964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values a portion of its inventory using the moving average cost method that approximates the First In, First Out method (“FIFO”). As of March 31, 2024, inventory valued using moving average cost and FIFO was $141.4 million and $37.3 million, respectively. As of December 31, 2023, inventory valued using moving average cost and FIFO, was $129.5 million and $32.5 million,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31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 except useful lives):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780" w:type="dxa"/>
            <w:vAlign w:val="bottom"/>
          </w:tcPr>
          <w:p>
            <w:pPr>
              <w:jc w:val="center"/>
              <w:ind w:left="281"/>
              <w:spacing w:after="0"/>
              <w:rPr>
                <w:sz w:val="20"/>
                <w:szCs w:val="20"/>
                <w:color w:val="auto"/>
              </w:rPr>
            </w:pPr>
            <w:r>
              <w:rPr>
                <w:rFonts w:ascii="Arial" w:cs="Arial" w:eastAsia="Arial" w:hAnsi="Arial"/>
                <w:sz w:val="20"/>
                <w:szCs w:val="20"/>
                <w:b w:val="1"/>
                <w:bCs w:val="1"/>
                <w:color w:val="auto"/>
                <w:w w:val="98"/>
              </w:rPr>
              <w:t>Estimated Useful Lives</w:t>
            </w:r>
          </w:p>
        </w:tc>
        <w:tc>
          <w:tcPr>
            <w:tcW w:w="400" w:type="dxa"/>
            <w:vAlign w:val="bottom"/>
          </w:tcPr>
          <w:p>
            <w:pPr>
              <w:spacing w:after="0"/>
              <w:rPr>
                <w:sz w:val="19"/>
                <w:szCs w:val="19"/>
                <w:color w:val="auto"/>
              </w:rPr>
            </w:pPr>
          </w:p>
        </w:tc>
        <w:tc>
          <w:tcPr>
            <w:tcW w:w="208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March 31, 2024</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2023</w:t>
            </w:r>
          </w:p>
        </w:tc>
        <w:tc>
          <w:tcPr>
            <w:tcW w:w="0" w:type="dxa"/>
            <w:vAlign w:val="bottom"/>
          </w:tcPr>
          <w:p>
            <w:pPr>
              <w:spacing w:after="0"/>
              <w:rPr>
                <w:sz w:val="1"/>
                <w:szCs w:val="1"/>
                <w:color w:val="auto"/>
              </w:rPr>
            </w:pPr>
          </w:p>
        </w:tc>
      </w:tr>
      <w:tr>
        <w:trPr>
          <w:trHeight w:val="280"/>
        </w:trPr>
        <w:tc>
          <w:tcPr>
            <w:tcW w:w="3560" w:type="dxa"/>
            <w:vAlign w:val="bottom"/>
          </w:tcPr>
          <w:p>
            <w:pPr>
              <w:spacing w:after="0"/>
              <w:rPr>
                <w:sz w:val="24"/>
                <w:szCs w:val="24"/>
                <w:color w:val="auto"/>
              </w:rPr>
            </w:pPr>
          </w:p>
        </w:tc>
        <w:tc>
          <w:tcPr>
            <w:tcW w:w="2780" w:type="dxa"/>
            <w:vAlign w:val="bottom"/>
          </w:tcPr>
          <w:p>
            <w:pPr>
              <w:jc w:val="center"/>
              <w:ind w:left="301"/>
              <w:spacing w:after="0"/>
              <w:rPr>
                <w:sz w:val="20"/>
                <w:szCs w:val="20"/>
                <w:color w:val="auto"/>
              </w:rPr>
            </w:pPr>
            <w:r>
              <w:rPr>
                <w:rFonts w:ascii="Arial" w:cs="Arial" w:eastAsia="Arial" w:hAnsi="Arial"/>
                <w:sz w:val="20"/>
                <w:szCs w:val="20"/>
                <w:b w:val="1"/>
                <w:bCs w:val="1"/>
                <w:color w:val="auto"/>
                <w:w w:val="97"/>
              </w:rPr>
              <w:t>(Years)</w:t>
            </w:r>
          </w:p>
        </w:tc>
        <w:tc>
          <w:tcPr>
            <w:tcW w:w="40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780" w:type="dxa"/>
            <w:vAlign w:val="bottom"/>
            <w:tcBorders>
              <w:top w:val="single" w:sz="8" w:color="CCEEFF"/>
            </w:tcBorders>
            <w:shd w:val="clear" w:color="auto" w:fill="CCEEFF"/>
          </w:tcPr>
          <w:p>
            <w:pPr>
              <w:jc w:val="center"/>
              <w:ind w:left="281"/>
              <w:spacing w:after="0"/>
              <w:rPr>
                <w:sz w:val="20"/>
                <w:szCs w:val="20"/>
                <w:color w:val="auto"/>
              </w:rPr>
            </w:pPr>
            <w:r>
              <w:rPr>
                <w:rFonts w:ascii="Arial" w:cs="Arial" w:eastAsia="Arial" w:hAnsi="Arial"/>
                <w:sz w:val="20"/>
                <w:szCs w:val="20"/>
                <w:color w:val="auto"/>
                <w:w w:val="95"/>
              </w:rPr>
              <w:t>N/A</w:t>
            </w:r>
          </w:p>
        </w:tc>
        <w:tc>
          <w:tcPr>
            <w:tcW w:w="4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1,645</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1,634</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780" w:type="dxa"/>
            <w:vAlign w:val="bottom"/>
          </w:tcPr>
          <w:p>
            <w:pPr>
              <w:jc w:val="center"/>
              <w:ind w:left="301"/>
              <w:spacing w:after="0"/>
              <w:rPr>
                <w:sz w:val="20"/>
                <w:szCs w:val="20"/>
                <w:color w:val="auto"/>
              </w:rPr>
            </w:pPr>
            <w:r>
              <w:rPr>
                <w:rFonts w:ascii="Arial" w:cs="Arial" w:eastAsia="Arial" w:hAnsi="Arial"/>
                <w:sz w:val="20"/>
                <w:szCs w:val="20"/>
                <w:color w:val="auto"/>
                <w:w w:val="97"/>
              </w:rPr>
              <w:t>15-39</w:t>
            </w:r>
          </w:p>
        </w:tc>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9,495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9,344</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rPr>
              <w:t>7</w:t>
            </w:r>
          </w:p>
        </w:tc>
        <w:tc>
          <w:tcPr>
            <w:tcW w:w="4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24,776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22,962</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780" w:type="dxa"/>
            <w:vAlign w:val="bottom"/>
          </w:tcPr>
          <w:p>
            <w:pPr>
              <w:jc w:val="center"/>
              <w:ind w:left="281"/>
              <w:spacing w:after="0"/>
              <w:rPr>
                <w:sz w:val="20"/>
                <w:szCs w:val="20"/>
                <w:color w:val="auto"/>
              </w:rPr>
            </w:pPr>
            <w:r>
              <w:rPr>
                <w:rFonts w:ascii="Arial" w:cs="Arial" w:eastAsia="Arial" w:hAnsi="Arial"/>
                <w:sz w:val="20"/>
                <w:szCs w:val="20"/>
                <w:color w:val="auto"/>
                <w:w w:val="96"/>
              </w:rPr>
              <w:t>5-7</w:t>
            </w:r>
          </w:p>
        </w:tc>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4,851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4,770</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rPr>
              <w:t>5</w:t>
            </w:r>
          </w:p>
        </w:tc>
        <w:tc>
          <w:tcPr>
            <w:tcW w:w="4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618</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Hardware</w:t>
            </w:r>
          </w:p>
        </w:tc>
        <w:tc>
          <w:tcPr>
            <w:tcW w:w="2780" w:type="dxa"/>
            <w:vAlign w:val="bottom"/>
          </w:tcPr>
          <w:p>
            <w:pPr>
              <w:jc w:val="center"/>
              <w:ind w:left="281"/>
              <w:spacing w:after="0"/>
              <w:rPr>
                <w:sz w:val="20"/>
                <w:szCs w:val="20"/>
                <w:color w:val="auto"/>
              </w:rPr>
            </w:pPr>
            <w:r>
              <w:rPr>
                <w:rFonts w:ascii="Arial" w:cs="Arial" w:eastAsia="Arial" w:hAnsi="Arial"/>
                <w:sz w:val="20"/>
                <w:szCs w:val="20"/>
                <w:color w:val="auto"/>
                <w:w w:val="96"/>
              </w:rPr>
              <w:t>3-5</w:t>
            </w:r>
          </w:p>
        </w:tc>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3,291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3,114</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Construction in progress</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w w:val="95"/>
              </w:rPr>
              <w:t>N/A</w:t>
            </w:r>
          </w:p>
        </w:tc>
        <w:tc>
          <w:tcPr>
            <w:tcW w:w="40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3,800</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6,199</w:t>
            </w:r>
          </w:p>
        </w:tc>
        <w:tc>
          <w:tcPr>
            <w:tcW w:w="0" w:type="dxa"/>
            <w:vAlign w:val="bottom"/>
          </w:tcPr>
          <w:p>
            <w:pPr>
              <w:spacing w:after="0"/>
              <w:rPr>
                <w:sz w:val="1"/>
                <w:szCs w:val="1"/>
                <w:color w:val="auto"/>
              </w:rPr>
            </w:pPr>
          </w:p>
        </w:tc>
      </w:tr>
      <w:tr>
        <w:trPr>
          <w:trHeight w:val="262"/>
        </w:trPr>
        <w:tc>
          <w:tcPr>
            <w:tcW w:w="3560" w:type="dxa"/>
            <w:vAlign w:val="bottom"/>
          </w:tcPr>
          <w:p>
            <w:pPr>
              <w:ind w:left="240"/>
              <w:spacing w:after="0"/>
              <w:rPr>
                <w:sz w:val="20"/>
                <w:szCs w:val="20"/>
                <w:color w:val="auto"/>
              </w:rPr>
            </w:pPr>
            <w:r>
              <w:rPr>
                <w:rFonts w:ascii="Arial" w:cs="Arial" w:eastAsia="Arial" w:hAnsi="Arial"/>
                <w:sz w:val="20"/>
                <w:szCs w:val="20"/>
                <w:color w:val="auto"/>
              </w:rPr>
              <w:t>Total</w:t>
            </w:r>
          </w:p>
        </w:tc>
        <w:tc>
          <w:tcPr>
            <w:tcW w:w="2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48,476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48,711</w:t>
            </w:r>
          </w:p>
        </w:tc>
        <w:tc>
          <w:tcPr>
            <w:tcW w:w="0" w:type="dxa"/>
            <w:vAlign w:val="bottom"/>
          </w:tcPr>
          <w:p>
            <w:pPr>
              <w:spacing w:after="0"/>
              <w:rPr>
                <w:sz w:val="1"/>
                <w:szCs w:val="1"/>
                <w:color w:val="auto"/>
              </w:rPr>
            </w:pPr>
          </w:p>
        </w:tc>
      </w:tr>
      <w:tr>
        <w:trPr>
          <w:trHeight w:val="285"/>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7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(21,787)</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(20,818)</w:t>
            </w:r>
          </w:p>
        </w:tc>
        <w:tc>
          <w:tcPr>
            <w:tcW w:w="0" w:type="dxa"/>
            <w:vAlign w:val="bottom"/>
          </w:tcPr>
          <w:p>
            <w:pPr>
              <w:spacing w:after="0"/>
              <w:rPr>
                <w:sz w:val="1"/>
                <w:szCs w:val="1"/>
                <w:color w:val="auto"/>
              </w:rPr>
            </w:pPr>
          </w:p>
        </w:tc>
      </w:tr>
      <w:tr>
        <w:trPr>
          <w:trHeight w:val="270"/>
        </w:trPr>
        <w:tc>
          <w:tcPr>
            <w:tcW w:w="356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780" w:type="dxa"/>
            <w:vAlign w:val="bottom"/>
          </w:tcPr>
          <w:p>
            <w:pPr>
              <w:spacing w:after="0"/>
              <w:rPr>
                <w:sz w:val="23"/>
                <w:szCs w:val="23"/>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26,689</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27,893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Depreciation expense was $0.9 million and $0.6 million for the three months ended March 31, 2024 and 2023, respectively, of which $0.5 million and $0.3 million, respectively, was included in cost of revenue and $0.4 million and $0.3 million, respectively, was included in depreciation and amortization on the accompanying condensed consolidated statements of operations.</w:t>
      </w:r>
    </w:p>
    <w:p>
      <w:pPr>
        <w:spacing w:after="0" w:line="19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Changes in the carrying amount of goodwill by operating segment during the three months ended March 31, 2024, consisted of the following (in thousands):</w:t>
      </w: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400"/>
              <w:spacing w:after="0" w:line="217" w:lineRule="exact"/>
              <w:rPr>
                <w:sz w:val="20"/>
                <w:szCs w:val="20"/>
                <w:color w:val="auto"/>
              </w:rPr>
            </w:pPr>
            <w:r>
              <w:rPr>
                <w:rFonts w:ascii="Arial" w:cs="Arial" w:eastAsia="Arial" w:hAnsi="Arial"/>
                <w:sz w:val="20"/>
                <w:szCs w:val="20"/>
                <w:b w:val="1"/>
                <w:bCs w:val="1"/>
                <w:color w:val="auto"/>
                <w:w w:val="99"/>
              </w:rPr>
              <w:t>Array Legacy</w:t>
            </w: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0"/>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jc w:val="center"/>
              <w:ind w:right="420"/>
              <w:spacing w:after="0" w:line="280" w:lineRule="exact"/>
              <w:rPr>
                <w:sz w:val="20"/>
                <w:szCs w:val="20"/>
                <w:color w:val="auto"/>
              </w:rPr>
            </w:pPr>
            <w:r>
              <w:rPr>
                <w:rFonts w:ascii="Arial" w:cs="Arial" w:eastAsia="Arial" w:hAnsi="Arial"/>
                <w:sz w:val="20"/>
                <w:szCs w:val="20"/>
                <w:b w:val="1"/>
                <w:bCs w:val="1"/>
                <w:color w:val="auto"/>
                <w:w w:val="95"/>
              </w:rPr>
              <w:t>Operations</w:t>
            </w:r>
            <w:r>
              <w:rPr>
                <w:rFonts w:ascii="Arial" w:cs="Arial" w:eastAsia="Arial" w:hAnsi="Arial"/>
                <w:sz w:val="25"/>
                <w:szCs w:val="25"/>
                <w:b w:val="1"/>
                <w:bCs w:val="1"/>
                <w:color w:val="auto"/>
                <w:w w:val="95"/>
                <w:vertAlign w:val="superscript"/>
              </w:rPr>
              <w:t>(1)</w:t>
            </w: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STI Operations</w:t>
            </w:r>
          </w:p>
        </w:tc>
        <w:tc>
          <w:tcPr>
            <w:tcW w:w="520" w:type="dxa"/>
            <w:vAlign w:val="bottom"/>
          </w:tcPr>
          <w:p>
            <w:pPr>
              <w:spacing w:after="0"/>
              <w:rPr>
                <w:sz w:val="24"/>
                <w:szCs w:val="24"/>
                <w:color w:val="auto"/>
              </w:rPr>
            </w:pPr>
          </w:p>
        </w:tc>
        <w:tc>
          <w:tcPr>
            <w:tcW w:w="1780" w:type="dxa"/>
            <w:vAlign w:val="bottom"/>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6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365,864</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435,591</w:t>
            </w:r>
          </w:p>
        </w:tc>
      </w:tr>
      <w:tr>
        <w:trPr>
          <w:trHeight w:val="268"/>
        </w:trPr>
        <w:tc>
          <w:tcPr>
            <w:tcW w:w="4160" w:type="dxa"/>
            <w:vAlign w:val="bottom"/>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tcPr>
          <w:p>
            <w:pPr>
              <w:spacing w:after="0"/>
              <w:rPr>
                <w:sz w:val="23"/>
                <w:szCs w:val="23"/>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(10,177)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(10,177)</w:t>
            </w:r>
          </w:p>
        </w:tc>
      </w:tr>
      <w:tr>
        <w:trPr>
          <w:trHeight w:val="28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3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355,687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425,414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25"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impairment of $51.9 million.</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Each quarter the Company evaluates if facts and circumstances indicate that it is more-likely-than-not that the fair value of its reporting units is less than their carrying value, which would require the Company to perform an interim goodwill impairment test. During our most recent evaluation, we concluded there were no indicators of impairment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520" w:type="dxa"/>
            <w:vAlign w:val="bottom"/>
          </w:tcPr>
          <w:p>
            <w:pPr>
              <w:spacing w:after="0"/>
              <w:rPr>
                <w:sz w:val="20"/>
                <w:szCs w:val="20"/>
                <w:color w:val="auto"/>
              </w:rPr>
            </w:pPr>
            <w:r>
              <w:rPr>
                <w:rFonts w:ascii="Arial" w:cs="Arial" w:eastAsia="Arial" w:hAnsi="Arial"/>
                <w:sz w:val="20"/>
                <w:szCs w:val="20"/>
                <w:b w:val="1"/>
                <w:bCs w:val="1"/>
                <w:color w:val="auto"/>
              </w:rPr>
              <w:t>Other Intangible Assets, Net</w:t>
            </w: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920" w:type="dxa"/>
            <w:vAlign w:val="bottom"/>
          </w:tcPr>
          <w:p>
            <w:pPr>
              <w:jc w:val="center"/>
              <w:ind w:left="381"/>
              <w:spacing w:after="0" w:line="223" w:lineRule="exact"/>
              <w:rPr>
                <w:sz w:val="20"/>
                <w:szCs w:val="20"/>
                <w:color w:val="auto"/>
              </w:rPr>
            </w:pPr>
            <w:r>
              <w:rPr>
                <w:rFonts w:ascii="Arial" w:cs="Arial" w:eastAsia="Arial" w:hAnsi="Arial"/>
                <w:sz w:val="20"/>
                <w:szCs w:val="20"/>
                <w:b w:val="1"/>
                <w:bCs w:val="1"/>
                <w:color w:val="auto"/>
                <w:w w:val="98"/>
              </w:rPr>
              <w:t>Estimated Useful Lives</w:t>
            </w:r>
          </w:p>
        </w:tc>
        <w:tc>
          <w:tcPr>
            <w:tcW w:w="340" w:type="dxa"/>
            <w:vAlign w:val="bottom"/>
          </w:tcPr>
          <w:p>
            <w:pPr>
              <w:spacing w:after="0"/>
              <w:rPr>
                <w:sz w:val="19"/>
                <w:szCs w:val="19"/>
                <w:color w:val="auto"/>
              </w:rPr>
            </w:pPr>
          </w:p>
        </w:tc>
        <w:tc>
          <w:tcPr>
            <w:tcW w:w="210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March 31, 2024</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2023</w:t>
            </w:r>
          </w:p>
        </w:tc>
        <w:tc>
          <w:tcPr>
            <w:tcW w:w="0" w:type="dxa"/>
            <w:vAlign w:val="bottom"/>
          </w:tcPr>
          <w:p>
            <w:pPr>
              <w:spacing w:after="0"/>
              <w:rPr>
                <w:sz w:val="1"/>
                <w:szCs w:val="1"/>
                <w:color w:val="auto"/>
              </w:rPr>
            </w:pPr>
          </w:p>
        </w:tc>
      </w:tr>
      <w:tr>
        <w:trPr>
          <w:trHeight w:val="280"/>
        </w:trPr>
        <w:tc>
          <w:tcPr>
            <w:tcW w:w="3520" w:type="dxa"/>
            <w:vAlign w:val="bottom"/>
          </w:tcPr>
          <w:p>
            <w:pPr>
              <w:spacing w:after="0"/>
              <w:rPr>
                <w:sz w:val="24"/>
                <w:szCs w:val="24"/>
                <w:color w:val="auto"/>
              </w:rPr>
            </w:pPr>
          </w:p>
        </w:tc>
        <w:tc>
          <w:tcPr>
            <w:tcW w:w="2920" w:type="dxa"/>
            <w:vAlign w:val="bottom"/>
          </w:tcPr>
          <w:p>
            <w:pPr>
              <w:jc w:val="center"/>
              <w:ind w:left="401"/>
              <w:spacing w:after="0"/>
              <w:rPr>
                <w:sz w:val="20"/>
                <w:szCs w:val="20"/>
                <w:color w:val="auto"/>
              </w:rPr>
            </w:pPr>
            <w:r>
              <w:rPr>
                <w:rFonts w:ascii="Arial" w:cs="Arial" w:eastAsia="Arial" w:hAnsi="Arial"/>
                <w:sz w:val="20"/>
                <w:szCs w:val="20"/>
                <w:b w:val="1"/>
                <w:bCs w:val="1"/>
                <w:color w:val="auto"/>
                <w:w w:val="97"/>
              </w:rPr>
              <w:t>(Years)</w:t>
            </w:r>
          </w:p>
        </w:tc>
        <w:tc>
          <w:tcPr>
            <w:tcW w:w="34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9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20" w:type="dxa"/>
            <w:vAlign w:val="bottom"/>
          </w:tcPr>
          <w:p>
            <w:pPr>
              <w:jc w:val="center"/>
              <w:ind w:left="401"/>
              <w:spacing w:after="0"/>
              <w:rPr>
                <w:sz w:val="20"/>
                <w:szCs w:val="20"/>
                <w:color w:val="auto"/>
              </w:rPr>
            </w:pPr>
            <w:r>
              <w:rPr>
                <w:rFonts w:ascii="Arial" w:cs="Arial" w:eastAsia="Arial" w:hAnsi="Arial"/>
                <w:sz w:val="20"/>
                <w:szCs w:val="20"/>
                <w:color w:val="auto"/>
                <w:w w:val="98"/>
              </w:rPr>
              <w:t>14</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Computer software</w:t>
            </w:r>
          </w:p>
        </w:tc>
        <w:tc>
          <w:tcPr>
            <w:tcW w:w="292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89"/>
              </w:rPr>
              <w:t>3</w:t>
            </w: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8,733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5,267</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2920" w:type="dxa"/>
            <w:vAlign w:val="bottom"/>
          </w:tcPr>
          <w:p>
            <w:pPr>
              <w:jc w:val="center"/>
              <w:ind w:left="401"/>
              <w:spacing w:after="0"/>
              <w:rPr>
                <w:sz w:val="20"/>
                <w:szCs w:val="20"/>
                <w:color w:val="auto"/>
              </w:rPr>
            </w:pPr>
            <w:r>
              <w:rPr>
                <w:rFonts w:ascii="Arial" w:cs="Arial" w:eastAsia="Arial" w:hAnsi="Arial"/>
                <w:sz w:val="20"/>
                <w:szCs w:val="20"/>
                <w:color w:val="auto"/>
                <w:w w:val="98"/>
              </w:rPr>
              <w:t>10</w:t>
            </w: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329,263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336,134</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Backlog</w:t>
            </w:r>
          </w:p>
        </w:tc>
        <w:tc>
          <w:tcPr>
            <w:tcW w:w="292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89"/>
              </w:rPr>
              <w:t>1</w:t>
            </w: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52,891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54,438</w:t>
            </w: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Trade name</w:t>
            </w:r>
          </w:p>
        </w:tc>
        <w:tc>
          <w:tcPr>
            <w:tcW w:w="2920" w:type="dxa"/>
            <w:vAlign w:val="bottom"/>
            <w:tcBorders>
              <w:bottom w:val="single" w:sz="8" w:color="CCEEFF"/>
            </w:tcBorders>
          </w:tcPr>
          <w:p>
            <w:pPr>
              <w:jc w:val="center"/>
              <w:ind w:left="401"/>
              <w:spacing w:after="0"/>
              <w:rPr>
                <w:sz w:val="20"/>
                <w:szCs w:val="20"/>
                <w:color w:val="auto"/>
              </w:rPr>
            </w:pPr>
            <w:r>
              <w:rPr>
                <w:rFonts w:ascii="Arial" w:cs="Arial" w:eastAsia="Arial" w:hAnsi="Arial"/>
                <w:sz w:val="20"/>
                <w:szCs w:val="20"/>
                <w:color w:val="auto"/>
                <w:w w:val="98"/>
              </w:rPr>
              <w:t>20</w:t>
            </w: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26,352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27,061</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w:t>
            </w:r>
          </w:p>
        </w:tc>
        <w:tc>
          <w:tcPr>
            <w:tcW w:w="29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621,039</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626,700</w:t>
            </w:r>
          </w:p>
        </w:tc>
        <w:tc>
          <w:tcPr>
            <w:tcW w:w="0" w:type="dxa"/>
            <w:vAlign w:val="bottom"/>
          </w:tcPr>
          <w:p>
            <w:pPr>
              <w:spacing w:after="0"/>
              <w:rPr>
                <w:sz w:val="1"/>
                <w:szCs w:val="1"/>
                <w:color w:val="auto"/>
              </w:rPr>
            </w:pPr>
          </w:p>
        </w:tc>
      </w:tr>
      <w:tr>
        <w:trPr>
          <w:trHeight w:val="255"/>
        </w:trPr>
        <w:tc>
          <w:tcPr>
            <w:tcW w:w="3520" w:type="dxa"/>
            <w:vAlign w:val="bottom"/>
          </w:tcPr>
          <w:p>
            <w:pPr>
              <w:ind w:left="20"/>
              <w:spacing w:after="0"/>
              <w:rPr>
                <w:sz w:val="20"/>
                <w:szCs w:val="20"/>
                <w:color w:val="auto"/>
              </w:rPr>
            </w:pPr>
            <w:r>
              <w:rPr>
                <w:rFonts w:ascii="Arial" w:cs="Arial" w:eastAsia="Arial" w:hAnsi="Arial"/>
                <w:sz w:val="20"/>
                <w:szCs w:val="20"/>
                <w:color w:val="auto"/>
              </w:rPr>
              <w:t>Accumulated amortization:</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112,544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108,905</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Computer software</w:t>
            </w: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1,657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1,274</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122,144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115,444</w:t>
            </w:r>
          </w:p>
        </w:tc>
        <w:tc>
          <w:tcPr>
            <w:tcW w:w="0" w:type="dxa"/>
            <w:vAlign w:val="bottom"/>
          </w:tcPr>
          <w:p>
            <w:pPr>
              <w:spacing w:after="0"/>
              <w:rPr>
                <w:sz w:val="1"/>
                <w:szCs w:val="1"/>
                <w:color w:val="auto"/>
              </w:rPr>
            </w:pPr>
          </w:p>
        </w:tc>
      </w:tr>
      <w:tr>
        <w:trPr>
          <w:trHeight w:val="282"/>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52,891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54,322</w:t>
            </w: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2,926</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2,666</w:t>
            </w:r>
          </w:p>
        </w:tc>
        <w:tc>
          <w:tcPr>
            <w:tcW w:w="0" w:type="dxa"/>
            <w:vAlign w:val="bottom"/>
          </w:tcPr>
          <w:p>
            <w:pPr>
              <w:spacing w:after="0"/>
              <w:rPr>
                <w:sz w:val="1"/>
                <w:szCs w:val="1"/>
                <w:color w:val="auto"/>
              </w:rPr>
            </w:pPr>
          </w:p>
        </w:tc>
      </w:tr>
      <w:tr>
        <w:trPr>
          <w:trHeight w:val="271"/>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accumulated amortization</w:t>
            </w:r>
          </w:p>
        </w:tc>
        <w:tc>
          <w:tcPr>
            <w:tcW w:w="29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292,162</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282,611</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328,877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344,089</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9"/>
        </w:trPr>
        <w:tc>
          <w:tcPr>
            <w:tcW w:w="352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920" w:type="dxa"/>
            <w:vAlign w:val="bottom"/>
          </w:tcPr>
          <w:p>
            <w:pPr>
              <w:spacing w:after="0"/>
              <w:rPr>
                <w:sz w:val="23"/>
                <w:szCs w:val="23"/>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339,177</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354,389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$12.9 million and $13.9 million for the three months ended March 31, 2024 and 2023, respectively, of which $3.6 million was included in amortization of developed technology, a component of cost of revenue, in both periods and $9.3 million and $10.3 million, respectively, was included in depreciation and amortization, on the accompanying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March 31, 2024, is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8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0"/>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2024</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38,748</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2025</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51,664</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46,409</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2027</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39,797</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2028</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39,797</w:t>
            </w:r>
          </w:p>
        </w:tc>
      </w:tr>
      <w:tr>
        <w:trPr>
          <w:trHeight w:val="282"/>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112,462</w:t>
            </w:r>
          </w:p>
        </w:tc>
      </w:tr>
      <w:tr>
        <w:trPr>
          <w:trHeight w:val="297"/>
        </w:trPr>
        <w:tc>
          <w:tcPr>
            <w:tcW w:w="8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328,877</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Long-lived assets, including both amortizable and non-amortizable intangible assets, are reviewed for impairment whenever events or changes in circumstances indicate the carrying amount of an asset group may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1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not be recoverable. As of March 31, 2024, no events or circumstances were noted that would indicate the carrying amount of any of our asset groups may not be recoverable.</w:t>
      </w:r>
    </w:p>
    <w:p>
      <w:pPr>
        <w:spacing w:after="0" w:line="192"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recorded income tax expense of $1.3 million and $8.3 million for the three months ended March 31, 2024 and 2023, respectively. The income tax expense for the three months ended March 31, 2024, was impacted by legislation in Brazil which resulted in a local tax incentive no longer being exempt from Federal income tax beginning in 2024. Additionally, tax expense of $0.4 million was recorded discretely during the quarter related to equity-based compensation. The tax expense for the three months ended March 31, 2023, was unfavorably impacted by higher income reported in non-U.S. jurisdictions, offset by a tax benefit of $0.4 million related to excess equity-based compensation recorded discretely during the quarter.</w:t>
      </w:r>
    </w:p>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For the three months ended March 31, 2024 and 2023, no reserves for uncertain tax positions have been recorded. The Company will continue to monitor this position each interim period.</w:t>
      </w:r>
    </w:p>
    <w:p>
      <w:pPr>
        <w:spacing w:after="0" w:line="16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total debt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March 31, 2024</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2023</w:t>
            </w:r>
          </w:p>
        </w:tc>
      </w:tr>
      <w:tr>
        <w:trPr>
          <w:trHeight w:val="26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Senior Secured Credit Facility:</w:t>
            </w:r>
          </w:p>
        </w:tc>
        <w:tc>
          <w:tcPr>
            <w:tcW w:w="2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75"/>
        </w:trPr>
        <w:tc>
          <w:tcPr>
            <w:tcW w:w="654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40" w:type="dxa"/>
            <w:vAlign w:val="bottom"/>
          </w:tcPr>
          <w:p>
            <w:pPr>
              <w:jc w:val="right"/>
              <w:ind w:right="1"/>
              <w:spacing w:after="0"/>
              <w:rPr>
                <w:sz w:val="20"/>
                <w:szCs w:val="20"/>
                <w:color w:val="auto"/>
              </w:rPr>
            </w:pPr>
            <w:r>
              <w:rPr>
                <w:rFonts w:ascii="Arial" w:cs="Arial" w:eastAsia="Arial" w:hAnsi="Arial"/>
                <w:sz w:val="20"/>
                <w:szCs w:val="20"/>
                <w:color w:val="auto"/>
              </w:rPr>
              <w:t>237,100</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238,175</w:t>
            </w:r>
          </w:p>
        </w:tc>
      </w:tr>
      <w:tr>
        <w:trPr>
          <w:trHeight w:val="292"/>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28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54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secured credit facility</w:t>
            </w:r>
          </w:p>
        </w:tc>
        <w:tc>
          <w:tcPr>
            <w:tcW w:w="28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237,100</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238,175</w:t>
            </w:r>
          </w:p>
        </w:tc>
      </w:tr>
      <w:tr>
        <w:trPr>
          <w:trHeight w:val="257"/>
        </w:trPr>
        <w:tc>
          <w:tcPr>
            <w:tcW w:w="6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Convertible notes</w:t>
            </w:r>
          </w:p>
        </w:tc>
        <w:tc>
          <w:tcPr>
            <w:tcW w:w="280" w:type="dxa"/>
            <w:vAlign w:val="bottom"/>
          </w:tcPr>
          <w:p>
            <w:pPr>
              <w:spacing w:after="0"/>
              <w:rPr>
                <w:sz w:val="23"/>
                <w:szCs w:val="23"/>
                <w:color w:val="auto"/>
              </w:rPr>
            </w:pPr>
          </w:p>
        </w:tc>
        <w:tc>
          <w:tcPr>
            <w:tcW w:w="2040" w:type="dxa"/>
            <w:vAlign w:val="bottom"/>
          </w:tcPr>
          <w:p>
            <w:pPr>
              <w:jc w:val="right"/>
              <w:ind w:right="1"/>
              <w:spacing w:after="0"/>
              <w:rPr>
                <w:sz w:val="20"/>
                <w:szCs w:val="20"/>
                <w:color w:val="auto"/>
              </w:rPr>
            </w:pPr>
            <w:r>
              <w:rPr>
                <w:rFonts w:ascii="Arial" w:cs="Arial" w:eastAsia="Arial" w:hAnsi="Arial"/>
                <w:sz w:val="20"/>
                <w:szCs w:val="20"/>
                <w:color w:val="auto"/>
              </w:rPr>
              <w:t>425,000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debt</w:t>
            </w:r>
          </w:p>
        </w:tc>
        <w:tc>
          <w:tcPr>
            <w:tcW w:w="28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37,403</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39,889</w:t>
            </w:r>
          </w:p>
        </w:tc>
      </w:tr>
      <w:tr>
        <w:trPr>
          <w:trHeight w:val="269"/>
        </w:trPr>
        <w:tc>
          <w:tcPr>
            <w:tcW w:w="6540" w:type="dxa"/>
            <w:vAlign w:val="bottom"/>
          </w:tcPr>
          <w:p>
            <w:pPr>
              <w:ind w:left="20"/>
              <w:spacing w:after="0"/>
              <w:rPr>
                <w:sz w:val="20"/>
                <w:szCs w:val="20"/>
                <w:color w:val="auto"/>
              </w:rPr>
            </w:pPr>
            <w:r>
              <w:rPr>
                <w:rFonts w:ascii="Arial" w:cs="Arial" w:eastAsia="Arial" w:hAnsi="Arial"/>
                <w:sz w:val="20"/>
                <w:szCs w:val="20"/>
                <w:color w:val="auto"/>
              </w:rPr>
              <w:t>Total principal</w:t>
            </w:r>
          </w:p>
        </w:tc>
        <w:tc>
          <w:tcPr>
            <w:tcW w:w="280" w:type="dxa"/>
            <w:vAlign w:val="bottom"/>
          </w:tcPr>
          <w:p>
            <w:pPr>
              <w:spacing w:after="0"/>
              <w:rPr>
                <w:sz w:val="23"/>
                <w:szCs w:val="23"/>
                <w:color w:val="auto"/>
              </w:rPr>
            </w:pPr>
          </w:p>
        </w:tc>
        <w:tc>
          <w:tcPr>
            <w:tcW w:w="2040" w:type="dxa"/>
            <w:vAlign w:val="bottom"/>
          </w:tcPr>
          <w:p>
            <w:pPr>
              <w:jc w:val="right"/>
              <w:ind w:right="1"/>
              <w:spacing w:after="0"/>
              <w:rPr>
                <w:sz w:val="20"/>
                <w:szCs w:val="20"/>
                <w:color w:val="auto"/>
              </w:rPr>
            </w:pPr>
            <w:r>
              <w:rPr>
                <w:rFonts w:ascii="Arial" w:cs="Arial" w:eastAsia="Arial" w:hAnsi="Arial"/>
                <w:sz w:val="20"/>
                <w:szCs w:val="20"/>
                <w:color w:val="auto"/>
              </w:rPr>
              <w:t>699,503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703,064</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28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(19,299)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(20,644)</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Current portion of debt</w:t>
            </w: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(22,496)</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(21,472)</w:t>
            </w:r>
          </w:p>
        </w:tc>
      </w:tr>
      <w:tr>
        <w:trPr>
          <w:trHeight w:val="29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657,708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660,948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Credit Agreement was amended on February 23, 2021 (the “First Amendment”), on February 26, 2021 (the “Second Amendment”) and again on March 2, 2023 (the “Third Amendment”).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had no outstanding balance under the Revolving Credit Facility as of both March 31, 2024 and December 31, 2023, $21.0 million and $24.8 million, respectively, in standby letters of credit, and $179.0 million and $175.2 million, respectively, available to withdraw. In accordance with the Third Amendment, the Revolving Credit Facility pays interest at the Company’s election, at either (x) for SOFR Loans at Adjusted Term SOFR (as defined in the Credit Agreement) plus 3.25% or</w:t>
      </w:r>
    </w:p>
    <w:p>
      <w:pPr>
        <w:spacing w:after="0" w:line="3" w:lineRule="exact"/>
        <w:rPr>
          <w:sz w:val="20"/>
          <w:szCs w:val="20"/>
          <w:color w:val="auto"/>
        </w:rPr>
      </w:pPr>
    </w:p>
    <w:p>
      <w:pPr>
        <w:ind w:right="20" w:firstLine="8"/>
        <w:spacing w:after="0" w:line="281" w:lineRule="auto"/>
        <w:tabs>
          <w:tab w:leader="none" w:pos="291"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 Base Rate Loans at the higher of the Prime Rate, one half of 1.00% above the Federal Funds Rate or the Adjusted Term SOFR for one-month interest period, after giving effect to any floor plus 1.00%, plus 2.25%.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outstanding balance on the Term Loan Facility was $237.1 million and $238.2 million as of March 31, 2024 and December 31, 2023, respectively. The Term Loan Facility is presented in the accompanying condensed consolidated balance sheets, net of debt discount and issuance costs of $10.4 million and $11.3 million as of March 31, 2024 and December 31, 2023, respectively. In accordance with the Third Amendment, the Term Loan Facility pays interest at the Company’s election, at either (x) for SOFR Loans at Adjusted Term SOFR (subject to a floor of 0.50%) plus 3.25% or (y) for Base Rate Loans at the higher of the Prime Rate, one half of 1.00% above the Federal Funds Rate or the Adjusted Term SOFR for one-month interest period, after giving effect to any floor plus 1.00%, plus 2.25%. The debt discount and issuance costs are being amortized using the effective interest method and the effective interest rate of the Term Loan Facility as of March 31, 2024, was 10.21%. The Term Loan Facility has an annual excess cash flow calculation, for which the prescribed formula did not result in requiring the Company to make an advance principal payment for the year ended December 31, 2023.</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December 3, 2021 and December 9, 2021, the Company completed a $425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March 31, 2024 and December 31, 2023, the principal balance of the Convertible Notes was $425.0 million with unamortized discount and issuance costs of $8.9 million and $9.4 million, respectively, for a net carrying amount of $416.1 million and $415.6 million, respectively.</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conversion rate for the Convertible Notes was initially 41.9054 shares of the Company’s common stock per $1,000 principal amount of Convertible Notes, which was equivalent to an initial conversion price of approximately $23.86 per share of common stock or 10.1 million shares of common stock. The Convertible Notes were not convertible during the three months ended March 31, 2024, and none have been converted to date. Also, given that the average market price of the Company’s common stock has not exceeded the exercise price since inception, there was no dilutive impact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and remains currently, $36.02 per share.</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See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for information regarding the accounting for the Capped Calls.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Other debt consists of the debt obligations of STI (“Other Debt”). Interest rates on other debt range from 0.55% to 16.35% annually. Of the $37.4 million Other Debt balance, the equivalent of $27.4 million is denominated in Euros and $10.0 million is denominated in Brazilian Real.</w:t>
      </w:r>
    </w:p>
    <w:p>
      <w:pPr>
        <w:spacing w:after="0" w:line="19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entered into a Securities Purchase Agreement (the “SPA”) with certain investors (the “Purchasers”) pursuant to which, on August 11, 2021, the Company issued 350,000 shares of its newly designated Series A Redeemable Perpetual Preferred Stock (the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$776 (the “Prepaid Forward Contract”). The Company used the net proceeds from the initial Closing to repay the $102.0 million outstanding balance under its existing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Revolving Credit Facility and prepay $100.0 million of the Company’s Term Loan Facility. The Series A Shares have no maturity date.</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Put Option included in the SPA required the Purchasers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“Delayed Draw Commitment” or the “Put Option”). The Put Option expired effective June 30, 2023.</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January 7, 2022, pursuant to the Put Option, the Company issued and sold to the Purchasers 50,000 shares of Series A Shares and 1,125,000 shares of the Company’s common stock in an additional closing for an aggregate purchase price of $49.4 million (the “Additional Closing”).</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has classified the Series A Shares as temporary equity and is accreting the carrying amount to its full redemption amount from the date of issuance to the earliest redemption date using the effective interest method. Such accretion totaled $6.7 million and $6.1 million for the three months ended March 31, 2024 and 2023,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three months ended March 31, 2024, the Company accrued dividends on the Series A Shares at the Accrued Regular Dividend rate of 6.25% totaling $6.8 million. As of March 31, 2024, total accrued and unpaid dividends were $39.6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During the three months ended June 30, 2023, the Company paid the Purchasers a per annum cash commitment fee totaling $1.5 million on the unpurchased portion of the Put Option. The Put Option expired effective June 30, 2023.</w:t>
      </w:r>
    </w:p>
    <w:p>
      <w:pPr>
        <w:spacing w:after="0" w:line="166"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jc w:val="both"/>
        <w:ind w:right="20"/>
        <w:spacing w:after="0" w:line="273"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8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r>
      <w:tr>
        <w:trPr>
          <w:trHeight w:val="263"/>
        </w:trPr>
        <w:tc>
          <w:tcPr>
            <w:tcW w:w="65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2023</w:t>
            </w:r>
          </w:p>
        </w:tc>
        <w:tc>
          <w:tcPr>
            <w:tcW w:w="840" w:type="dxa"/>
            <w:vAlign w:val="bottom"/>
            <w:tcBorders>
              <w:bottom w:val="single" w:sz="8" w:color="auto"/>
            </w:tcBorders>
          </w:tcPr>
          <w:p>
            <w:pPr>
              <w:spacing w:after="0"/>
              <w:rPr>
                <w:sz w:val="22"/>
                <w:szCs w:val="22"/>
                <w:color w:val="auto"/>
              </w:rPr>
            </w:pPr>
          </w:p>
        </w:tc>
      </w:tr>
      <w:tr>
        <w:trPr>
          <w:trHeight w:val="27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144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124,336</w:t>
            </w:r>
          </w:p>
        </w:tc>
        <w:tc>
          <w:tcPr>
            <w:tcW w:w="154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248,219</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1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29,067</w:t>
            </w:r>
          </w:p>
        </w:tc>
        <w:tc>
          <w:tcPr>
            <w:tcW w:w="8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128,554</w:t>
            </w:r>
          </w:p>
        </w:tc>
      </w:tr>
      <w:tr>
        <w:trPr>
          <w:trHeight w:val="29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144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153,403</w:t>
            </w:r>
          </w:p>
        </w:tc>
        <w:tc>
          <w:tcPr>
            <w:tcW w:w="154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376,773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and the corresponding amounts recorded in revenue relate to fluctuations in the timing and volume of billings.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assets consisting of unbilled receivables are recorded within accounts receivable, net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2024</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2023</w:t>
            </w:r>
          </w:p>
        </w:tc>
      </w:tr>
      <w:tr>
        <w:trPr>
          <w:trHeight w:val="27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112,479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102,603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relate to advanced orders and payments received by the Company.</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2024</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2023</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86,558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66,488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During the three months ended March 31, 2024, the Company converted $22.8 million in deferred revenue to revenue, which represented 34.3% of the prior year’s deferred revenue balance.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 During the three months ended March 31, 2024 and 2023, the Company recognized $ 1.9 million and $17.6 million, respectively, in revenue from one customer for the sale of goods and services under bill-and-hold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March 31, 2024, the Company had $396.9 million of remaining performance obligations. The Company expects to recognize revenue on 100% of these performance obligations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following table sets forth the computation of basic and diluted (loss)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86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2023</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2,165</w:t>
            </w:r>
          </w:p>
        </w:tc>
        <w:tc>
          <w:tcPr>
            <w:tcW w:w="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29,635</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preferred dividends and accretion</w:t>
            </w:r>
          </w:p>
        </w:tc>
        <w:tc>
          <w:tcPr>
            <w:tcW w:w="1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13,502</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12,484</w:t>
            </w: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income to common shareholders</w:t>
            </w:r>
          </w:p>
        </w:tc>
        <w:tc>
          <w:tcPr>
            <w:tcW w:w="144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(11,337)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17,151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151,351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150,607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40" w:type="dxa"/>
            <w:vAlign w:val="bottom"/>
          </w:tcPr>
          <w:p>
            <w:pPr>
              <w:ind w:left="240"/>
              <w:spacing w:after="0"/>
              <w:rPr>
                <w:sz w:val="20"/>
                <w:szCs w:val="20"/>
                <w:color w:val="auto"/>
              </w:rPr>
            </w:pPr>
            <w:r>
              <w:rPr>
                <w:rFonts w:ascii="Arial" w:cs="Arial" w:eastAsia="Arial" w:hAnsi="Arial"/>
                <w:sz w:val="20"/>
                <w:szCs w:val="20"/>
                <w:color w:val="auto"/>
              </w:rPr>
              <w:t>(Loss) income per share</w:t>
            </w:r>
          </w:p>
        </w:tc>
        <w:tc>
          <w:tcPr>
            <w:tcW w:w="1440" w:type="dxa"/>
            <w:vAlign w:val="bottom"/>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1460" w:type="dxa"/>
            <w:vAlign w:val="bottom"/>
            <w:gridSpan w:val="2"/>
          </w:tcPr>
          <w:p>
            <w:pPr>
              <w:jc w:val="right"/>
              <w:ind w:right="1261"/>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1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40" w:type="dxa"/>
            <w:vAlign w:val="bottom"/>
          </w:tcPr>
          <w:p>
            <w:pPr>
              <w:ind w:left="240"/>
              <w:spacing w:after="0"/>
              <w:rPr>
                <w:sz w:val="20"/>
                <w:szCs w:val="20"/>
                <w:color w:val="auto"/>
              </w:rPr>
            </w:pPr>
            <w:r>
              <w:rPr>
                <w:rFonts w:ascii="Arial" w:cs="Arial" w:eastAsia="Arial" w:hAnsi="Arial"/>
                <w:sz w:val="20"/>
                <w:szCs w:val="20"/>
                <w:color w:val="auto"/>
              </w:rPr>
              <w:t>Effect of restricted stock and performance awards</w:t>
            </w:r>
          </w:p>
        </w:tc>
        <w:tc>
          <w:tcPr>
            <w:tcW w:w="14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1,188</w:t>
            </w:r>
          </w:p>
        </w:tc>
        <w:tc>
          <w:tcPr>
            <w:tcW w:w="0" w:type="dxa"/>
            <w:vAlign w:val="bottom"/>
          </w:tcPr>
          <w:p>
            <w:pPr>
              <w:spacing w:after="0"/>
              <w:rPr>
                <w:sz w:val="1"/>
                <w:szCs w:val="1"/>
                <w:color w:val="auto"/>
              </w:rPr>
            </w:pPr>
          </w:p>
        </w:tc>
      </w:tr>
      <w:tr>
        <w:trPr>
          <w:trHeight w:val="283"/>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151,351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151,795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40" w:type="dxa"/>
            <w:vAlign w:val="bottom"/>
          </w:tcPr>
          <w:p>
            <w:pPr>
              <w:ind w:left="240"/>
              <w:spacing w:after="0"/>
              <w:rPr>
                <w:sz w:val="20"/>
                <w:szCs w:val="20"/>
                <w:color w:val="auto"/>
              </w:rPr>
            </w:pPr>
            <w:r>
              <w:rPr>
                <w:rFonts w:ascii="Arial" w:cs="Arial" w:eastAsia="Arial" w:hAnsi="Arial"/>
                <w:sz w:val="20"/>
                <w:szCs w:val="20"/>
                <w:color w:val="auto"/>
              </w:rPr>
              <w:t>(Loss) income per share</w:t>
            </w:r>
          </w:p>
        </w:tc>
        <w:tc>
          <w:tcPr>
            <w:tcW w:w="144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1460" w:type="dxa"/>
            <w:vAlign w:val="bottom"/>
            <w:tcBorders>
              <w:bottom w:val="single" w:sz="8" w:color="auto"/>
            </w:tcBorders>
            <w:gridSpan w:val="2"/>
          </w:tcPr>
          <w:p>
            <w:pPr>
              <w:jc w:val="right"/>
              <w:ind w:right="126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Potentially dilutive common shares issuable pursuant to equity-based awards of 2,736,244 were not included for the three months ended March 31, 2024, as the Company generated a net loss to common shareholders. Common shares issuable pursuant to equity-based awards of 55,333 were excluded from the Company’s diluted EPS calculation for the three months ended March 31, 2023, as their to their potential impact was anti-dilutive.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There were no potentially dilutive common shares issuable pursuant to the Convertible Notes for both the three months ended March 31, 2024 and 2023, as the average market price of the Company’s common stock has not exceeded the exercise price since their issuance.</w:t>
      </w:r>
    </w:p>
    <w:p>
      <w:pPr>
        <w:spacing w:after="0" w:line="19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complaint alleges misstatements and/or omissions in the Company’s registration statements and prospectuses related to the Company’s October 2020 initial public offering (“IPO”),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results for the fourth quarter and full fiscal year 2020; and (2) in the Company’s November 5, 2020, and March 9, 2021, earnings calls.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June 30, 2021, a substantially similar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which was consolidated with the Plymouth Action.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The case has been fully briefed and a decision is expected after oral argument, which has yet to be scheduled.</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July 16, 2021, a verified derivative complaint was filed in the Southern District of New York against certain officers and directors of the Company. The complaint alleges: (1) violations of Section 14(a) of the Securities Exchange Act of 1934 for misleading proxy statements, (2) breach of fiduciary duty, (3) unjust enrichment, (4) abuse of control, (5) gross mismanagement,</w:t>
      </w:r>
    </w:p>
    <w:p>
      <w:pPr>
        <w:spacing w:after="0" w:line="1" w:lineRule="exact"/>
        <w:rPr>
          <w:sz w:val="20"/>
          <w:szCs w:val="20"/>
          <w:color w:val="auto"/>
        </w:rPr>
      </w:pPr>
    </w:p>
    <w:p>
      <w:pPr>
        <w:jc w:val="both"/>
        <w:ind w:firstLine="8"/>
        <w:spacing w:after="0" w:line="264" w:lineRule="auto"/>
        <w:tabs>
          <w:tab w:leader="none" w:pos="313"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corporate waste, (7) aiding and abetting breach of fiduciary duty, and (8) contribution under sections 10(b) and 21D of the Securities Exchange Act of 1934. On July 30, 2021, a second verified derivative complaint was filed in the Southern District of New York against certain officers and directors of the Company. The complaint alleges: (1) violations of Section 14(a) of the Securities Exchange Act of 1934 for causing the issuance of a false/misleading proxy statement, (2) breach of fiduciary duty, and (3) aiding and abetting breaches of fiduciary duty.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(1) breach of fiduciary duty and (2) unjust enrichment. 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On September 2, 2022, the Chancery Court derivative cases were consolidated and the Court appointed co-lead counsel. The consolidated cases have been stayed pending the outcome of the appeal of the Plymouth Action.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Supplier Settlement</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March 2024, the Company reached a settlement with one of its vendors, in which the Company received $4.0 million in the form of a one-time $2.6 million cash payment due immediately, and $1.4 million in credits with the vendor which can be applied by the Company to future orders from the respective vendor. If the Company does not utilize all of the credits by January 2026, it will receive a one-time cash payment from the vendor for the remaining unused credit balance. As of March 31, 2024, the Company recognized $4.0 million in Prepaid and other expenses, net on the condensed consolidated balance sheet and for the three months ended March 31, 2024, a $4.0 million reduction to Cost of revenue on the condensed consolidated statement of operations.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March 31, 2024 and December 31, 2023, the fair value of the TRA was $8.2 million and $10.4 million, respectively.</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9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Three Months Ended March 31,</w:t>
            </w:r>
          </w:p>
        </w:tc>
        <w:tc>
          <w:tcPr>
            <w:tcW w:w="780" w:type="dxa"/>
            <w:vAlign w:val="bottom"/>
            <w:tcBorders>
              <w:bottom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2024</w:t>
            </w: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2023</w:t>
            </w:r>
          </w:p>
        </w:tc>
        <w:tc>
          <w:tcPr>
            <w:tcW w:w="780" w:type="dxa"/>
            <w:vAlign w:val="bottom"/>
            <w:tcBorders>
              <w:bottom w:val="single" w:sz="8" w:color="auto"/>
            </w:tcBorders>
          </w:tcPr>
          <w:p>
            <w:pPr>
              <w:spacing w:after="0"/>
              <w:rPr>
                <w:sz w:val="21"/>
                <w:szCs w:val="21"/>
                <w:color w:val="auto"/>
              </w:rPr>
            </w:pPr>
          </w:p>
        </w:tc>
      </w:tr>
      <w:tr>
        <w:trPr>
          <w:trHeight w:val="27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500" w:type="dxa"/>
            <w:vAlign w:val="bottom"/>
            <w:shd w:val="clear" w:color="auto" w:fill="CCEEFF"/>
          </w:tcPr>
          <w:p>
            <w:pPr>
              <w:jc w:val="right"/>
              <w:ind w:right="1281"/>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10,363</w:t>
            </w: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21"/>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center"/>
              <w:ind w:left="21"/>
              <w:spacing w:after="0"/>
              <w:rPr>
                <w:sz w:val="20"/>
                <w:szCs w:val="20"/>
                <w:color w:val="auto"/>
              </w:rPr>
            </w:pPr>
            <w:r>
              <w:rPr>
                <w:rFonts w:ascii="Arial" w:cs="Arial" w:eastAsia="Arial" w:hAnsi="Arial"/>
                <w:sz w:val="20"/>
                <w:szCs w:val="20"/>
                <w:color w:val="auto"/>
                <w:w w:val="99"/>
              </w:rPr>
              <w:t>8,587</w:t>
            </w:r>
          </w:p>
        </w:tc>
      </w:tr>
      <w:tr>
        <w:trPr>
          <w:trHeight w:val="282"/>
        </w:trPr>
        <w:tc>
          <w:tcPr>
            <w:tcW w:w="654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(1,427)</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center"/>
              <w:ind w:left="1"/>
              <w:spacing w:after="0"/>
              <w:rPr>
                <w:sz w:val="20"/>
                <w:szCs w:val="20"/>
                <w:color w:val="auto"/>
              </w:rPr>
            </w:pPr>
            <w:r>
              <w:rPr>
                <w:rFonts w:ascii="Arial" w:cs="Arial" w:eastAsia="Arial" w:hAnsi="Arial"/>
                <w:sz w:val="20"/>
                <w:szCs w:val="20"/>
                <w:color w:val="auto"/>
              </w:rPr>
              <w:t>(1,200)</w:t>
            </w:r>
          </w:p>
        </w:tc>
      </w:tr>
      <w:tr>
        <w:trPr>
          <w:trHeight w:val="284"/>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5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(735)</w:t>
            </w:r>
          </w:p>
        </w:tc>
        <w:tc>
          <w:tcPr>
            <w:tcW w:w="80" w:type="dxa"/>
            <w:vAlign w:val="bottom"/>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20"/>
                <w:szCs w:val="20"/>
                <w:color w:val="auto"/>
                <w:w w:val="99"/>
              </w:rPr>
              <w:t>1,338</w:t>
            </w:r>
          </w:p>
        </w:tc>
      </w:tr>
      <w:tr>
        <w:trPr>
          <w:trHeight w:val="279"/>
        </w:trPr>
        <w:tc>
          <w:tcPr>
            <w:tcW w:w="654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500" w:type="dxa"/>
            <w:vAlign w:val="bottom"/>
            <w:tcBorders>
              <w:bottom w:val="single" w:sz="8" w:color="auto"/>
            </w:tcBorders>
          </w:tcPr>
          <w:p>
            <w:pPr>
              <w:jc w:val="right"/>
              <w:ind w:right="128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8,201</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1321"/>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center"/>
              <w:ind w:left="21"/>
              <w:spacing w:after="0"/>
              <w:rPr>
                <w:sz w:val="20"/>
                <w:szCs w:val="20"/>
                <w:color w:val="auto"/>
              </w:rPr>
            </w:pPr>
            <w:r>
              <w:rPr>
                <w:rFonts w:ascii="Arial" w:cs="Arial" w:eastAsia="Arial" w:hAnsi="Arial"/>
                <w:sz w:val="20"/>
                <w:szCs w:val="20"/>
                <w:color w:val="auto"/>
                <w:w w:val="99"/>
              </w:rPr>
              <w:t>8,725</w:t>
            </w:r>
          </w:p>
        </w:tc>
      </w:tr>
      <w:tr>
        <w:trPr>
          <w:trHeight w:val="20"/>
        </w:trPr>
        <w:tc>
          <w:tcPr>
            <w:tcW w:w="6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March 31, 2024, the Company posted surety bonds in the total amount of $173.5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19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880"/>
              <w:spacing w:after="0"/>
              <w:rPr>
                <w:sz w:val="20"/>
                <w:szCs w:val="20"/>
                <w:color w:val="auto"/>
              </w:rPr>
            </w:pPr>
            <w:r>
              <w:rPr>
                <w:rFonts w:ascii="Arial" w:cs="Arial" w:eastAsia="Arial" w:hAnsi="Arial"/>
                <w:sz w:val="20"/>
                <w:szCs w:val="20"/>
                <w:b w:val="1"/>
                <w:bCs w:val="1"/>
                <w:color w:val="auto"/>
              </w:rPr>
              <w:t>March 31, 2024</w:t>
            </w:r>
          </w:p>
        </w:tc>
        <w:tc>
          <w:tcPr>
            <w:tcW w:w="140" w:type="dxa"/>
            <w:vAlign w:val="bottom"/>
          </w:tcPr>
          <w:p>
            <w:pPr>
              <w:spacing w:after="0"/>
              <w:rPr>
                <w:sz w:val="24"/>
                <w:szCs w:val="24"/>
                <w:color w:val="auto"/>
              </w:rPr>
            </w:pPr>
          </w:p>
        </w:tc>
        <w:tc>
          <w:tcPr>
            <w:tcW w:w="33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December 31, 2023</w:t>
            </w:r>
          </w:p>
        </w:tc>
      </w:tr>
      <w:tr>
        <w:trPr>
          <w:trHeight w:val="254"/>
        </w:trPr>
        <w:tc>
          <w:tcPr>
            <w:tcW w:w="4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416,102</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391,918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415,632</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416,500</w:t>
            </w:r>
          </w:p>
        </w:tc>
      </w:tr>
    </w:tbl>
    <w:p>
      <w:pPr>
        <w:spacing w:after="0" w:line="31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fair value of the Term Loans and Other Debt is estimated using Level 2 inputs. The carrying values of the Term Loans outstanding under the Senior Secured Credit facility recorded in the condensed consolidated balance sheets approximate fair value due to the variable nature of the interest rates.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Other Debt with an aggregate carrying value of $37.4 million, consists only of variable rate obligations. The carrying value of these variable rate obligations approximate fair value due to the variable nature of the interest rates.</w:t>
      </w:r>
    </w:p>
    <w:p>
      <w:pPr>
        <w:spacing w:after="0" w:line="19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23"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Pursuant to the 2020 Plan, the Company grants restricted stock units (“RSUs”) to employees and members of the Company’s board of directors. The fair value of the RSUs is determined using the market value of the Company’s common stock on the grant date.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three months ended March 31, 2024,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77"/>
        </w:trPr>
        <w:tc>
          <w:tcPr>
            <w:tcW w:w="656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80"/>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2023</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1,670,509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15.44</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1,048,812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12.17</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(506,189)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15.53</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(56,653)</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16.09</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March 31, 2024</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2,156,479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13.77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has granted performance stock units (“PSUs”) to certain employees.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three months ended March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34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2024</w:t>
            </w:r>
            <w:r>
              <w:rPr>
                <w:rFonts w:ascii="Arial" w:cs="Arial" w:eastAsia="Arial" w:hAnsi="Arial"/>
                <w:sz w:val="25"/>
                <w:szCs w:val="25"/>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b w:val="1"/>
                <w:bCs w:val="1"/>
                <w:color w:val="auto"/>
              </w:rPr>
              <w:t>2023</w:t>
            </w:r>
          </w:p>
        </w:tc>
      </w:tr>
      <w:tr>
        <w:trPr>
          <w:trHeight w:val="277"/>
        </w:trPr>
        <w:tc>
          <w:tcPr>
            <w:tcW w:w="6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7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90 %</w:t>
            </w:r>
          </w:p>
        </w:tc>
      </w:tr>
      <w:tr>
        <w:trPr>
          <w:trHeight w:val="275"/>
        </w:trPr>
        <w:tc>
          <w:tcPr>
            <w:tcW w:w="808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760" w:type="dxa"/>
            <w:vAlign w:val="bottom"/>
            <w:gridSpan w:val="2"/>
          </w:tcPr>
          <w:p>
            <w:pPr>
              <w:ind w:left="220"/>
              <w:spacing w:after="0"/>
              <w:rPr>
                <w:sz w:val="20"/>
                <w:szCs w:val="20"/>
                <w:color w:val="auto"/>
              </w:rPr>
            </w:pPr>
            <w:r>
              <w:rPr>
                <w:rFonts w:ascii="Arial" w:cs="Arial" w:eastAsia="Arial" w:hAnsi="Arial"/>
                <w:sz w:val="20"/>
                <w:szCs w:val="20"/>
                <w:color w:val="auto"/>
              </w:rPr>
              <w:t>— %</w:t>
            </w:r>
          </w:p>
        </w:tc>
        <w:tc>
          <w:tcPr>
            <w:tcW w:w="2400" w:type="dxa"/>
            <w:vAlign w:val="bottom"/>
          </w:tcPr>
          <w:p>
            <w:pPr>
              <w:jc w:val="right"/>
              <w:spacing w:after="0"/>
              <w:rPr>
                <w:sz w:val="20"/>
                <w:szCs w:val="20"/>
                <w:color w:val="auto"/>
              </w:rPr>
            </w:pPr>
            <w:r>
              <w:rPr>
                <w:rFonts w:ascii="Arial" w:cs="Arial" w:eastAsia="Arial" w:hAnsi="Arial"/>
                <w:sz w:val="20"/>
                <w:szCs w:val="20"/>
                <w:color w:val="auto"/>
              </w:rPr>
              <w:t>3.74 %</w:t>
            </w:r>
          </w:p>
        </w:tc>
      </w:tr>
      <w:tr>
        <w:trPr>
          <w:trHeight w:val="292"/>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bl>
    <w:p>
      <w:pPr>
        <w:ind w:left="220" w:hanging="212"/>
        <w:spacing w:after="0" w:line="225" w:lineRule="auto"/>
        <w:tabs>
          <w:tab w:leader="none" w:pos="2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No PSUs were issued during the three months ended March 31, 2024.</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PSU activity under the 2020 Plan during the three months ended March 31, 2024,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77"/>
        </w:trPr>
        <w:tc>
          <w:tcPr>
            <w:tcW w:w="656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80"/>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2023</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692,473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14.54</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(112,708)</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21.61</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March 31, 2024</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579,765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14.09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three months ended March 31, 2024 and 2023, the Company recognized $4.0 million and $3.3 million, respectively, in equity-based compensation costs. At March 31, 2024, the Company had $28.2 million of unrecognized compensation costs related to RSUs and PSUs, which are expected to be recognized over 2.4 and 1.8 years,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29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Segment Reporting</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and reportable segment. Concurrent with the acquisition of STI in January 2022, the Company began operating as two segments; Array Legacy Operations and STI Operations.</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table provides a reconciliation of certain financial information for the Company’s reportable segments to information presented in its condensed consolidated financial statements for the three months ended March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8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2023</w:t>
            </w:r>
          </w:p>
        </w:tc>
        <w:tc>
          <w:tcPr>
            <w:tcW w:w="840" w:type="dxa"/>
            <w:vAlign w:val="bottom"/>
            <w:tcBorders>
              <w:bottom w:val="single" w:sz="8" w:color="auto"/>
            </w:tcBorders>
          </w:tcPr>
          <w:p>
            <w:pPr>
              <w:spacing w:after="0"/>
              <w:rPr>
                <w:sz w:val="21"/>
                <w:szCs w:val="21"/>
                <w:color w:val="auto"/>
              </w:rPr>
            </w:pPr>
          </w:p>
        </w:tc>
      </w:tr>
      <w:tr>
        <w:trPr>
          <w:trHeight w:val="236"/>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Array Legacy Operations</w:t>
            </w:r>
          </w:p>
        </w:tc>
        <w:tc>
          <w:tcPr>
            <w:tcW w:w="1440" w:type="dxa"/>
            <w:vAlign w:val="bottom"/>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114,381</w:t>
            </w:r>
          </w:p>
        </w:tc>
        <w:tc>
          <w:tcPr>
            <w:tcW w:w="80" w:type="dxa"/>
            <w:vAlign w:val="bottom"/>
          </w:tcPr>
          <w:p>
            <w:pPr>
              <w:spacing w:after="0"/>
              <w:rPr>
                <w:sz w:val="22"/>
                <w:szCs w:val="22"/>
                <w:color w:val="auto"/>
              </w:rPr>
            </w:pPr>
          </w:p>
        </w:tc>
        <w:tc>
          <w:tcPr>
            <w:tcW w:w="1460" w:type="dxa"/>
            <w:vAlign w:val="bottom"/>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305,204</w:t>
            </w: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1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39,022</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71,569</w:t>
            </w:r>
          </w:p>
        </w:tc>
      </w:tr>
      <w:tr>
        <w:trPr>
          <w:trHeight w:val="250"/>
        </w:trPr>
        <w:tc>
          <w:tcPr>
            <w:tcW w:w="6540" w:type="dxa"/>
            <w:vAlign w:val="bottom"/>
          </w:tcPr>
          <w:p>
            <w:pPr>
              <w:ind w:left="20"/>
              <w:spacing w:after="0"/>
              <w:rPr>
                <w:sz w:val="20"/>
                <w:szCs w:val="20"/>
                <w:color w:val="auto"/>
              </w:rPr>
            </w:pPr>
            <w:r>
              <w:rPr>
                <w:rFonts w:ascii="Arial" w:cs="Arial" w:eastAsia="Arial" w:hAnsi="Arial"/>
                <w:sz w:val="20"/>
                <w:szCs w:val="20"/>
                <w:color w:val="auto"/>
              </w:rPr>
              <w:t>Total</w:t>
            </w:r>
          </w:p>
        </w:tc>
        <w:tc>
          <w:tcPr>
            <w:tcW w:w="1440" w:type="dxa"/>
            <w:vAlign w:val="bottom"/>
            <w:tcBorders>
              <w:bottom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153,403</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376,773</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7"/>
        </w:trPr>
        <w:tc>
          <w:tcPr>
            <w:tcW w:w="654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Array Legacy Operations</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49,086</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79,835</w:t>
            </w:r>
          </w:p>
        </w:tc>
      </w:tr>
      <w:tr>
        <w:trPr>
          <w:trHeight w:val="256"/>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1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6,004</w:t>
            </w: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17,705</w:t>
            </w:r>
          </w:p>
        </w:tc>
      </w:tr>
      <w:tr>
        <w:trPr>
          <w:trHeight w:val="2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144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55,090</w:t>
            </w: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97,540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2100"/>
        <w:spacing w:after="0" w:line="460"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2023, and the related Management’s Discussion and Analysis of Financial Condition and Results of Operations included in our Annual Report on Form 10-K for the year ended December 31, 2023 (“2023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2023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and in our Annual Report on Form 10-K for the fiscal year ended December 31, 2023. Our principal risks include the following:</w:t>
      </w:r>
    </w:p>
    <w:p>
      <w:pPr>
        <w:spacing w:after="0" w:line="211" w:lineRule="exact"/>
        <w:rPr>
          <w:sz w:val="20"/>
          <w:szCs w:val="20"/>
          <w:color w:val="auto"/>
        </w:rPr>
      </w:pPr>
    </w:p>
    <w:p>
      <w:pPr>
        <w:ind w:left="660" w:hanging="328"/>
        <w:spacing w:after="0" w:line="28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59" w:lineRule="exact"/>
        <w:rPr>
          <w:rFonts w:ascii="Arial" w:cs="Arial" w:eastAsia="Arial" w:hAnsi="Arial"/>
          <w:sz w:val="20"/>
          <w:szCs w:val="20"/>
          <w:color w:val="auto"/>
        </w:rPr>
      </w:pPr>
    </w:p>
    <w:p>
      <w:pPr>
        <w:ind w:left="660" w:hanging="328"/>
        <w:spacing w:after="0" w:line="276"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20"/>
          <w:szCs w:val="20"/>
          <w:color w:val="auto"/>
        </w:rPr>
        <w:t>the viability and demand for solar energy are impacted by many factors outside of our control, including but not limited to, the retail price of electricity, availability of in-demand components like high voltage</w:t>
      </w: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33" w:name="page34"/>
    <w:bookmarkEnd w:id="33"/>
    <w:p>
      <w:pPr>
        <w:ind w:left="328" w:right="20"/>
        <w:spacing w:after="0" w:line="286" w:lineRule="auto"/>
        <w:rPr>
          <w:sz w:val="20"/>
          <w:szCs w:val="20"/>
          <w:color w:val="auto"/>
        </w:rPr>
      </w:pPr>
      <w:r>
        <w:rPr>
          <w:rFonts w:ascii="Arial" w:cs="Arial" w:eastAsia="Arial" w:hAnsi="Arial"/>
          <w:sz w:val="20"/>
          <w:szCs w:val="20"/>
          <w:color w:val="auto"/>
        </w:rPr>
        <w:t>breakers, various policies related to the permitting and interconnection costs of solar plants, and the availability of incentives for solar energy and products, which makes it difficult to predict our future prospects;</w:t>
      </w:r>
    </w:p>
    <w:p>
      <w:pPr>
        <w:spacing w:after="0" w:line="73" w:lineRule="exact"/>
        <w:rPr>
          <w:sz w:val="20"/>
          <w:szCs w:val="20"/>
          <w:color w:val="auto"/>
        </w:rPr>
      </w:pPr>
    </w:p>
    <w:p>
      <w:pPr>
        <w:ind w:left="328" w:hanging="328"/>
        <w:spacing w:after="0"/>
        <w:tabs>
          <w:tab w:leader="none" w:pos="328" w:val="left"/>
        </w:tabs>
        <w:numPr>
          <w:ilvl w:val="0"/>
          <w:numId w:val="22"/>
        </w:numPr>
        <w:rPr>
          <w:rFonts w:ascii="Arial" w:cs="Arial" w:eastAsia="Arial" w:hAnsi="Arial"/>
          <w:sz w:val="22"/>
          <w:szCs w:val="22"/>
          <w:color w:val="auto"/>
        </w:rPr>
      </w:pPr>
      <w:r>
        <w:rPr>
          <w:rFonts w:ascii="Arial" w:cs="Arial" w:eastAsia="Arial" w:hAnsi="Arial"/>
          <w:sz w:val="20"/>
          <w:szCs w:val="20"/>
          <w:color w:val="auto"/>
        </w:rPr>
        <w:t>competitive pressures within our industry may harm our business, revenues, growth rates and market share;</w:t>
      </w:r>
    </w:p>
    <w:p>
      <w:pPr>
        <w:spacing w:after="0" w:line="125" w:lineRule="exact"/>
        <w:rPr>
          <w:rFonts w:ascii="Arial" w:cs="Arial" w:eastAsia="Arial" w:hAnsi="Arial"/>
          <w:sz w:val="22"/>
          <w:szCs w:val="22"/>
          <w:color w:val="auto"/>
        </w:rPr>
      </w:pPr>
    </w:p>
    <w:p>
      <w:pPr>
        <w:ind w:left="328" w:right="20"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65" w:lineRule="exact"/>
        <w:rPr>
          <w:rFonts w:ascii="Arial" w:cs="Arial" w:eastAsia="Arial" w:hAnsi="Arial"/>
          <w:sz w:val="22"/>
          <w:szCs w:val="22"/>
          <w:color w:val="auto"/>
        </w:rPr>
      </w:pPr>
    </w:p>
    <w:p>
      <w:pPr>
        <w:ind w:left="328" w:right="20"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65" w:lineRule="exact"/>
        <w:rPr>
          <w:rFonts w:ascii="Arial" w:cs="Arial" w:eastAsia="Arial" w:hAnsi="Arial"/>
          <w:sz w:val="22"/>
          <w:szCs w:val="22"/>
          <w:color w:val="auto"/>
        </w:rPr>
      </w:pPr>
    </w:p>
    <w:p>
      <w:pPr>
        <w:ind w:left="328"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failure to maintain effective internal controls over financial reporting may negatively affect our ability to timely report our financial condition or results of operations, which may adversely affect our business;</w:t>
      </w:r>
    </w:p>
    <w:p>
      <w:pPr>
        <w:spacing w:after="0" w:line="79" w:lineRule="exact"/>
        <w:rPr>
          <w:rFonts w:ascii="Arial" w:cs="Arial" w:eastAsia="Arial" w:hAnsi="Arial"/>
          <w:sz w:val="22"/>
          <w:szCs w:val="22"/>
          <w:color w:val="auto"/>
        </w:rPr>
      </w:pPr>
    </w:p>
    <w:p>
      <w:pPr>
        <w:jc w:val="both"/>
        <w:ind w:left="328" w:hanging="328"/>
        <w:spacing w:after="0" w:line="263"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further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82" w:lineRule="exact"/>
        <w:rPr>
          <w:rFonts w:ascii="Arial" w:cs="Arial" w:eastAsia="Arial" w:hAnsi="Arial"/>
          <w:sz w:val="22"/>
          <w:szCs w:val="22"/>
          <w:color w:val="auto"/>
        </w:rPr>
      </w:pPr>
    </w:p>
    <w:p>
      <w:pPr>
        <w:jc w:val="both"/>
        <w:ind w:left="328" w:hanging="328"/>
        <w:spacing w:after="0" w:line="270"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75" w:lineRule="exact"/>
        <w:rPr>
          <w:rFonts w:ascii="Arial" w:cs="Arial" w:eastAsia="Arial" w:hAnsi="Arial"/>
          <w:sz w:val="22"/>
          <w:szCs w:val="22"/>
          <w:color w:val="auto"/>
        </w:rPr>
      </w:pPr>
    </w:p>
    <w:p>
      <w:pPr>
        <w:ind w:left="328"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or restrictions on imports and exports;</w:t>
      </w:r>
    </w:p>
    <w:p>
      <w:pPr>
        <w:spacing w:after="0" w:line="65" w:lineRule="exact"/>
        <w:rPr>
          <w:rFonts w:ascii="Arial" w:cs="Arial" w:eastAsia="Arial" w:hAnsi="Arial"/>
          <w:sz w:val="22"/>
          <w:szCs w:val="22"/>
          <w:color w:val="auto"/>
        </w:rPr>
      </w:pPr>
    </w:p>
    <w:p>
      <w:pPr>
        <w:jc w:val="both"/>
        <w:ind w:left="328" w:hanging="328"/>
        <w:spacing w:after="0" w:line="270"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geopolitical, macroeconomic and other market conditions unrelated to our operating performance including the COVID-19 pandemic, the military conflict in Ukraine and Russia, the Israel-Hamas war, attacks on shipping in the Red Sea and rising inflation and interest rates;</w:t>
      </w:r>
    </w:p>
    <w:p>
      <w:pPr>
        <w:spacing w:after="0" w:line="75" w:lineRule="exact"/>
        <w:rPr>
          <w:rFonts w:ascii="Arial" w:cs="Arial" w:eastAsia="Arial" w:hAnsi="Arial"/>
          <w:sz w:val="22"/>
          <w:szCs w:val="22"/>
          <w:color w:val="auto"/>
        </w:rPr>
      </w:pPr>
    </w:p>
    <w:p>
      <w:pPr>
        <w:ind w:left="328" w:right="20"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changes in the global trade environment, including the imposition of import tariffs or other import restrictions, could adversely affect the amount or timing of our revenues, results of operations or cash flows;</w:t>
      </w:r>
    </w:p>
    <w:p>
      <w:pPr>
        <w:spacing w:after="0" w:line="65" w:lineRule="exact"/>
        <w:rPr>
          <w:rFonts w:ascii="Arial" w:cs="Arial" w:eastAsia="Arial" w:hAnsi="Arial"/>
          <w:sz w:val="22"/>
          <w:szCs w:val="22"/>
          <w:color w:val="auto"/>
        </w:rPr>
      </w:pPr>
    </w:p>
    <w:p>
      <w:pPr>
        <w:ind w:left="328" w:hanging="328"/>
        <w:spacing w:after="0"/>
        <w:tabs>
          <w:tab w:leader="none" w:pos="328" w:val="left"/>
        </w:tabs>
        <w:numPr>
          <w:ilvl w:val="0"/>
          <w:numId w:val="22"/>
        </w:numPr>
        <w:rPr>
          <w:rFonts w:ascii="Arial" w:cs="Arial" w:eastAsia="Arial" w:hAnsi="Arial"/>
          <w:sz w:val="22"/>
          <w:szCs w:val="22"/>
          <w:color w:val="auto"/>
        </w:rPr>
      </w:pPr>
      <w:r>
        <w:rPr>
          <w:rFonts w:ascii="Arial" w:cs="Arial" w:eastAsia="Arial" w:hAnsi="Arial"/>
          <w:sz w:val="20"/>
          <w:szCs w:val="20"/>
          <w:color w:val="auto"/>
        </w:rPr>
        <w:t>we may not be able to convert our orders in backlog into revenue;</w:t>
      </w:r>
    </w:p>
    <w:p>
      <w:pPr>
        <w:spacing w:after="0" w:line="125" w:lineRule="exact"/>
        <w:rPr>
          <w:rFonts w:ascii="Arial" w:cs="Arial" w:eastAsia="Arial" w:hAnsi="Arial"/>
          <w:sz w:val="22"/>
          <w:szCs w:val="22"/>
          <w:color w:val="auto"/>
        </w:rPr>
      </w:pPr>
    </w:p>
    <w:p>
      <w:pPr>
        <w:ind w:left="328"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our results of operations fluctuate from quarter to quarter, which could make our future performance difficult to predict and could cause our results of operations for a particular period to fall below expectations;</w:t>
      </w:r>
    </w:p>
    <w:p>
      <w:pPr>
        <w:spacing w:after="0" w:line="79" w:lineRule="exact"/>
        <w:rPr>
          <w:rFonts w:ascii="Arial" w:cs="Arial" w:eastAsia="Arial" w:hAnsi="Arial"/>
          <w:sz w:val="22"/>
          <w:szCs w:val="22"/>
          <w:color w:val="auto"/>
        </w:rPr>
      </w:pPr>
    </w:p>
    <w:p>
      <w:pPr>
        <w:jc w:val="both"/>
        <w:ind w:left="328" w:hanging="328"/>
        <w:spacing w:after="0" w:line="263"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the reduction, elimination or expiration, or our failure to optimize the benefits of government incentives for, or regulations mandating the use of, renewable energy and solar energy, particularly in relation to our competitors, could reduce demand for solar energy systems and harm our business;</w:t>
      </w:r>
    </w:p>
    <w:p>
      <w:pPr>
        <w:spacing w:after="0" w:line="82" w:lineRule="exact"/>
        <w:rPr>
          <w:rFonts w:ascii="Arial" w:cs="Arial" w:eastAsia="Arial" w:hAnsi="Arial"/>
          <w:sz w:val="22"/>
          <w:szCs w:val="22"/>
          <w:color w:val="auto"/>
        </w:rPr>
      </w:pPr>
    </w:p>
    <w:p>
      <w:pPr>
        <w:ind w:left="328" w:hanging="328"/>
        <w:spacing w:after="0" w:line="276" w:lineRule="auto"/>
        <w:tabs>
          <w:tab w:leader="none" w:pos="323" w:val="left"/>
        </w:tabs>
        <w:numPr>
          <w:ilvl w:val="0"/>
          <w:numId w:val="22"/>
        </w:numPr>
        <w:rPr>
          <w:rFonts w:ascii="Arial" w:cs="Arial" w:eastAsia="Arial" w:hAnsi="Arial"/>
          <w:sz w:val="22"/>
          <w:szCs w:val="22"/>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79" w:lineRule="exact"/>
        <w:rPr>
          <w:rFonts w:ascii="Arial" w:cs="Arial" w:eastAsia="Arial" w:hAnsi="Arial"/>
          <w:sz w:val="22"/>
          <w:szCs w:val="22"/>
          <w:color w:val="auto"/>
        </w:rPr>
      </w:pPr>
    </w:p>
    <w:p>
      <w:pPr>
        <w:ind w:left="328" w:hanging="328"/>
        <w:spacing w:after="0"/>
        <w:tabs>
          <w:tab w:leader="none" w:pos="328" w:val="left"/>
        </w:tabs>
        <w:numPr>
          <w:ilvl w:val="0"/>
          <w:numId w:val="22"/>
        </w:numPr>
        <w:rPr>
          <w:rFonts w:ascii="Arial" w:cs="Arial" w:eastAsia="Arial" w:hAnsi="Arial"/>
          <w:sz w:val="22"/>
          <w:szCs w:val="22"/>
          <w:color w:val="auto"/>
        </w:rPr>
      </w:pPr>
      <w:r>
        <w:rPr>
          <w:rFonts w:ascii="Arial" w:cs="Arial" w:eastAsia="Arial" w:hAnsi="Arial"/>
          <w:sz w:val="20"/>
          <w:szCs w:val="20"/>
          <w:color w:val="auto"/>
        </w:rPr>
        <w:t>significant changes in the cost of raw materials could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74930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19" w:right="339" w:bottom="1440" w:gutter="0" w:footer="0" w:header="0"/>
        </w:sectPr>
      </w:pPr>
    </w:p>
    <w:bookmarkStart w:id="34" w:name="page35"/>
    <w:bookmarkEnd w:id="34"/>
    <w:p>
      <w:pPr>
        <w:ind w:left="660" w:right="20" w:hanging="328"/>
        <w:spacing w:after="0" w:line="303" w:lineRule="auto"/>
        <w:tabs>
          <w:tab w:leader="none" w:pos="655" w:val="left"/>
        </w:tabs>
        <w:numPr>
          <w:ilvl w:val="0"/>
          <w:numId w:val="23"/>
        </w:numPr>
        <w:rPr>
          <w:rFonts w:ascii="Arial" w:cs="Arial" w:eastAsia="Arial" w:hAnsi="Arial"/>
          <w:sz w:val="21"/>
          <w:szCs w:val="21"/>
          <w:color w:val="auto"/>
        </w:rPr>
      </w:pPr>
      <w:r>
        <w:rPr>
          <w:rFonts w:ascii="Arial" w:cs="Arial" w:eastAsia="Arial" w:hAnsi="Arial"/>
          <w:sz w:val="19"/>
          <w:szCs w:val="19"/>
          <w:color w:val="auto"/>
        </w:rPr>
        <w:t>defects or performance problems in our products could result in loss of customers, reputational damage and decreased revenue, and we may experience delays, disruptions or quality control problems in our product development operations;</w:t>
      </w:r>
    </w:p>
    <w:p>
      <w:pPr>
        <w:spacing w:after="0" w:line="40" w:lineRule="exact"/>
        <w:rPr>
          <w:rFonts w:ascii="Arial" w:cs="Arial" w:eastAsia="Arial" w:hAnsi="Arial"/>
          <w:sz w:val="21"/>
          <w:szCs w:val="21"/>
          <w:color w:val="auto"/>
        </w:rPr>
      </w:pPr>
    </w:p>
    <w:p>
      <w:pPr>
        <w:ind w:left="660" w:hanging="328"/>
        <w:spacing w:after="0" w:line="276"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if we fail to retain our key personnel or if we fail to attract additional qualified personnel, we may not be able to achieve our anticipated level of growth and our business could suffer;</w:t>
      </w:r>
    </w:p>
    <w:p>
      <w:pPr>
        <w:spacing w:after="0" w:line="79"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our continued planned expansion into new markets could subject us to additional business, financial, regulatory and competitive risks;</w:t>
      </w:r>
    </w:p>
    <w:p>
      <w:pPr>
        <w:spacing w:after="0" w:line="65"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cybersecurity or other data incidents, including unauthorized disclosure of personal or sensitive data or theft of confidential information could harm our business;</w:t>
      </w:r>
    </w:p>
    <w:p>
      <w:pPr>
        <w:spacing w:after="0" w:line="65" w:lineRule="exact"/>
        <w:rPr>
          <w:rFonts w:ascii="Arial" w:cs="Arial" w:eastAsia="Arial" w:hAnsi="Arial"/>
          <w:sz w:val="22"/>
          <w:szCs w:val="22"/>
          <w:color w:val="auto"/>
        </w:rPr>
      </w:pPr>
    </w:p>
    <w:p>
      <w:pPr>
        <w:jc w:val="both"/>
        <w:ind w:left="660" w:hanging="328"/>
        <w:spacing w:after="0" w:line="264"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internal control deficiencies have been identified that constituted material weaknesses in our internal control over financial reporting. If we fail to implement and maintain effective internal controls over financial reporting, we may be unable to accurately or timely report our financial condition or results of operations, which may adversely affect our business</w:t>
      </w:r>
    </w:p>
    <w:p>
      <w:pPr>
        <w:spacing w:after="0" w:line="8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0"/>
          <w:szCs w:val="20"/>
          <w:color w:val="auto"/>
        </w:rPr>
        <w:t>our substantial indebtedness could adversely affect our financial condition;</w:t>
      </w:r>
    </w:p>
    <w:p>
      <w:pPr>
        <w:spacing w:after="0" w:line="125" w:lineRule="exact"/>
        <w:rPr>
          <w:rFonts w:ascii="Arial" w:cs="Arial" w:eastAsia="Arial" w:hAnsi="Arial"/>
          <w:sz w:val="22"/>
          <w:szCs w:val="22"/>
          <w:color w:val="auto"/>
        </w:rPr>
      </w:pPr>
    </w:p>
    <w:p>
      <w:pPr>
        <w:jc w:val="both"/>
        <w:ind w:left="660" w:hanging="328"/>
        <w:spacing w:after="0" w:line="270"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we face risks related to actual or threatened public health epidemics, pandemics, outbreaks or crises, such as the COVID-19 pandemic, which could have a material and adverse effect on our business, results of operations and financial condition; and</w:t>
      </w:r>
    </w:p>
    <w:p>
      <w:pPr>
        <w:spacing w:after="0" w:line="75"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changes to tax laws and regulations that are applied adversely to us or our customers could materially adversely affect our business, financial condition, results of operations and prospects, including our ability to optimize those changes brought about by the passage of the Inflation Reduction 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typically generate more energy and deliver a lower Levelized Cost of Energy (“LCOE”) than projects that use “fixed tilt” mounting systems, which do not move. The vast majority of ground mounted solar systems in the U.S. use trackers.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With our acquisition of STI in January of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 2022, we also introduced a third tracker product requiring significantly less grading and civil works permitting prior to installation in addition to accommodating uneven terrain. This suite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products extends our target applications and ability to deliver the best utility-scale solar tracker solutions to the market.</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three months ended March 31, 2024, we derived 73% and 27% of our revenues from customers in the U.S. and the rest of the world, respectively. As of March 31, 2024, we had shipped more than 74.8 gigawatts of trackers to customers worldwide.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Our corporate headquarters are located in Albuquerque, New Mexico. As of March 31, 2024, we had 975 full-time employees.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incurs research and development (“R&amp;D”) costs during its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The Company expenses these costs as incurred prior to a respective product being ready for commercial production. Total engineering expense was $4.3 million and $3.9 million during the three months ended March 31, 2024 and 2023, respectively, of which $1.9 million and $2.1 million were related to R&amp;D activities performed by the Company during the three months ended March 31, 2024 and 2023,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 Norland</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January 11, 2022, we completed our acquisition of STI, which resulted in the Company owning 100% of the equity interests in STI. Similar to Array Legacy operations, STI generates revenue through the design, manufacture and sale of its utility-scale solar tracker systems to customers in global markets that include Spain, Brazil, the U.S. and South Africa. The integration of STI has allowed us to accelerate our international expansion and better address rising global demand for utility-scale solar projects, particularly in developing countries in Latin America and Africa.</w:t>
      </w:r>
    </w:p>
    <w:p>
      <w:pPr>
        <w:spacing w:after="0" w:line="199" w:lineRule="exact"/>
        <w:rPr>
          <w:sz w:val="20"/>
          <w:szCs w:val="20"/>
          <w:color w:val="auto"/>
        </w:rPr>
      </w:pPr>
    </w:p>
    <w:p>
      <w:pPr>
        <w:ind w:right="2300"/>
        <w:spacing w:after="0" w:line="374" w:lineRule="auto"/>
        <w:rPr>
          <w:sz w:val="20"/>
          <w:szCs w:val="20"/>
          <w:color w:val="auto"/>
        </w:rPr>
      </w:pPr>
      <w:r>
        <w:rPr>
          <w:rFonts w:ascii="Arial" w:cs="Arial" w:eastAsia="Arial" w:hAnsi="Arial"/>
          <w:sz w:val="20"/>
          <w:szCs w:val="20"/>
          <w:b w:val="1"/>
          <w:bCs w:val="1"/>
          <w:color w:val="auto"/>
        </w:rPr>
        <w:t xml:space="preserve">Reversal of Out-of-Period Adjustment Recorded during the three months ended March 31, 2023 </w:t>
      </w:r>
      <w:r>
        <w:rPr>
          <w:rFonts w:ascii="Arial" w:cs="Arial" w:eastAsia="Arial" w:hAnsi="Arial"/>
          <w:sz w:val="20"/>
          <w:szCs w:val="20"/>
          <w:i w:val="1"/>
          <w:iCs w:val="1"/>
          <w:color w:val="auto"/>
        </w:rPr>
        <w:t>Capped Calls and Put Option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During the three months ended December 31, 2023, the Company consulted with the staff of the Office of the Chief Accountant of the SEC, and after consultation with the staff, the Company concluded that the change from its historical accounting treatment for its Capped Calls and its Put Option that were made during the three months ended March 31, 2023, was not required. As a result, the Company has chosen to revert to its historical accounting and reverse the initial cumulative catch-up recorded during the three months ended March 31, 2023. as well as any subsequent fair value adjusting entries recorded during the interim periods in 2023. See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Project Timing</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Because we recognize revenue on projects as legal title to equipment is transferred from us to the customer, any delays in large projects from one quarter to another for any reason may cause our results of operations for a particular period to fall below expectations. Our end-users’ ability to install solar energy systems has been affected by a number of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6" w:name="page37"/>
    <w:bookmarkEnd w:id="36"/>
    <w:p>
      <w:pPr>
        <w:jc w:val="both"/>
        <w:ind w:left="660" w:hanging="328"/>
        <w:spacing w:after="0" w:line="263"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20"/>
          <w:szCs w:val="20"/>
          <w:i w:val="1"/>
          <w:iCs w:val="1"/>
          <w:color w:val="auto"/>
        </w:rPr>
        <w:t>Weather</w:t>
      </w:r>
      <w:r>
        <w:rPr>
          <w:rFonts w:ascii="Arial" w:cs="Arial" w:eastAsia="Arial" w:hAnsi="Arial"/>
          <w:sz w:val="20"/>
          <w:szCs w:val="20"/>
          <w:color w:val="auto"/>
        </w:rPr>
        <w:t>. Inclement weather can affect our customers’ ability to install their systems, particularly in the northeastern</w:t>
      </w:r>
      <w:r>
        <w:rPr>
          <w:rFonts w:ascii="Arial" w:cs="Arial" w:eastAsia="Arial" w:hAnsi="Arial"/>
          <w:sz w:val="20"/>
          <w:szCs w:val="20"/>
          <w:i w:val="1"/>
          <w:iCs w:val="1"/>
          <w:color w:val="auto"/>
        </w:rPr>
        <w:t xml:space="preserve"> </w:t>
      </w:r>
      <w:r>
        <w:rPr>
          <w:rFonts w:ascii="Arial" w:cs="Arial" w:eastAsia="Arial" w:hAnsi="Arial"/>
          <w:sz w:val="20"/>
          <w:szCs w:val="20"/>
          <w:color w:val="auto"/>
        </w:rPr>
        <w:t>United States and in Europe. In addition, weather delays can adversely affect our logistics and operations by causing delays in the shipping and delivery of our materials.</w:t>
      </w:r>
    </w:p>
    <w:p>
      <w:pPr>
        <w:spacing w:after="0" w:line="96" w:lineRule="exact"/>
        <w:rPr>
          <w:rFonts w:ascii="Arial" w:cs="Arial" w:eastAsia="Arial" w:hAnsi="Arial"/>
          <w:sz w:val="22"/>
          <w:szCs w:val="22"/>
          <w:color w:val="auto"/>
        </w:rPr>
      </w:pPr>
    </w:p>
    <w:p>
      <w:pPr>
        <w:jc w:val="both"/>
        <w:ind w:left="660" w:hanging="328"/>
        <w:spacing w:after="0" w:line="277"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9"/>
          <w:szCs w:val="19"/>
          <w:i w:val="1"/>
          <w:iCs w:val="1"/>
          <w:color w:val="auto"/>
        </w:rPr>
        <w:t>The interest rate environment</w:t>
      </w:r>
      <w:r>
        <w:rPr>
          <w:rFonts w:ascii="Arial" w:cs="Arial" w:eastAsia="Arial" w:hAnsi="Arial"/>
          <w:sz w:val="19"/>
          <w:szCs w:val="19"/>
          <w:color w:val="auto"/>
        </w:rPr>
        <w:t>. As interest rates have risen, we have seen customers looking to renegotiate power</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agreements to improve project returns. Any unexpected or protracted negotiation can cause installation delays and delay our ability to recognize revenue relating to the relevant projects. In addition, we have had customers delay planned installations in anticipation of interest reductions and more favorable project financing conditions later in 2024.</w:t>
      </w:r>
    </w:p>
    <w:p>
      <w:pPr>
        <w:spacing w:after="0" w:line="85" w:lineRule="exact"/>
        <w:rPr>
          <w:rFonts w:ascii="Arial" w:cs="Arial" w:eastAsia="Arial" w:hAnsi="Arial"/>
          <w:sz w:val="21"/>
          <w:szCs w:val="21"/>
          <w:color w:val="auto"/>
        </w:rPr>
      </w:pPr>
    </w:p>
    <w:p>
      <w:pPr>
        <w:jc w:val="both"/>
        <w:ind w:left="660" w:hanging="328"/>
        <w:spacing w:after="0" w:line="26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20"/>
          <w:szCs w:val="20"/>
          <w:i w:val="1"/>
          <w:iCs w:val="1"/>
          <w:color w:val="auto"/>
        </w:rPr>
        <w:t>Availability of necessary equipment</w:t>
      </w:r>
      <w:r>
        <w:rPr>
          <w:rFonts w:ascii="Arial" w:cs="Arial" w:eastAsia="Arial" w:hAnsi="Arial"/>
          <w:sz w:val="20"/>
          <w:szCs w:val="20"/>
          <w:color w:val="auto"/>
        </w:rPr>
        <w:t>. We have a broad portfolio of customer relationships including presence with every</w:t>
      </w:r>
      <w:r>
        <w:rPr>
          <w:rFonts w:ascii="Arial" w:cs="Arial" w:eastAsia="Arial" w:hAnsi="Arial"/>
          <w:sz w:val="20"/>
          <w:szCs w:val="20"/>
          <w:i w:val="1"/>
          <w:iCs w:val="1"/>
          <w:color w:val="auto"/>
        </w:rPr>
        <w:t xml:space="preserve"> </w:t>
      </w:r>
      <w:r>
        <w:rPr>
          <w:rFonts w:ascii="Arial" w:cs="Arial" w:eastAsia="Arial" w:hAnsi="Arial"/>
          <w:sz w:val="20"/>
          <w:szCs w:val="20"/>
          <w:color w:val="auto"/>
        </w:rPr>
        <w:t>Tier 1 utility in the United States. Each utility has unique specifications for access to its grid, which is generally not consistent across the industry. As the supply of renewables projects has increased, severe shortages and long lead-times in the supply of switches, transformers and HV breakers used in the interconnection of utility scale solar power plants to the grid, has affected the timing and completion of these projects, including for some of our customers.</w:t>
      </w:r>
    </w:p>
    <w:p>
      <w:pPr>
        <w:spacing w:after="0" w:line="83"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20"/>
          <w:szCs w:val="20"/>
          <w:i w:val="1"/>
          <w:iCs w:val="1"/>
          <w:color w:val="auto"/>
        </w:rPr>
        <w:t>Local permitting</w:t>
      </w:r>
      <w:r>
        <w:rPr>
          <w:rFonts w:ascii="Arial" w:cs="Arial" w:eastAsia="Arial" w:hAnsi="Arial"/>
          <w:sz w:val="20"/>
          <w:szCs w:val="20"/>
          <w:color w:val="auto"/>
        </w:rPr>
        <w:t>. If our customers cannot receive permitting for their projects, they are unable to begin and ultimately</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 them in a timely manner. A dramatic increase in solar and battery storage sites has increased the average permitting time in many geographies in which our customers operate.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IRA</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step-downs in the ITC have influenced the timing and quantity of some customers’ orders. With the passage of the Inflation Reduction Act (“IRA”) in August 2022, the ITC was raised to 30% with no step downs before 2032. Accordingly, we do not anticipate the ITC rate to impact our seasonality during that timeframe.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After a period of uncertainty, in December the IRS published proposed regulations on 45X manufacturing credit benefits that largely confirmed our previous understanding around the eligibility of our torque tube. Beginning in late 2023 and continuing into 2024, we have and continue to successfully negotiate agreements with key suppliers around 45X manufacturing credit benefits associated with the torque tube.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45X proposed regulations published in December did not further clarify what would be considered a structural fastener; however, we do continue to expect that there will be additional credits we can monetize for a number of our components under the existing law and proposed regulations. We are actively working on multiple initiatives to obtain additional clarity regarding the eligibility and in parallel are negotiating the split of the 45X benefits with our suppliers for parts we do not manufacture internally.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Structured Cost Management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i w:val="1"/>
          <w:iCs w:val="1"/>
          <w:color w:val="auto"/>
        </w:rPr>
        <w:t>Impact of Attacks on Shipping in the Red Sea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Houthi rebels in Yemen have significantly stepped-up attacks against commercial vessels in the Bab-el-Mandeb strait between the Arabian peninsula and the Horn of Africa since late November 2023, which has led many shipping companies to pause shipments through the Suez Canal and the Red Sea. Many of these shipments are being redirected around the Cape of Good Hope in South Africa, adding between 3,000 to 3,500 nautical miles to routes connecting Europe with Asia. As an additional result of the reroute, certain ports could see crowding and delays in unloading shipments. We do not yet know the duration of these disruptions or the severity of their impact on our operations, but we continue to monitor the situation and evaluate our procurement strategy and supply chain as to reduce any negative impact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Inflationary pressures may continue to impact, at least in the near-term, and may continue to negatively impact our results of operations. To mitigate the inflationary pressures on our business, despite our ASPs decreasing, we have continued to accelerate our productivity initiatives, expanded our supplier base, and continued to execute on our overhead cost containment practices.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AD/CVD Petitions and Determinations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June 2022, the U.S. President authorized the U.S. Secretary of Commerce to provide a 24-month AD/CVD tariff exemption for imported solar modules from certain Southeast Asian countries. The USDOC previously issued regulations implementing the AD/CVD moratorium in the event that it found circumvention with respect to such Southeast Asian countries. In August 2023, the USDOC issued final affirmative circumvention rulings, finding that solar modules completed in Cambodia, Malaysia, Thailand, and Vietnam using parts and components produced in China circumvent pre-existing AD/CVD orders on China. At this time, it is expected that duties will apply to such solar modules unless they are imported, used, and installed by June 2024.</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 The repeal of the 24-month exemption, and any affirmative determinations made once the exemption expires in any event, would have an adverse effect on our business, financial condition, and results of operations. More broadly, legislation has been proposed that would make it easier for domestic companies to obtain affirmative determinations in antidumping and countervailing duty investigations. The proposed USICA/America COMPETES Act, if enacted, could result in future successful petitions that limit imports from Asia and other regions.</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crystalline silicon photovoltaic (CSPV) solar cells and modules, filed a petition with the USDOC and the U.S. International Trade Commission (the “USITC”) seeking the imposition of AD/CVD tariffs on imports of CSPV cells and modules from Cambodia, Malaysia, Thailand and Vietnam. If the USDOC or USITC make preliminary affirmative determinations, could have an adverse effect on our business, financial condition, and results of operations.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Our operating results could be adversely impacted if the USDOC imposes duties on such imports. We continue to monitor developments in the above petition and investigation processes and work 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20"/>
          <w:szCs w:val="20"/>
          <w:color w:val="auto"/>
        </w:rPr>
        <w:t>mitigate their impact on our supply chain, but if we are unable to do so, the imposition of AD/CVD orders could negatively impact our business, financial condition, and results of operations.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possibility of additional tariffs and duties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 shipped from period to period. MWs are measured for each individual project and are calculated based on the respective project’s expected megawatt output once installed and fully operational.</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generate revenue from the sale of solar tracking systems,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39" w:name="page40"/>
    <w:bookmarkEnd w:id="39"/>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and availability of government incentives to the end-users of our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Cost of revenue consists primarily of product costs, including raw materials, purchased components,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 modify our production schedules and processes to mitigate the impact of these disruptions and cost increases on our margins. We do not currently hedge against changes in the price of our raw materials.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project mix, customer mix, geographical mix, commodity prices, logistics rates, warranty costs, and seasonality.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 Reduction Act Vendor Rebates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We have, and will continue to, enter into arrangements with manufacturing vendors that produce 45X Credit eligible parts, in which the vendors agree to share a portion of the benefit received related to our purchases, in the form of “Vendor Rebates”.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account for these Vendor Rebates as a reduction of the purchase prices of the vendors’ products and therefore a reduction in the cost of inventory until the inventory is sold, at which time we recognize such rebates as a reduction of cost of revenues on the condensed consolidated statements of operations. Rebates related to purchases that were made prior to the execution of the agreements are deferred and recognized as a reduction of the prices of future purchases.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General and administrative expense consists primarily of salaries, benefits, and equity-based compensation related to our executive, sales, engineering, finance, human resources, information technology, and legal personnel, as well as travel, facility costs, marketing, bad debt provision, and professional fees. The majority of our sales in the first quarter of 2024 and 2023, were in the U.S.; however, in January 2022, we expanded our international operations with the STI Acquisition. We currently have a sales presence in the U.S., Spain, Brazil, South Africa, Australia, and the U.K. We intend to continue to expand our sales presence and marketing efforts to additional countries.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0" w:name="page41"/>
    <w:bookmarkEnd w:id="40"/>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Contingent consideration consists of the changes in fair value of the tax receivable agreement (“TRA”) entered into with a former indirect stockholder, concurrent with the acquisition of Patent LLC by Former Parent. The TRA liability was recorded at fair value as of July 8, 2016 (the “Patent Acquisition Date”) and subsequent changes in the fair value are recognized in earnings. For discussion and analysis of the TRA see </w:t>
      </w:r>
      <w:r>
        <w:rPr>
          <w:rFonts w:ascii="Arial" w:cs="Arial" w:eastAsia="Arial" w:hAnsi="Arial"/>
          <w:sz w:val="20"/>
          <w:szCs w:val="20"/>
          <w:u w:val="single" w:color="auto"/>
          <w:color w:val="0000FF"/>
        </w:rPr>
        <w:t>Note 11 – Commitments and Contingencies</w:t>
      </w:r>
      <w:r>
        <w:rPr>
          <w:rFonts w:ascii="Arial" w:cs="Arial" w:eastAsia="Arial" w:hAnsi="Arial"/>
          <w:sz w:val="20"/>
          <w:szCs w:val="20"/>
          <w:color w:val="auto"/>
        </w:rPr>
        <w:t>.</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Amortization consists of the expense recognized over the expected period of use of our customer relationships, contractual backlog, and STI trade name intangible assets. Amortization related to certain acquired intangible assets is recorded as Total cost of revenue under the caption "Amortization of developed technology".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and cash equivalents balance.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Convertible Notes, and Other Debt held by our STI Operations.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Reportable Segments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Subsequent to the acquisition of STI, the Company began reporting its results of operations in two segments; the Array Legacy operating segment and the newly acquired STI Legacy operating segment (“STI Legacy Operations”) pertaining to legacy STI operations. The segment amounts included in this </w:t>
      </w:r>
      <w:r>
        <w:rPr>
          <w:rFonts w:ascii="Arial" w:cs="Arial" w:eastAsia="Arial" w:hAnsi="Arial"/>
          <w:sz w:val="20"/>
          <w:szCs w:val="20"/>
          <w:u w:val="single" w:color="auto"/>
          <w:color w:val="0000FF"/>
        </w:rPr>
        <w:t>Item 2. Management’s Discussion and Analysis</w:t>
      </w:r>
      <w:r>
        <w:rPr>
          <w:rFonts w:ascii="Arial" w:cs="Arial" w:eastAsia="Arial" w:hAnsi="Arial"/>
          <w:sz w:val="20"/>
          <w:szCs w:val="20"/>
          <w:color w:val="auto"/>
        </w:rPr>
        <w:t xml:space="preserve"> are presented on a basis consistent with our internal management reporting. Additional information on our reportable segments is contained in </w:t>
      </w:r>
      <w:r>
        <w:rPr>
          <w:rFonts w:ascii="Arial" w:cs="Arial" w:eastAsia="Arial" w:hAnsi="Arial"/>
          <w:sz w:val="20"/>
          <w:szCs w:val="20"/>
          <w:u w:val="single" w:color="auto"/>
          <w:color w:val="0000FF"/>
        </w:rPr>
        <w:t>Note 14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Segment Reporting</w:t>
      </w:r>
      <w:r>
        <w:rPr>
          <w:rFonts w:ascii="Arial" w:cs="Arial" w:eastAsia="Arial" w:hAnsi="Arial"/>
          <w:sz w:val="20"/>
          <w:szCs w:val="20"/>
          <w:color w:val="0000FF"/>
        </w:rPr>
        <w:t xml:space="preserve"> </w:t>
      </w:r>
      <w:r>
        <w:rPr>
          <w:rFonts w:ascii="Arial" w:cs="Arial" w:eastAsia="Arial" w:hAnsi="Arial"/>
          <w:sz w:val="20"/>
          <w:szCs w:val="20"/>
          <w:color w:val="000000"/>
        </w:rPr>
        <w:t>in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73"/>
        </w:trPr>
        <w:tc>
          <w:tcPr>
            <w:tcW w:w="4400" w:type="dxa"/>
            <w:vAlign w:val="bottom"/>
          </w:tcPr>
          <w:p>
            <w:pPr>
              <w:spacing w:after="0"/>
              <w:rPr>
                <w:sz w:val="20"/>
                <w:szCs w:val="20"/>
                <w:color w:val="auto"/>
              </w:rPr>
            </w:pPr>
            <w:r>
              <w:rPr>
                <w:rFonts w:ascii="Arial" w:cs="Arial" w:eastAsia="Arial" w:hAnsi="Arial"/>
                <w:sz w:val="20"/>
                <w:szCs w:val="20"/>
                <w:b w:val="1"/>
                <w:bCs w:val="1"/>
                <w:color w:val="auto"/>
              </w:rPr>
              <w:t>Results of Operations</w:t>
            </w: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76"/>
        </w:trPr>
        <w:tc>
          <w:tcPr>
            <w:tcW w:w="8260" w:type="dxa"/>
            <w:vAlign w:val="bottom"/>
            <w:gridSpan w:val="7"/>
          </w:tcPr>
          <w:p>
            <w:pPr>
              <w:spacing w:after="0"/>
              <w:rPr>
                <w:sz w:val="20"/>
                <w:szCs w:val="20"/>
                <w:color w:val="auto"/>
              </w:rPr>
            </w:pPr>
            <w:r>
              <w:rPr>
                <w:rFonts w:ascii="Arial" w:cs="Arial" w:eastAsia="Arial" w:hAnsi="Arial"/>
                <w:sz w:val="20"/>
                <w:szCs w:val="20"/>
                <w:color w:val="auto"/>
              </w:rPr>
              <w:t>The following table sets forth our consolidated statement of operations (dollars in thousands):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7"/>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gridSpan w:val="5"/>
          </w:tcPr>
          <w:p>
            <w:pPr>
              <w:ind w:left="160"/>
              <w:spacing w:after="0"/>
              <w:rPr>
                <w:sz w:val="20"/>
                <w:szCs w:val="20"/>
                <w:color w:val="auto"/>
              </w:rPr>
            </w:pPr>
            <w:r>
              <w:rPr>
                <w:rFonts w:ascii="Arial" w:cs="Arial" w:eastAsia="Arial" w:hAnsi="Arial"/>
                <w:sz w:val="20"/>
                <w:szCs w:val="20"/>
                <w:b w:val="1"/>
                <w:bCs w:val="1"/>
                <w:color w:val="auto"/>
              </w:rPr>
              <w:t>Three Months Ended March 31,</w:t>
            </w:r>
          </w:p>
        </w:tc>
        <w:tc>
          <w:tcPr>
            <w:tcW w:w="340" w:type="dxa"/>
            <w:vAlign w:val="bottom"/>
          </w:tcPr>
          <w:p>
            <w:pPr>
              <w:spacing w:after="0"/>
              <w:rPr>
                <w:sz w:val="24"/>
                <w:szCs w:val="24"/>
                <w:color w:val="auto"/>
              </w:rPr>
            </w:pPr>
          </w:p>
        </w:tc>
        <w:tc>
          <w:tcPr>
            <w:tcW w:w="2640" w:type="dxa"/>
            <w:vAlign w:val="bottom"/>
            <w:gridSpan w:val="3"/>
          </w:tcPr>
          <w:p>
            <w:pPr>
              <w:jc w:val="right"/>
              <w:ind w:right="441"/>
              <w:spacing w:after="0"/>
              <w:rPr>
                <w:sz w:val="20"/>
                <w:szCs w:val="20"/>
                <w:color w:val="auto"/>
              </w:rPr>
            </w:pPr>
            <w:r>
              <w:rPr>
                <w:rFonts w:ascii="Arial" w:cs="Arial" w:eastAsia="Arial" w:hAnsi="Arial"/>
                <w:sz w:val="20"/>
                <w:szCs w:val="20"/>
                <w:b w:val="1"/>
                <w:bCs w:val="1"/>
                <w:color w:val="auto"/>
              </w:rPr>
              <w:t>Increase/(Decrease)</w:t>
            </w:r>
          </w:p>
        </w:tc>
      </w:tr>
      <w:tr>
        <w:trPr>
          <w:trHeight w:val="263"/>
        </w:trPr>
        <w:tc>
          <w:tcPr>
            <w:tcW w:w="44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w:t>
            </w:r>
          </w:p>
        </w:tc>
        <w:tc>
          <w:tcPr>
            <w:tcW w:w="1300" w:type="dxa"/>
            <w:vAlign w:val="bottom"/>
            <w:tcBorders>
              <w:top w:val="single" w:sz="8" w:color="auto"/>
            </w:tcBorders>
            <w:gridSpan w:val="2"/>
          </w:tcPr>
          <w:p>
            <w:pPr>
              <w:jc w:val="right"/>
              <w:ind w:right="421"/>
              <w:spacing w:after="0"/>
              <w:rPr>
                <w:sz w:val="20"/>
                <w:szCs w:val="20"/>
                <w:color w:val="auto"/>
              </w:rPr>
            </w:pPr>
            <w:r>
              <w:rPr>
                <w:rFonts w:ascii="Arial" w:cs="Arial" w:eastAsia="Arial" w:hAnsi="Arial"/>
                <w:sz w:val="20"/>
                <w:szCs w:val="20"/>
                <w:b w:val="1"/>
                <w:bCs w:val="1"/>
                <w:color w:val="auto"/>
              </w:rPr>
              <w:t>%</w:t>
            </w:r>
          </w:p>
        </w:tc>
      </w:tr>
      <w:tr>
        <w:trPr>
          <w:trHeight w:val="25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153,403</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376,773</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(223,370)</w:t>
            </w:r>
          </w:p>
        </w:tc>
        <w:tc>
          <w:tcPr>
            <w:tcW w:w="8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44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275,594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(180,920)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(66)%</w:t>
            </w:r>
          </w:p>
        </w:tc>
      </w:tr>
      <w:tr>
        <w:trPr>
          <w:trHeight w:val="256"/>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Amortization of developed technology</w:t>
            </w: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 %</w:t>
            </w:r>
          </w:p>
        </w:tc>
      </w:tr>
      <w:tr>
        <w:trPr>
          <w:trHeight w:val="250"/>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cost of revenue</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98,313</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279,233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(180,920)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(65)%</w:t>
            </w:r>
          </w:p>
        </w:tc>
      </w:tr>
      <w:tr>
        <w:trPr>
          <w:trHeight w:val="250"/>
        </w:trPr>
        <w:tc>
          <w:tcPr>
            <w:tcW w:w="44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Gross profit</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55,090</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97,540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(42,450)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(44)%</w:t>
            </w:r>
          </w:p>
        </w:tc>
      </w:tr>
      <w:tr>
        <w:trPr>
          <w:trHeight w:val="250"/>
        </w:trPr>
        <w:tc>
          <w:tcPr>
            <w:tcW w:w="4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General and administrative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37,784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38,142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w:t>
            </w: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Change in fair value of contingent consideration</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(735)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1,338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(2,073)</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(155)%</w:t>
            </w: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9,627</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10,602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w:t>
            </w:r>
          </w:p>
        </w:tc>
      </w:tr>
      <w:tr>
        <w:trPr>
          <w:trHeight w:val="250"/>
        </w:trPr>
        <w:tc>
          <w:tcPr>
            <w:tcW w:w="44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operating expenses</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46,676</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50,082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(3,406)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(7)%</w:t>
            </w:r>
          </w:p>
        </w:tc>
      </w:tr>
      <w:tr>
        <w:trPr>
          <w:trHeight w:val="250"/>
        </w:trPr>
        <w:tc>
          <w:tcPr>
            <w:tcW w:w="4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Income from operations</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8,414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47,458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(39,044)</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(82)%</w:t>
            </w:r>
          </w:p>
        </w:tc>
      </w:tr>
      <w:tr>
        <w:trPr>
          <w:trHeight w:val="270"/>
        </w:trPr>
        <w:tc>
          <w:tcPr>
            <w:tcW w:w="4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Other income, net</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814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620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320 %</w:t>
            </w: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3,680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199 %</w:t>
            </w:r>
          </w:p>
        </w:tc>
      </w:tr>
      <w:tr>
        <w:trPr>
          <w:trHeight w:val="256"/>
        </w:trPr>
        <w:tc>
          <w:tcPr>
            <w:tcW w:w="4400" w:type="dxa"/>
            <w:vAlign w:val="bottom"/>
          </w:tcPr>
          <w:p>
            <w:pPr>
              <w:ind w:left="20"/>
              <w:spacing w:after="0"/>
              <w:rPr>
                <w:sz w:val="20"/>
                <w:szCs w:val="20"/>
                <w:color w:val="auto"/>
              </w:rPr>
            </w:pPr>
            <w:r>
              <w:rPr>
                <w:rFonts w:ascii="Arial" w:cs="Arial" w:eastAsia="Arial" w:hAnsi="Arial"/>
                <w:sz w:val="20"/>
                <w:szCs w:val="20"/>
                <w:color w:val="auto"/>
              </w:rPr>
              <w:t>Foreign currency loss</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305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157 %</w:t>
            </w: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(8,940)</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(10,731)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w:t>
            </w:r>
          </w:p>
        </w:tc>
      </w:tr>
      <w:tr>
        <w:trPr>
          <w:trHeight w:val="250"/>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 net</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(48)%</w:t>
            </w:r>
          </w:p>
        </w:tc>
      </w:tr>
      <w:tr>
        <w:trPr>
          <w:trHeight w:val="250"/>
        </w:trPr>
        <w:tc>
          <w:tcPr>
            <w:tcW w:w="4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6"/>
        </w:trPr>
        <w:tc>
          <w:tcPr>
            <w:tcW w:w="4400" w:type="dxa"/>
            <w:vAlign w:val="bottom"/>
          </w:tcPr>
          <w:p>
            <w:pPr>
              <w:ind w:left="20"/>
              <w:spacing w:after="0"/>
              <w:rPr>
                <w:sz w:val="20"/>
                <w:szCs w:val="20"/>
                <w:color w:val="auto"/>
              </w:rPr>
            </w:pPr>
            <w:r>
              <w:rPr>
                <w:rFonts w:ascii="Arial" w:cs="Arial" w:eastAsia="Arial" w:hAnsi="Arial"/>
                <w:sz w:val="20"/>
                <w:szCs w:val="20"/>
                <w:color w:val="auto"/>
              </w:rPr>
              <w:t>Income before income tax expense</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3,469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37,958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(34,489)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(91)%</w:t>
            </w: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1,304</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8,323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(84)%</w:t>
            </w:r>
          </w:p>
        </w:tc>
      </w:tr>
      <w:tr>
        <w:trPr>
          <w:trHeight w:val="250"/>
        </w:trPr>
        <w:tc>
          <w:tcPr>
            <w:tcW w:w="440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2,165</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29,635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(27,470)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(93)%</w:t>
            </w: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16" w:lineRule="exact"/>
        <w:rPr>
          <w:sz w:val="20"/>
          <w:szCs w:val="20"/>
          <w:color w:val="auto"/>
        </w:rPr>
      </w:pPr>
    </w:p>
    <w:p>
      <w:pPr>
        <w:ind w:right="800"/>
        <w:spacing w:after="0" w:line="273"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5"/>
          </w:tcPr>
          <w:p>
            <w:pPr>
              <w:ind w:left="140"/>
              <w:spacing w:after="0"/>
              <w:rPr>
                <w:sz w:val="20"/>
                <w:szCs w:val="20"/>
                <w:color w:val="auto"/>
              </w:rPr>
            </w:pPr>
            <w:r>
              <w:rPr>
                <w:rFonts w:ascii="Arial" w:cs="Arial" w:eastAsia="Arial" w:hAnsi="Arial"/>
                <w:sz w:val="20"/>
                <w:szCs w:val="20"/>
                <w:b w:val="1"/>
                <w:bCs w:val="1"/>
                <w:color w:val="auto"/>
              </w:rPr>
              <w:t>Three Months Ended March 31,</w:t>
            </w:r>
          </w:p>
        </w:tc>
        <w:tc>
          <w:tcPr>
            <w:tcW w:w="340" w:type="dxa"/>
            <w:vAlign w:val="bottom"/>
          </w:tcPr>
          <w:p>
            <w:pPr>
              <w:spacing w:after="0"/>
              <w:rPr>
                <w:sz w:val="23"/>
                <w:szCs w:val="23"/>
                <w:color w:val="auto"/>
              </w:rPr>
            </w:pPr>
          </w:p>
        </w:tc>
        <w:tc>
          <w:tcPr>
            <w:tcW w:w="2640" w:type="dxa"/>
            <w:vAlign w:val="bottom"/>
            <w:gridSpan w:val="3"/>
          </w:tcPr>
          <w:p>
            <w:pPr>
              <w:jc w:val="right"/>
              <w:ind w:right="560"/>
              <w:spacing w:after="0"/>
              <w:rPr>
                <w:sz w:val="20"/>
                <w:szCs w:val="20"/>
                <w:color w:val="auto"/>
              </w:rPr>
            </w:pPr>
            <w:r>
              <w:rPr>
                <w:rFonts w:ascii="Arial" w:cs="Arial" w:eastAsia="Arial" w:hAnsi="Arial"/>
                <w:sz w:val="20"/>
                <w:szCs w:val="20"/>
                <w:b w:val="1"/>
                <w:bCs w:val="1"/>
                <w:color w:val="auto"/>
              </w:rPr>
              <w:t>Increase/(Decrease)</w:t>
            </w:r>
          </w:p>
        </w:tc>
      </w:tr>
      <w:tr>
        <w:trPr>
          <w:trHeight w:val="263"/>
        </w:trPr>
        <w:tc>
          <w:tcPr>
            <w:tcW w:w="44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w:t>
            </w:r>
          </w:p>
        </w:tc>
        <w:tc>
          <w:tcPr>
            <w:tcW w:w="13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20"/>
                <w:szCs w:val="20"/>
                <w:b w:val="1"/>
                <w:bCs w:val="1"/>
                <w:color w:val="auto"/>
              </w:rPr>
              <w:t>%</w:t>
            </w:r>
          </w:p>
        </w:tc>
      </w:tr>
      <w:tr>
        <w:trPr>
          <w:trHeight w:val="237"/>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8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56"/>
        </w:trPr>
        <w:tc>
          <w:tcPr>
            <w:tcW w:w="4400" w:type="dxa"/>
            <w:vAlign w:val="bottom"/>
          </w:tcPr>
          <w:p>
            <w:pPr>
              <w:ind w:left="240"/>
              <w:spacing w:after="0"/>
              <w:rPr>
                <w:sz w:val="20"/>
                <w:szCs w:val="20"/>
                <w:color w:val="auto"/>
              </w:rPr>
            </w:pPr>
            <w:r>
              <w:rPr>
                <w:rFonts w:ascii="Arial" w:cs="Arial" w:eastAsia="Arial" w:hAnsi="Arial"/>
                <w:sz w:val="20"/>
                <w:szCs w:val="20"/>
                <w:color w:val="auto"/>
              </w:rPr>
              <w:t>Array Legacy Operations</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114,381</w:t>
            </w:r>
          </w:p>
        </w:tc>
        <w:tc>
          <w:tcPr>
            <w:tcW w:w="8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305,204</w:t>
            </w:r>
          </w:p>
        </w:tc>
        <w:tc>
          <w:tcPr>
            <w:tcW w:w="8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(190,823)</w:t>
            </w:r>
          </w:p>
        </w:tc>
        <w:tc>
          <w:tcPr>
            <w:tcW w:w="1300" w:type="dxa"/>
            <w:vAlign w:val="bottom"/>
            <w:gridSpan w:val="2"/>
          </w:tcPr>
          <w:p>
            <w:pPr>
              <w:jc w:val="right"/>
              <w:ind w:right="20"/>
              <w:spacing w:after="0"/>
              <w:rPr>
                <w:sz w:val="20"/>
                <w:szCs w:val="20"/>
                <w:color w:val="auto"/>
              </w:rPr>
            </w:pPr>
            <w:r>
              <w:rPr>
                <w:rFonts w:ascii="Arial" w:cs="Arial" w:eastAsia="Arial" w:hAnsi="Arial"/>
                <w:sz w:val="20"/>
                <w:szCs w:val="20"/>
                <w:color w:val="auto"/>
              </w:rPr>
              <w:t>(63)%</w:t>
            </w:r>
          </w:p>
        </w:tc>
      </w:tr>
      <w:tr>
        <w:trPr>
          <w:trHeight w:val="257"/>
        </w:trPr>
        <w:tc>
          <w:tcPr>
            <w:tcW w:w="44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39,022</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71,569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(32,547)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(45)%</w:t>
            </w:r>
          </w:p>
        </w:tc>
      </w:tr>
      <w:tr>
        <w:trPr>
          <w:trHeight w:val="250"/>
        </w:trPr>
        <w:tc>
          <w:tcPr>
            <w:tcW w:w="4400" w:type="dxa"/>
            <w:vAlign w:val="bottom"/>
          </w:tcPr>
          <w:p>
            <w:pPr>
              <w:ind w:left="2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153,403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376,773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(223,370)</w:t>
            </w:r>
          </w:p>
        </w:tc>
        <w:tc>
          <w:tcPr>
            <w:tcW w:w="1300" w:type="dxa"/>
            <w:vAlign w:val="bottom"/>
            <w:gridSpan w:val="2"/>
          </w:tcPr>
          <w:p>
            <w:pPr>
              <w:jc w:val="right"/>
              <w:ind w:right="20"/>
              <w:spacing w:after="0"/>
              <w:rPr>
                <w:sz w:val="20"/>
                <w:szCs w:val="20"/>
                <w:color w:val="auto"/>
              </w:rPr>
            </w:pPr>
            <w:r>
              <w:rPr>
                <w:rFonts w:ascii="Arial" w:cs="Arial" w:eastAsia="Arial" w:hAnsi="Arial"/>
                <w:sz w:val="20"/>
                <w:szCs w:val="20"/>
                <w:color w:val="auto"/>
              </w:rPr>
              <w:t>(59)%</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44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Array Legacy Operations</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49,086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79,835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(39)%</w:t>
            </w:r>
          </w:p>
        </w:tc>
      </w:tr>
      <w:tr>
        <w:trPr>
          <w:trHeight w:val="256"/>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6,004</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17,705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(11,701)</w:t>
            </w:r>
          </w:p>
        </w:tc>
        <w:tc>
          <w:tcPr>
            <w:tcW w:w="13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(66)%</w:t>
            </w:r>
          </w:p>
        </w:tc>
      </w:tr>
      <w:tr>
        <w:trPr>
          <w:trHeight w:val="27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55,090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97,540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(42,450)</w:t>
            </w: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(44)%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Comparison of the three months ended March 31, 2024 and 2023</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Consolidated revenue decreased, $223.4 million, or 59%, driven by a decrease at STI Operations of $32.5 million and a decrease at Array Legacy Operations of $190.8 million.</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$32.5 million, or 45%, revenue decrease at STI Operations was driven by a volume decrease of 41% and an ASP decrease on lower input costs of 4%.</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$190.8 million, or 63%, revenue decrease at Array Legacy Operations was driven by a volume decrease of 60% and an ASP decrease on lower input costs of 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Consolidated cost of revenue decreased by $180.9 million, or 65%, driven primarily by the reduction in volume combined with a decrease in input costs.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gross profit decreased by $42.5 million, or 44%. As a percentage of revenue, consolidated gross profit increased to 36% for the three months ended March 31, 2024, as compared to 26% during the same period in the prior year. The increase in gross profit as a percent of revenue was driven by structural cost enhancements and the realization of 45X benefits associated with our torque tube. The Company also recognized a one-time $4.0 million settlement with one of its vendors during the first quarter as a reduction of Cost of revenue.</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Array Legacy Operations gross profit decreased by $30.7 million, or 39%. As a percentage of revenue, gross profit at Array Legacy Operations increased to 43% from 26% for the three months ended March 31, 2024 and 2023, respectively. The increase in gross profit as a percent of revenue was driven by structural cost enhancements and the realization of 45X benefits associated with our torque tube. The Company also recognized a one-time $4.0 million settlement with one of its vendors during the first quarter as a reduction of Cost of revenue.</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decreased by $11.7 million, or 66%. As a percentage of revenue, gross profit for STI Operations decreased to 15% from 25% for the three months ended March 31, 2024 and 2023, respectively, driven primarily by changes in statutory reductions from incentive tax credits in Brazil, as well as expedite fees we incurred to meet customer delivery schedules.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general and administrative expenses decreased by $0.4 million, or 1%. The decrease was was primarily due to lower professional and consulting fees primarily driven by our initiative to internalize activities that were historically outsourced in an effort to reduce fees.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Change in the fair value of contingent consideration resulted in a gain of $0.7 million, for the three months ended March 31, 2024, due to the fair value remeasurement of the TRA liability, primarily driven by an increase in the discount rate used in the valuation.</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depreciation and amortization expense decreased by $1.0 million, or 9%, due to the decrease in the amortization of intangibles of $ 1.0 million, driven by a subset of intangible assets acquired in January 2022, becoming fully amortized during the first quarter of 2023.</w:t>
      </w: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21" w:lineRule="exact"/>
        <w:rPr>
          <w:sz w:val="20"/>
          <w:szCs w:val="20"/>
          <w:color w:val="auto"/>
        </w:rPr>
      </w:pPr>
    </w:p>
    <w:p>
      <w:pPr>
        <w:ind w:right="1660"/>
        <w:spacing w:after="0" w:line="300" w:lineRule="auto"/>
        <w:rPr>
          <w:sz w:val="20"/>
          <w:szCs w:val="20"/>
          <w:color w:val="auto"/>
        </w:rPr>
      </w:pPr>
      <w:r>
        <w:rPr>
          <w:rFonts w:ascii="Arial" w:cs="Arial" w:eastAsia="Arial" w:hAnsi="Arial"/>
          <w:sz w:val="20"/>
          <w:szCs w:val="20"/>
          <w:color w:val="auto"/>
        </w:rPr>
        <w:t>Consolidated interest income increased by $2.4 million, or 199%, as compared to the prior year, due to higher cash on hand during the first quarter of 2024, coupled with higher interest rates.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interest expense decreased by $1.8 million, or 17%, primarily due to $74.3 million of principal pay downs on our Term Loan during 2023, as a result of focused efforts to decrease our outstanding debt balance with free cash flows from operations.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Consolidated income tax decreased by $7.0 million, or 84%. The Company recorded income tax expense of $1.3 million for the three months ended March 31, 2024, compared to an expense of $8.3 million for the three months ended March 31, 2023. Our effective tax rate was 37.6% and 21.9% for the three months ended March 31, 2024 and 2023, respectively. The income tax expense for the three months ended March 31, 2024, was impacted by legislation in Brazil which resulted in a local tax incentive no longer being exempt from federal income tax beginning in 2024. Additionally, tax expense of $0.4 million was recorded discretely during the quarter related to equity-based compensation. The tax expense for the three months ended March 31, 2023, was unfavorably impacted by higher income reported in non-U.S. jurisdictions, offset by a tax benefit of $0.4 million related to excess equity-based compensation deductions recorded discretely during the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39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3900" w:type="dxa"/>
            <w:vAlign w:val="bottom"/>
            <w:tcBorders>
              <w:bottom w:val="single" w:sz="8" w:color="auto"/>
            </w:tcBorders>
            <w:gridSpan w:val="4"/>
            <w:vMerge w:val="continue"/>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2024</w:t>
            </w: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2023</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operating activities</w:t>
            </w:r>
          </w:p>
        </w:tc>
        <w:tc>
          <w:tcPr>
            <w:tcW w:w="1520" w:type="dxa"/>
            <w:vAlign w:val="bottom"/>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47,502</w:t>
            </w:r>
          </w:p>
        </w:tc>
        <w:tc>
          <w:tcPr>
            <w:tcW w:w="156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45,816</w:t>
            </w:r>
          </w:p>
        </w:tc>
        <w:tc>
          <w:tcPr>
            <w:tcW w:w="0" w:type="dxa"/>
            <w:vAlign w:val="bottom"/>
          </w:tcPr>
          <w:p>
            <w:pPr>
              <w:spacing w:after="0"/>
              <w:rPr>
                <w:sz w:val="1"/>
                <w:szCs w:val="1"/>
                <w:color w:val="auto"/>
              </w:rPr>
            </w:pP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(2,386)</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(3,883)</w:t>
            </w:r>
          </w:p>
        </w:tc>
        <w:tc>
          <w:tcPr>
            <w:tcW w:w="0" w:type="dxa"/>
            <w:vAlign w:val="bottom"/>
          </w:tcPr>
          <w:p>
            <w:pPr>
              <w:spacing w:after="0"/>
              <w:rPr>
                <w:sz w:val="1"/>
                <w:szCs w:val="1"/>
                <w:color w:val="auto"/>
              </w:rPr>
            </w:pP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1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(4,575)</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(23,762)</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(2,001)</w:t>
            </w:r>
          </w:p>
        </w:tc>
        <w:tc>
          <w:tcPr>
            <w:tcW w:w="8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(4,316)</w:t>
            </w:r>
          </w:p>
        </w:tc>
        <w:tc>
          <w:tcPr>
            <w:tcW w:w="0" w:type="dxa"/>
            <w:vAlign w:val="bottom"/>
          </w:tcPr>
          <w:p>
            <w:pPr>
              <w:spacing w:after="0"/>
              <w:rPr>
                <w:sz w:val="1"/>
                <w:szCs w:val="1"/>
                <w:color w:val="auto"/>
              </w:rPr>
            </w:pPr>
          </w:p>
        </w:tc>
      </w:tr>
      <w:tr>
        <w:trPr>
          <w:trHeight w:val="29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520" w:type="dxa"/>
            <w:vAlign w:val="bottom"/>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38,540</w:t>
            </w:r>
          </w:p>
        </w:tc>
        <w:tc>
          <w:tcPr>
            <w:tcW w:w="1560" w:type="dxa"/>
            <w:vAlign w:val="bottom"/>
            <w:gridSpan w:val="2"/>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13,855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historically financed our operations primarily with the proceeds from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will be sufficient to meet our future cash needs.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of March 31, 2024, our cash balance was $287.6 million, of which $ 69.2 million was held outside the U.S., and net working capital was $490.8 million. We had outstanding borrowings of $237.1 million under our $575 million Term Loan Facility and $179.0 million available to us under our $200 million Revolving Credit Facility.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For the three months ended March 31, 2024, cash provided by operating activities was $47.5 million, of which $21.0 million was generated from net income as adjusted for the impact of non-cash expenses, consisting primarily of depreciation and amortization, equity-based compensation, and amortization of developed technology.</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For the three months ended March 31, 2023, cash provided by operating activities was $45.8 million, of which $57.2 million was generated from net income as adjusted for the impact of non-cash expenses, consisting primarily of depreciation and amortization, deferred tax expense and equity-based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3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For the three months ended March 31, 2024, net cash used in investing activities was $2.4 million, all of which was related to the purchase of property, plant and equipment, net of dispositions.</w:t>
      </w:r>
    </w:p>
    <w:p>
      <w:pPr>
        <w:spacing w:after="0" w:line="18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For the three months ended March 31, 2023, net cash used in investing activities was $3.9 million, all of which was related to the purchase of property, plant and equipment.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three months ended March 31, 2024, net cash used in financing activities was $4.6 million, driven primarily by a $3.8 million net reduction of other debt and $1.1 million in payments on our Term Loan, as well as a $1.4 million TRA payment issued during the first quarter of 2024.</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For the three months ended March 31, 2023, net cash used in financing activities was $23.8 million, driven primarily by $11.1 million in payments on our Term Loan and a $10.7 million net reduction of other debt.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August 10, 2021, we entered into a Securities Purchase Agreement (the “Securities Purchase Agreement”) with certain investors (the “Purchasers”). Pursuant to the Securities Purchase Agreement, on August 11, 2021, we issued and sold to the Purchaser 350,000 shares of a newly designated Series A Redeemable Perpetual Preferred Stock, par value $0.001 per share (the “Series A Shares”), having the powers, designations, preferences, and other rights set forth in the Certificate of Designations, and 7,098,765 shares of our common stock, par value $0.001 per share, for an aggregate purchase price of $346.0 million. Further, pursuant to the Securities Purchase Agreement, and subject to the terms and conditions set forth therein, as amended, we have issued and sold to the Purchasers 776,235 shares of common stock for an aggregate purchase price of $776.</w:t>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In January 2022, we issued 50,000 of Series A Shares, and 1,125,000 shares of our common stock in the Additional Closing for an aggregate purchase price of $49.4 million.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8 – Redeemable Perpetual Preferred Stock</w:t>
      </w:r>
      <w:r>
        <w:rPr>
          <w:rFonts w:ascii="Arial" w:cs="Arial" w:eastAsia="Arial" w:hAnsi="Arial"/>
          <w:sz w:val="20"/>
          <w:szCs w:val="20"/>
          <w:color w:val="auto"/>
        </w:rPr>
        <w:t>,” to the accompanying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7 – Debt</w:t>
      </w:r>
      <w:r>
        <w:rPr>
          <w:rFonts w:ascii="Arial" w:cs="Arial" w:eastAsia="Arial" w:hAnsi="Arial"/>
          <w:sz w:val="20"/>
          <w:szCs w:val="20"/>
          <w:color w:val="auto"/>
        </w:rPr>
        <w:t xml:space="preserve"> to our condensed consolidated financial statements included in this Quarterly Report.</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As of March 31, 2024, we posted surety bonds in the total amount of approximately $173.5 million. These off-balance sheet arrangements do not adversely impact our liquidity or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condensed consolidated financial statements are prepared in accordance with accounting principles generally accepted in the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Fair Value of Financial Instruments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capped call option agreements associated with conversion of the Convertible Notes (the “Capped Calls”) are accounted for as an asset that is recorded at fair value within Derivative assets in the consolidated balance sheets. The changes in fair value to Derivative assets are recorded within change in fair value of derivative assets in the Condensed Consolidated Statements of Operations. See </w:t>
      </w:r>
      <w:r>
        <w:rPr>
          <w:rFonts w:ascii="Arial" w:cs="Arial" w:eastAsia="Arial" w:hAnsi="Arial"/>
          <w:sz w:val="20"/>
          <w:szCs w:val="20"/>
          <w:u w:val="single" w:color="auto"/>
          <w:color w:val="0000FF"/>
        </w:rPr>
        <w:t>Note 1 – Organization, Business and Out of Period Adjustments</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Note 2 – Summary of Significant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Accounting Policies</w:t>
      </w:r>
      <w:r>
        <w:rPr>
          <w:rFonts w:ascii="Arial" w:cs="Arial" w:eastAsia="Arial" w:hAnsi="Arial"/>
          <w:sz w:val="20"/>
          <w:szCs w:val="20"/>
          <w:color w:val="000000"/>
        </w:rPr>
        <w:t>, of the condensed consolidated financial statements for further information regarding the accounting of</w:t>
      </w:r>
      <w:r>
        <w:rPr>
          <w:rFonts w:ascii="Arial" w:cs="Arial" w:eastAsia="Arial" w:hAnsi="Arial"/>
          <w:sz w:val="20"/>
          <w:szCs w:val="20"/>
          <w:color w:val="0000FF"/>
        </w:rPr>
        <w:t xml:space="preserve"> </w:t>
      </w:r>
      <w:r>
        <w:rPr>
          <w:rFonts w:ascii="Arial" w:cs="Arial" w:eastAsia="Arial" w:hAnsi="Arial"/>
          <w:sz w:val="20"/>
          <w:szCs w:val="20"/>
          <w:color w:val="000000"/>
        </w:rPr>
        <w:t>these instruments.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Capped Calls are valued using a Black-Scholes model, with the most judgmental non-observable input being the volatility measure. Changes in the assumptions around the volatility can cause significant changes in the estimated fair value of the Capped Call.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245"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color w:val="auto"/>
        </w:rPr>
        <w:t>There have been no material changes to the information previously provided under Item 7A. of our 2023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March 31, 2024. Based upon the evaluation, our Chief Executive Officer and Chief Financial Officer concluded that, as of such date, our disclosure controls and procedures were not effective at a reasonable assurance level, due to the material weaknesses previously reported in Part II, Item 9A. “Controls and Procedures” of our Annual Report on Form 10-K for the year ended December 31, 2023, as described below.</w:t>
      </w:r>
    </w:p>
    <w:p>
      <w:pPr>
        <w:spacing w:after="0" w:line="202" w:lineRule="exact"/>
        <w:rPr>
          <w:sz w:val="20"/>
          <w:szCs w:val="20"/>
          <w:color w:val="auto"/>
        </w:rPr>
      </w:pPr>
    </w:p>
    <w:p>
      <w:pPr>
        <w:jc w:val="both"/>
        <w:ind w:left="660" w:hanging="328"/>
        <w:spacing w:after="0" w:line="269"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spacing w:after="0" w:line="210" w:lineRule="exact"/>
        <w:rPr>
          <w:rFonts w:ascii="Arial" w:cs="Arial" w:eastAsia="Arial" w:hAnsi="Arial"/>
          <w:sz w:val="20"/>
          <w:szCs w:val="20"/>
          <w:color w:val="auto"/>
        </w:rPr>
      </w:pPr>
    </w:p>
    <w:p>
      <w:pPr>
        <w:jc w:val="both"/>
        <w:ind w:left="660" w:hanging="328"/>
        <w:spacing w:after="0" w:line="265"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Previously Identified Material Weaknesses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are actively focusing on effectively strengthening our ICFR and remediating our material weaknesses by designing and implementing the following actions: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i w:val="1"/>
          <w:iCs w:val="1"/>
          <w:color w:val="auto"/>
        </w:rPr>
        <w:t xml:space="preserve">Control Environment component of the COSO framework – </w:t>
      </w:r>
      <w:r>
        <w:rPr>
          <w:rFonts w:ascii="Arial" w:cs="Arial" w:eastAsia="Arial" w:hAnsi="Arial"/>
          <w:sz w:val="20"/>
          <w:szCs w:val="20"/>
          <w:color w:val="auto"/>
        </w:rPr>
        <w:t>We have hired additional qualified resources in finance and</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since the beginning of 2024, including a Finance executive, Corporate Controller. We have also realigned the accounting functions to strengthen the performance of controls and, enhancing monitoring activities.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7" w:name="page48"/>
    <w:bookmarkEnd w:id="47"/>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Control Activities – (STI): During Q2 2024, we implemented an Enterprise Resource Planning system (“ERP”) for our operations in Brazil, which will result in our ability to implement automated controls and General Information Technology Controls, allowing for less reliance on manual controls.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are developing monitoring controls and protocols that will allow us to timely assess the design and the operating effectiveness of controls over financial reporting and make necessary changes to the design of controls. We expect to deploy the final phase of enhancements during the second half of 2024.</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steps involved to remediate the material weaknesses are subject to ongoing management review, as well as oversight by the audit committee of our board of directors. Additional or modified measures may also be required to remediate the material weaknesses. We will not be able to conclude that we have completely remediated the material weaknesses until the applicable controls are fully implemented and have operated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quarter ended March 31, 2024, except for the changes discussed above, there have been no other changes in the Company’s internal control over financial reporting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See </w:t>
      </w:r>
      <w:r>
        <w:rPr>
          <w:rFonts w:ascii="Arial" w:cs="Arial" w:eastAsia="Arial" w:hAnsi="Arial"/>
          <w:sz w:val="19"/>
          <w:szCs w:val="19"/>
          <w:u w:val="single" w:color="auto"/>
          <w:color w:val="0000FF"/>
        </w:rPr>
        <w:t>Note 11 – Commitments and Contingencies</w:t>
      </w:r>
      <w:r>
        <w:rPr>
          <w:rFonts w:ascii="Arial" w:cs="Arial" w:eastAsia="Arial" w:hAnsi="Arial"/>
          <w:sz w:val="19"/>
          <w:szCs w:val="19"/>
          <w:color w:val="auto"/>
        </w:rPr>
        <w:t xml:space="preserve"> under the heading “Legal Proceedings” of our condensed consolidated financial statements for legal proceedings and related matters. In addition to the lawsuits described in Note 11 to our condensed consolidated financial statements, from time to time we may be involved in claims arising in the ordinary course of business. To our knowledge, other than the cases described in Note 11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69" w:lineRule="auto"/>
        <w:rPr>
          <w:rFonts w:ascii="Arial" w:cs="Arial" w:eastAsia="Arial" w:hAnsi="Arial"/>
          <w:sz w:val="20"/>
          <w:szCs w:val="20"/>
          <w:color w:val="0000FF"/>
        </w:rPr>
      </w:pPr>
      <w:r>
        <w:rPr>
          <w:rFonts w:ascii="Arial" w:cs="Arial" w:eastAsia="Arial" w:hAnsi="Arial"/>
          <w:sz w:val="20"/>
          <w:szCs w:val="20"/>
          <w:color w:val="auto"/>
        </w:rPr>
        <w:t xml:space="preserve">Except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 Financial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Condition and Results of Operations”</w:t>
      </w:r>
      <w:r>
        <w:rPr>
          <w:rFonts w:ascii="Arial" w:cs="Arial" w:eastAsia="Arial" w:hAnsi="Arial"/>
          <w:sz w:val="20"/>
          <w:szCs w:val="20"/>
          <w:color w:val="000000"/>
        </w:rPr>
        <w:t>) there were no material changes to the risk factors disclosed in Part I, Item 1A, in our</w:t>
      </w:r>
      <w:r>
        <w:rPr>
          <w:rFonts w:ascii="Arial" w:cs="Arial" w:eastAsia="Arial" w:hAnsi="Arial"/>
          <w:sz w:val="20"/>
          <w:szCs w:val="20"/>
          <w:color w:val="0000FF"/>
        </w:rPr>
        <w:t xml:space="preserve"> </w:t>
      </w:r>
      <w:hyperlink r:id="rId79">
        <w:r>
          <w:rPr>
            <w:rFonts w:ascii="Arial" w:cs="Arial" w:eastAsia="Arial" w:hAnsi="Arial"/>
            <w:sz w:val="20"/>
            <w:szCs w:val="20"/>
            <w:u w:val="single" w:color="auto"/>
            <w:color w:val="0000FF"/>
          </w:rPr>
          <w:t>2023</w:t>
        </w:r>
      </w:hyperlink>
      <w:r>
        <w:rPr>
          <w:rFonts w:ascii="Arial" w:cs="Arial" w:eastAsia="Arial" w:hAnsi="Arial"/>
          <w:sz w:val="20"/>
          <w:szCs w:val="20"/>
          <w:color w:val="0000FF"/>
        </w:rPr>
        <w:t xml:space="preserve"> </w:t>
      </w:r>
      <w:hyperlink r:id="rId79">
        <w:r>
          <w:rPr>
            <w:rFonts w:ascii="Arial" w:cs="Arial" w:eastAsia="Arial" w:hAnsi="Arial"/>
            <w:sz w:val="20"/>
            <w:szCs w:val="20"/>
            <w:u w:val="single" w:color="auto"/>
            <w:color w:val="0000FF"/>
          </w:rPr>
          <w:t>Annual Report</w:t>
        </w:r>
      </w:hyperlink>
      <w:r>
        <w:rPr>
          <w:rFonts w:ascii="Arial" w:cs="Arial" w:eastAsia="Arial" w:hAnsi="Arial"/>
          <w:sz w:val="20"/>
          <w:szCs w:val="20"/>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On March 21, 2024, our Chief Executive Officer, Kevin Hostetler, terminated his Rule 10b5-1 trading arrangement which was adopted on September 5, 2023 and further described in our Quarterly Report on Form 10-Q for the three months ended September 30,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06"/>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10"/>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9"/>
            <w:shd w:val="clear" w:color="auto" w:fill="CCEEFF"/>
          </w:tcPr>
          <w:p>
            <w:pPr>
              <w:spacing w:after="0" w:line="196" w:lineRule="exact"/>
              <w:rPr>
                <w:rFonts w:ascii="Arial" w:cs="Arial" w:eastAsia="Arial" w:hAnsi="Arial"/>
                <w:sz w:val="20"/>
                <w:szCs w:val="20"/>
                <w:color w:val="0000FF"/>
              </w:rPr>
            </w:pPr>
            <w:hyperlink r:id="rId81">
              <w:r>
                <w:rPr>
                  <w:rFonts w:ascii="Arial" w:cs="Arial" w:eastAsia="Arial" w:hAnsi="Arial"/>
                  <w:sz w:val="20"/>
                  <w:szCs w:val="20"/>
                  <w:color w:val="0000FF"/>
                </w:rPr>
                <w:t>Amended and Restated Certificate of Incorporation of Array</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0000FF"/>
            </w:tcBorders>
            <w:gridSpan w:val="5"/>
            <w:shd w:val="clear" w:color="auto" w:fill="CCEEFF"/>
          </w:tcPr>
          <w:p>
            <w:pPr>
              <w:spacing w:after="0" w:line="183" w:lineRule="exact"/>
              <w:rPr>
                <w:rFonts w:ascii="Arial" w:cs="Arial" w:eastAsia="Arial" w:hAnsi="Arial"/>
                <w:sz w:val="20"/>
                <w:szCs w:val="20"/>
                <w:color w:val="0000FF"/>
              </w:rPr>
            </w:pPr>
            <w:hyperlink r:id="rId81">
              <w:r>
                <w:rPr>
                  <w:rFonts w:ascii="Arial" w:cs="Arial" w:eastAsia="Arial" w:hAnsi="Arial"/>
                  <w:sz w:val="20"/>
                  <w:szCs w:val="20"/>
                  <w:color w:val="0000FF"/>
                </w:rPr>
                <w:t>Technologies, Inc., dated October 19, 2020</w:t>
              </w:r>
            </w:hyperlink>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rFonts w:ascii="Arial" w:cs="Arial" w:eastAsia="Arial" w:hAnsi="Arial"/>
                <w:sz w:val="20"/>
                <w:szCs w:val="20"/>
                <w:color w:val="0000FF"/>
              </w:rPr>
            </w:pPr>
            <w:hyperlink r:id="rId82">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5"/>
          </w:tcPr>
          <w:p>
            <w:pPr>
              <w:spacing w:after="0" w:line="183" w:lineRule="exact"/>
              <w:rPr>
                <w:rFonts w:ascii="Arial" w:cs="Arial" w:eastAsia="Arial" w:hAnsi="Arial"/>
                <w:sz w:val="20"/>
                <w:szCs w:val="20"/>
                <w:color w:val="0000FF"/>
              </w:rPr>
            </w:pPr>
            <w:hyperlink r:id="rId82">
              <w:r>
                <w:rPr>
                  <w:rFonts w:ascii="Arial" w:cs="Arial" w:eastAsia="Arial" w:hAnsi="Arial"/>
                  <w:sz w:val="20"/>
                  <w:szCs w:val="20"/>
                  <w:color w:val="0000FF"/>
                </w:rPr>
                <w:t>dated October 19, 2020</w:t>
              </w:r>
            </w:hyperlink>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154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0000FF"/>
            </w:tcBorders>
            <w:gridSpan w:val="7"/>
            <w:shd w:val="clear" w:color="auto" w:fill="CCEEFF"/>
          </w:tcPr>
          <w:p>
            <w:pPr>
              <w:spacing w:after="0" w:line="216" w:lineRule="exact"/>
              <w:rPr>
                <w:rFonts w:ascii="Arial" w:cs="Arial" w:eastAsia="Arial" w:hAnsi="Arial"/>
                <w:sz w:val="20"/>
                <w:szCs w:val="20"/>
                <w:color w:val="0000FF"/>
                <w:w w:val="98"/>
              </w:rPr>
            </w:pPr>
            <w:hyperlink r:id="rId83">
              <w:r>
                <w:rPr>
                  <w:rFonts w:ascii="Arial" w:cs="Arial" w:eastAsia="Arial" w:hAnsi="Arial"/>
                  <w:sz w:val="20"/>
                  <w:szCs w:val="20"/>
                  <w:color w:val="0000FF"/>
                  <w:w w:val="98"/>
                </w:rPr>
                <w:t>Certificate of Designations of Series A Perpetual Preferred Stock</w:t>
              </w:r>
            </w:hyperlink>
          </w:p>
        </w:tc>
        <w:tc>
          <w:tcPr>
            <w:tcW w:w="160" w:type="dxa"/>
            <w:vAlign w:val="bottom"/>
            <w:tcBorders>
              <w:bottom w:val="single" w:sz="8" w:color="CCEEFF"/>
            </w:tcBorders>
            <w:gridSpan w:val="3"/>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5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6"/>
              </w:rPr>
              <w:t>8/11/2021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400"/>
              <w:spacing w:after="0" w:line="216" w:lineRule="exact"/>
              <w:rPr>
                <w:sz w:val="20"/>
                <w:szCs w:val="20"/>
                <w:color w:val="auto"/>
              </w:rPr>
            </w:pPr>
            <w:r>
              <w:rPr>
                <w:rFonts w:ascii="Arial" w:cs="Arial" w:eastAsia="Arial" w:hAnsi="Arial"/>
                <w:sz w:val="20"/>
                <w:szCs w:val="20"/>
                <w:color w:val="auto"/>
              </w:rPr>
              <w:t>3.1</w:t>
            </w: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8"/>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1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0000FF"/>
              <w:bottom w:val="single" w:sz="8" w:color="0000FF"/>
            </w:tcBorders>
            <w:gridSpan w:val="4"/>
            <w:shd w:val="clear" w:color="auto" w:fill="CCEEFF"/>
          </w:tcPr>
          <w:p>
            <w:pPr>
              <w:spacing w:after="0" w:line="183" w:lineRule="exact"/>
              <w:rPr>
                <w:sz w:val="20"/>
                <w:szCs w:val="20"/>
                <w:color w:val="auto"/>
              </w:rPr>
            </w:pPr>
            <w:r>
              <w:rPr>
                <w:rFonts w:ascii="Arial" w:cs="Arial" w:eastAsia="Arial" w:hAnsi="Arial"/>
                <w:sz w:val="20"/>
                <w:szCs w:val="20"/>
                <w:color w:val="0000FF"/>
                <w:w w:val="98"/>
              </w:rPr>
              <w:t>302 of the Sarbanes- Oxley Act of 2002 (18 U.S.C. 1350)</w:t>
            </w:r>
          </w:p>
        </w:tc>
        <w:tc>
          <w:tcPr>
            <w:tcW w:w="66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8"/>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1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6"/>
            <w:shd w:val="clear" w:color="auto" w:fill="CCEEFF"/>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80" w:type="dxa"/>
            <w:vAlign w:val="bottom"/>
            <w:tcBorders>
              <w:top w:val="single" w:sz="8" w:color="CCEEFF"/>
            </w:tcBorders>
            <w:gridSpan w:val="4"/>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1660" w:type="dxa"/>
            <w:vAlign w:val="bottom"/>
            <w:gridSpan w:val="2"/>
          </w:tcPr>
          <w:p>
            <w:pPr>
              <w:ind w:left="420"/>
              <w:spacing w:after="0" w:line="194" w:lineRule="exact"/>
              <w:rPr>
                <w:sz w:val="20"/>
                <w:szCs w:val="20"/>
                <w:color w:val="auto"/>
              </w:rPr>
            </w:pPr>
            <w:r>
              <w:rPr>
                <w:rFonts w:ascii="Arial" w:cs="Arial" w:eastAsia="Arial" w:hAnsi="Arial"/>
                <w:sz w:val="20"/>
                <w:szCs w:val="20"/>
                <w:color w:val="auto"/>
              </w:rPr>
              <w:t>101.INS</w:t>
            </w:r>
          </w:p>
        </w:tc>
        <w:tc>
          <w:tcPr>
            <w:tcW w:w="20" w:type="dxa"/>
            <w:vAlign w:val="bottom"/>
          </w:tcPr>
          <w:p>
            <w:pPr>
              <w:spacing w:after="0"/>
              <w:rPr>
                <w:sz w:val="16"/>
                <w:szCs w:val="16"/>
                <w:color w:val="auto"/>
              </w:rPr>
            </w:pPr>
          </w:p>
        </w:tc>
        <w:tc>
          <w:tcPr>
            <w:tcW w:w="5840" w:type="dxa"/>
            <w:vAlign w:val="bottom"/>
            <w:gridSpan w:val="10"/>
          </w:tcPr>
          <w:p>
            <w:pPr>
              <w:spacing w:after="0" w:line="194" w:lineRule="exact"/>
              <w:rPr>
                <w:sz w:val="20"/>
                <w:szCs w:val="20"/>
                <w:color w:val="auto"/>
              </w:rPr>
            </w:pPr>
            <w:r>
              <w:rPr>
                <w:rFonts w:ascii="Arial" w:cs="Arial" w:eastAsia="Arial" w:hAnsi="Arial"/>
                <w:sz w:val="20"/>
                <w:szCs w:val="20"/>
                <w:color w:val="auto"/>
              </w:rPr>
              <w:t>XBRL Instance Document – the instance document does not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sz w:val="20"/>
                <w:szCs w:val="20"/>
                <w:color w:val="auto"/>
              </w:rPr>
            </w:pPr>
            <w:r>
              <w:rPr>
                <w:rFonts w:ascii="Arial" w:cs="Arial" w:eastAsia="Arial" w:hAnsi="Arial"/>
                <w:sz w:val="20"/>
                <w:szCs w:val="20"/>
                <w:color w:val="auto"/>
              </w:rPr>
              <w:t>appear in the Interactive Data file because its XBRL tags are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1"/>
        </w:trPr>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0"/>
          </w:tcPr>
          <w:p>
            <w:pPr>
              <w:spacing w:after="0"/>
              <w:rPr>
                <w:sz w:val="20"/>
                <w:szCs w:val="20"/>
                <w:color w:val="auto"/>
              </w:rPr>
            </w:pPr>
            <w:r>
              <w:rPr>
                <w:rFonts w:ascii="Arial" w:cs="Arial" w:eastAsia="Arial" w:hAnsi="Arial"/>
                <w:sz w:val="20"/>
                <w:szCs w:val="20"/>
                <w:color w:val="auto"/>
              </w:rPr>
              <w:t>embedded within the Inline XBRL document</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101.SCH</w:t>
            </w:r>
          </w:p>
        </w:tc>
        <w:tc>
          <w:tcPr>
            <w:tcW w:w="20" w:type="dxa"/>
            <w:vAlign w:val="bottom"/>
            <w:shd w:val="clear" w:color="auto" w:fill="CCEEFF"/>
          </w:tcPr>
          <w:p>
            <w:pPr>
              <w:spacing w:after="0"/>
              <w:rPr>
                <w:sz w:val="22"/>
                <w:szCs w:val="22"/>
                <w:color w:val="auto"/>
              </w:rPr>
            </w:pPr>
          </w:p>
        </w:tc>
        <w:tc>
          <w:tcPr>
            <w:tcW w:w="5840" w:type="dxa"/>
            <w:vAlign w:val="bottom"/>
            <w:gridSpan w:val="10"/>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2"/>
                <w:szCs w:val="22"/>
                <w:color w:val="auto"/>
              </w:rPr>
            </w:pPr>
          </w:p>
        </w:tc>
        <w:tc>
          <w:tcPr>
            <w:tcW w:w="5840" w:type="dxa"/>
            <w:vAlign w:val="bottom"/>
            <w:gridSpan w:val="10"/>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20" w:type="dxa"/>
            <w:vAlign w:val="bottom"/>
            <w:shd w:val="clear" w:color="auto" w:fill="CCEEFF"/>
          </w:tcPr>
          <w:p>
            <w:pPr>
              <w:spacing w:after="0"/>
              <w:rPr>
                <w:sz w:val="22"/>
                <w:szCs w:val="22"/>
                <w:color w:val="auto"/>
              </w:rPr>
            </w:pPr>
          </w:p>
        </w:tc>
        <w:tc>
          <w:tcPr>
            <w:tcW w:w="5840" w:type="dxa"/>
            <w:vAlign w:val="bottom"/>
            <w:gridSpan w:val="10"/>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2"/>
                <w:szCs w:val="22"/>
                <w:color w:val="auto"/>
              </w:rPr>
            </w:pPr>
          </w:p>
        </w:tc>
        <w:tc>
          <w:tcPr>
            <w:tcW w:w="5840" w:type="dxa"/>
            <w:vAlign w:val="bottom"/>
            <w:gridSpan w:val="10"/>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20" w:type="dxa"/>
            <w:vAlign w:val="bottom"/>
            <w:shd w:val="clear" w:color="auto" w:fill="CCEEFF"/>
          </w:tcPr>
          <w:p>
            <w:pPr>
              <w:spacing w:after="0"/>
              <w:rPr>
                <w:sz w:val="22"/>
                <w:szCs w:val="22"/>
                <w:color w:val="auto"/>
              </w:rPr>
            </w:pPr>
          </w:p>
        </w:tc>
        <w:tc>
          <w:tcPr>
            <w:tcW w:w="5840" w:type="dxa"/>
            <w:vAlign w:val="bottom"/>
            <w:gridSpan w:val="10"/>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80" w:hanging="1068"/>
        <w:spacing w:after="0"/>
        <w:tabs>
          <w:tab w:leader="none" w:pos="16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6" w:right="1440" w:bottom="1440" w:gutter="0" w:footer="0" w:header="0"/>
        </w:sectPr>
      </w:pPr>
    </w:p>
    <w:bookmarkStart w:id="50" w:name="page51"/>
    <w:bookmarkEnd w:id="50"/>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20"/>
                <w:szCs w:val="20"/>
                <w:color w:val="auto"/>
              </w:rPr>
              <w:t>May 9, 2024</w:t>
            </w:r>
          </w:p>
        </w:tc>
      </w:tr>
      <w:tr>
        <w:trPr>
          <w:trHeight w:val="244"/>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528"/>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Kurt Wood</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20"/>
                <w:szCs w:val="20"/>
                <w:color w:val="auto"/>
              </w:rPr>
              <w:t>May 9, 2024</w:t>
            </w:r>
          </w:p>
        </w:tc>
      </w:tr>
      <w:tr>
        <w:trPr>
          <w:trHeight w:val="244"/>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Kurt Wood</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120"/>
          </w:cols>
          <w:pgMar w:left="320" w:top="1317"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66"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2"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9, 2024</w:t>
      </w:r>
    </w:p>
    <w:p>
      <w:pPr>
        <w:sectPr>
          <w:pgSz w:w="11900" w:h="16838" w:orient="portrait"/>
          <w:cols w:equalWidth="0" w:num="1">
            <w:col w:w="11240"/>
          </w:cols>
          <w:pgMar w:left="320" w:top="769" w:right="339" w:bottom="1440" w:gutter="0" w:footer="0" w:header="0"/>
        </w:sectPr>
      </w:pPr>
    </w:p>
    <w:bookmarkStart w:id="52" w:name="page53"/>
    <w:bookmarkEnd w:id="52"/>
    <w:p>
      <w:pPr>
        <w:ind w:left="994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Kurt Wood, certify that:</w:t>
      </w:r>
    </w:p>
    <w:p>
      <w:pPr>
        <w:spacing w:after="0" w:line="252"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Kurt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Kurt Wood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2024</w:t>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quarter ended March 31, 2024,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2024</w:t>
      </w:r>
    </w:p>
    <w:p>
      <w:pPr>
        <w:sectPr>
          <w:pgSz w:w="11900" w:h="16838" w:orient="portrait"/>
          <w:cols w:equalWidth="0" w:num="1">
            <w:col w:w="11240"/>
          </w:cols>
          <w:pgMar w:left="32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quarter ended March 31, 2024, as filed with the Securities and Exchange Commission on the date hereof (the “Report”), I, Kurt Wood,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Kurt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Kurt Wood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2024</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lowerLetter"/>
      <w:start w:val="25"/>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decimal"/>
      <w:start w:val="11"/>
    </w:lvl>
  </w:abstractNum>
  <w:abstractNum w:abstractNumId="16">
    <w:nsid w:val="6763845E"/>
    <w:multiLevelType w:val="hybridMultilevel"/>
    <w:lvl w:ilvl="0">
      <w:lvlJc w:val="left"/>
      <w:lvlText w:val="(%1)"/>
      <w:numFmt w:val="decimal"/>
      <w:start w:val="6"/>
    </w:lvl>
  </w:abstractNum>
  <w:abstractNum w:abstractNumId="17">
    <w:nsid w:val="75A2A8D4"/>
    <w:multiLevelType w:val="hybridMultilevel"/>
    <w:lvl w:ilvl="0">
      <w:lvlJc w:val="left"/>
      <w:lvlText w:val="%1."/>
      <w:numFmt w:val="decimal"/>
      <w:start w:val="12"/>
    </w:lvl>
  </w:abstractNum>
  <w:abstractNum w:abstractNumId="18">
    <w:nsid w:val="8EDBDAB"/>
    <w:multiLevelType w:val="hybridMultilevel"/>
    <w:lvl w:ilvl="0">
      <w:lvlJc w:val="left"/>
      <w:lvlText w:val="%1."/>
      <w:numFmt w:val="decimal"/>
      <w:start w:val="13"/>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lvl w:ilvl="1">
      <w:lvlJc w:val="left"/>
      <w:lvlText w:val="%2"/>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79" Type="http://schemas.openxmlformats.org/officeDocument/2006/relationships/hyperlink" Target="https://www.sec.gov/ix?doc=/Archives/edgar/data/1820721/000182072122000033/arry-20211231.htm#icfe32c6b4ab54bfe857c57aaba5fa86c_22" TargetMode="External"/><Relationship Id="rId81" Type="http://schemas.openxmlformats.org/officeDocument/2006/relationships/hyperlink" Target="https://www.sec.gov/Archives/edgar/data/1820721/000119312520272092/d50569dex31.htm" TargetMode="External"/><Relationship Id="rId82" Type="http://schemas.openxmlformats.org/officeDocument/2006/relationships/hyperlink" Target="https://www.sec.gov/Archives/edgar/data/1820721/000119312520272092/d50569dex32.htm" TargetMode="External"/><Relationship Id="rId83" Type="http://schemas.openxmlformats.org/officeDocument/2006/relationships/hyperlink" Target="https://www.sec.gov/Archives/edgar/data/0001820721/000182072121000057/helios-certificateofdesig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2024-05-09T17:01:11Z</dcterms:created>
  <dcterms:modified xsi:type="dcterms:W3CDTF">2024-05-09T17:01:11Z</dcterms:modified>
</cp:coreProperties>
</file>