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As filed with the Securities and Exchange Commission on June 18, 2026</w:t>
      </w:r>
    </w:p>
    <w:p>
      <w:pPr>
        <w:pStyle w:val="TextBody"/>
        <w:bidi w:val="0"/>
        <w:spacing w:before="0" w:after="0"/>
        <w:jc w:val="left"/>
        <w:rPr/>
      </w:pPr>
      <w:r>
        <w:rPr/>
      </w:r>
    </w:p>
    <w:p>
      <w:pPr>
        <w:pStyle w:val="TextBody"/>
        <w:bidi w:val="0"/>
        <w:spacing w:lineRule="auto" w:line="276" w:before="0" w:after="0"/>
        <w:jc w:val="right"/>
        <w:rPr>
          <w:rFonts w:ascii="Times New Roman;serif" w:hAnsi="Times New Roman;serif"/>
          <w:b/>
          <w:color w:val="000000"/>
          <w:sz w:val="22"/>
        </w:rPr>
      </w:pPr>
      <w:r>
        <w:rPr>
          <w:rFonts w:ascii="Times New Roman;serif" w:hAnsi="Times New Roman;serif"/>
          <w:b/>
          <w:color w:val="000000"/>
          <w:sz w:val="22"/>
        </w:rPr>
        <w:t>Registration No. 333-</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_____________________________________________________________________________________________</w:t>
      </w:r>
    </w:p>
    <w:p>
      <w:pPr>
        <w:pStyle w:val="TextBody"/>
        <w:bidi w:val="0"/>
        <w:spacing w:lineRule="auto" w:line="240" w:before="100" w:after="283"/>
        <w:jc w:val="center"/>
        <w:rPr>
          <w:rFonts w:ascii="Times New Roman;serif" w:hAnsi="Times New Roman;serif"/>
          <w:b/>
          <w:color w:val="000000"/>
          <w:sz w:val="24"/>
        </w:rPr>
      </w:pPr>
      <w:r>
        <w:rPr>
          <w:rFonts w:ascii="Times New Roman;serif" w:hAnsi="Times New Roman;serif"/>
          <w:b/>
          <w:color w:val="000000"/>
          <w:sz w:val="24"/>
        </w:rPr>
        <w:t xml:space="preserve">UNITED STATES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40" w:before="300" w:after="283"/>
        <w:jc w:val="center"/>
        <w:rPr>
          <w:rFonts w:ascii="Times New Roman;serif" w:hAnsi="Times New Roman;serif"/>
          <w:b/>
          <w:color w:val="000000"/>
          <w:sz w:val="36"/>
        </w:rPr>
      </w:pPr>
      <w:r>
        <w:rPr>
          <w:rFonts w:ascii="Times New Roman;serif" w:hAnsi="Times New Roman;serif"/>
          <w:b/>
          <w:color w:val="000000"/>
          <w:sz w:val="36"/>
        </w:rPr>
        <w:t>FORM S-8</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REGISTRATION STATEMENT</w:t>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UNDER THE SECURITIES ACT OF 1933</w:t>
      </w:r>
    </w:p>
    <w:p>
      <w:pPr>
        <w:pStyle w:val="TextBody"/>
        <w:bidi w:val="0"/>
        <w:spacing w:lineRule="auto" w:line="240" w:before="200" w:after="283"/>
        <w:jc w:val="center"/>
        <w:rPr>
          <w:rFonts w:ascii="Times New Roman;serif" w:hAnsi="Times New Roman;serif"/>
          <w:b/>
          <w:color w:val="000000"/>
          <w:sz w:val="44"/>
        </w:rPr>
      </w:pPr>
      <w:r>
        <w:rPr>
          <w:rFonts w:ascii="Times New Roman;serif" w:hAnsi="Times New Roman;serif"/>
          <w:b/>
          <w:color w:val="000000"/>
          <w:sz w:val="44"/>
        </w:rPr>
        <w:t xml:space="preserve">Array Technologies, Inc.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the registrant as specified in its charter) </w:t>
      </w:r>
    </w:p>
    <w:p>
      <w:pPr>
        <w:pStyle w:val="TextBody"/>
        <w:bidi w:val="0"/>
        <w:spacing w:before="0" w:after="0"/>
        <w:jc w:val="center"/>
        <w:rPr/>
      </w:pPr>
      <w:r>
        <w:rPr/>
      </w:r>
    </w:p>
    <w:tbl>
      <w:tblPr>
        <w:tblW w:w="6080" w:type="dxa"/>
        <w:jc w:val="left"/>
        <w:tblInd w:w="0" w:type="dxa"/>
        <w:tblLayout w:type="fixed"/>
        <w:tblCellMar>
          <w:top w:w="28" w:type="dxa"/>
          <w:left w:w="28" w:type="dxa"/>
          <w:bottom w:w="28" w:type="dxa"/>
          <w:right w:w="28" w:type="dxa"/>
        </w:tblCellMar>
      </w:tblPr>
      <w:tblGrid>
        <w:gridCol w:w="877"/>
        <w:gridCol w:w="770"/>
        <w:gridCol w:w="782"/>
        <w:gridCol w:w="109"/>
        <w:gridCol w:w="109"/>
        <w:gridCol w:w="109"/>
        <w:gridCol w:w="109"/>
        <w:gridCol w:w="109"/>
        <w:gridCol w:w="109"/>
        <w:gridCol w:w="109"/>
        <w:gridCol w:w="109"/>
        <w:gridCol w:w="109"/>
        <w:gridCol w:w="780"/>
        <w:gridCol w:w="780"/>
        <w:gridCol w:w="1110"/>
      </w:tblGrid>
      <w:tr>
        <w:trPr/>
        <w:tc>
          <w:tcPr>
            <w:tcW w:w="87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83-2747826</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bl>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3901 Midway Place NE</w:t>
      </w:r>
    </w:p>
    <w:p>
      <w:pPr>
        <w:pStyle w:val="TextBody"/>
        <w:bidi w:val="0"/>
        <w:spacing w:lineRule="auto" w:line="268" w:before="0" w:after="0"/>
        <w:jc w:val="center"/>
        <w:rPr/>
      </w:pPr>
      <w:r>
        <w:rPr>
          <w:rFonts w:ascii="Times New Roman;serif" w:hAnsi="Times New Roman;serif"/>
          <w:b/>
          <w:color w:val="000000"/>
          <w:sz w:val="24"/>
        </w:rPr>
        <w:t>Albuquerque, New Mexico 87109</w:t>
      </w:r>
      <w:r>
        <w:rPr>
          <w:color w:val="000000"/>
        </w:rPr>
        <w:t xml:space="preserve"> </w:t>
      </w:r>
    </w:p>
    <w:p>
      <w:pPr>
        <w:pStyle w:val="TextBody"/>
        <w:bidi w:val="0"/>
        <w:spacing w:lineRule="auto" w:line="268" w:before="0" w:after="0"/>
        <w:jc w:val="center"/>
        <w:rPr/>
      </w:pPr>
      <w:r>
        <w:rPr>
          <w:rFonts w:ascii="Times New Roman;serif" w:hAnsi="Times New Roman;serif"/>
          <w:b w:val="false"/>
          <w:color w:val="000000"/>
          <w:sz w:val="24"/>
        </w:rPr>
        <w:t>(Address of principal executive offices, including zip code)</w:t>
      </w:r>
      <w:r>
        <w:rPr>
          <w:color w:val="000000"/>
        </w:rPr>
        <w:t xml:space="preserve"> </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color w:val="000000"/>
          <w:sz w:val="24"/>
        </w:rPr>
        <w:t>Array Technologies, Inc. Amended and Restated 2020 Long-Term Incentive Plan</w:t>
      </w:r>
      <w:r>
        <w:rPr>
          <w:color w:val="000000"/>
        </w:rPr>
        <w:t xml:space="preserve"> </w:t>
      </w:r>
    </w:p>
    <w:p>
      <w:pPr>
        <w:pStyle w:val="TextBody"/>
        <w:bidi w:val="0"/>
        <w:spacing w:lineRule="auto" w:line="268" w:before="0" w:after="0"/>
        <w:jc w:val="center"/>
        <w:rPr/>
      </w:pPr>
      <w:r>
        <w:rPr>
          <w:rFonts w:ascii="Times New Roman;serif" w:hAnsi="Times New Roman;serif"/>
          <w:b w:val="false"/>
          <w:color w:val="000000"/>
          <w:sz w:val="22"/>
        </w:rPr>
        <w:t>(Full title of the plan)</w:t>
      </w:r>
      <w:r>
        <w:rPr>
          <w:color w:val="000000"/>
        </w:rPr>
        <w:t xml:space="preserve"> </w:t>
      </w:r>
    </w:p>
    <w:p>
      <w:pPr>
        <w:pStyle w:val="TextBody"/>
        <w:bidi w:val="0"/>
        <w:spacing w:before="0" w:after="0"/>
        <w:jc w:val="center"/>
        <w:rPr/>
      </w:pPr>
      <w:r>
        <w:rPr/>
      </w:r>
    </w:p>
    <w:p>
      <w:pPr>
        <w:pStyle w:val="TextBody"/>
        <w:bidi w:val="0"/>
        <w:spacing w:lineRule="auto" w:line="268" w:before="0" w:after="0"/>
        <w:jc w:val="center"/>
        <w:rPr/>
      </w:pPr>
      <w:r>
        <w:rPr>
          <w:rFonts w:ascii="Times New Roman;serif" w:hAnsi="Times New Roman;serif"/>
          <w:b/>
          <w:color w:val="000000"/>
          <w:sz w:val="24"/>
        </w:rPr>
        <w:t>Gina K. Gunning</w:t>
      </w:r>
      <w:r>
        <w:rPr>
          <w:color w:val="000000"/>
        </w:rPr>
        <w:t xml:space="preserve"> </w:t>
      </w:r>
    </w:p>
    <w:p>
      <w:pPr>
        <w:pStyle w:val="TextBody"/>
        <w:bidi w:val="0"/>
        <w:spacing w:lineRule="auto" w:line="268" w:before="0" w:after="0"/>
        <w:jc w:val="center"/>
        <w:rPr/>
      </w:pPr>
      <w:r>
        <w:rPr>
          <w:rFonts w:ascii="Times New Roman;serif" w:hAnsi="Times New Roman;serif"/>
          <w:b/>
          <w:color w:val="000000"/>
          <w:sz w:val="24"/>
        </w:rPr>
        <w:t>Chief Legal Officer and Corporate Secretary</w:t>
      </w:r>
      <w:r>
        <w:rPr>
          <w:color w:val="000000"/>
        </w:rPr>
        <w:t xml:space="preserve"> </w:t>
      </w:r>
    </w:p>
    <w:p>
      <w:pPr>
        <w:pStyle w:val="TextBody"/>
        <w:bidi w:val="0"/>
        <w:spacing w:lineRule="auto" w:line="268" w:before="0" w:after="0"/>
        <w:jc w:val="center"/>
        <w:rPr/>
      </w:pPr>
      <w:r>
        <w:rPr>
          <w:rFonts w:ascii="Times New Roman;serif" w:hAnsi="Times New Roman;serif"/>
          <w:b/>
          <w:color w:val="000000"/>
          <w:sz w:val="24"/>
        </w:rPr>
        <w:t>3901 Midway Place NE</w:t>
      </w:r>
      <w:r>
        <w:rPr>
          <w:color w:val="000000"/>
        </w:rPr>
        <w:t xml:space="preserve"> </w:t>
      </w:r>
    </w:p>
    <w:p>
      <w:pPr>
        <w:pStyle w:val="TextBody"/>
        <w:bidi w:val="0"/>
        <w:spacing w:lineRule="auto" w:line="268" w:before="0" w:after="0"/>
        <w:jc w:val="center"/>
        <w:rPr/>
      </w:pPr>
      <w:r>
        <w:rPr>
          <w:rFonts w:ascii="Times New Roman;serif" w:hAnsi="Times New Roman;serif"/>
          <w:b/>
          <w:color w:val="000000"/>
          <w:sz w:val="24"/>
        </w:rPr>
        <w:t>Albuquerque, New Mexico 87109</w:t>
      </w:r>
      <w:r>
        <w:rPr>
          <w:color w:val="000000"/>
        </w:rPr>
        <w:t xml:space="preserve"> </w:t>
      </w:r>
    </w:p>
    <w:p>
      <w:pPr>
        <w:pStyle w:val="TextBody"/>
        <w:bidi w:val="0"/>
        <w:spacing w:lineRule="auto" w:line="268" w:before="0" w:after="0"/>
        <w:jc w:val="center"/>
        <w:rPr/>
      </w:pPr>
      <w:r>
        <w:rPr>
          <w:rFonts w:ascii="Times New Roman;serif" w:hAnsi="Times New Roman;serif"/>
          <w:b/>
          <w:color w:val="000000"/>
          <w:sz w:val="24"/>
        </w:rPr>
        <w:t>(505) 881-7567</w:t>
      </w:r>
      <w:r>
        <w:rPr>
          <w:color w:val="000000"/>
        </w:rPr>
        <w:t xml:space="preserve"> </w:t>
      </w:r>
    </w:p>
    <w:p>
      <w:pPr>
        <w:pStyle w:val="TextBody"/>
        <w:bidi w:val="0"/>
        <w:spacing w:lineRule="auto" w:line="268" w:before="0" w:after="0"/>
        <w:jc w:val="center"/>
        <w:rPr/>
      </w:pPr>
      <w:r>
        <w:rPr>
          <w:rFonts w:ascii="Times New Roman;serif" w:hAnsi="Times New Roman;serif"/>
          <w:b w:val="false"/>
          <w:color w:val="000000"/>
          <w:sz w:val="22"/>
        </w:rPr>
        <w:t>(Name, address and telephone number of agent for service)</w:t>
      </w:r>
      <w:r>
        <w:rPr>
          <w:color w:val="000000"/>
        </w:rPr>
        <w:t xml:space="preserve">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color w:val="000000"/>
        </w:rPr>
        <w:t xml:space="preserve"> </w:t>
      </w:r>
    </w:p>
    <w:tbl>
      <w:tblPr>
        <w:tblW w:w="6038" w:type="dxa"/>
        <w:jc w:val="center"/>
        <w:tblInd w:w="0" w:type="dxa"/>
        <w:tblLayout w:type="fixed"/>
        <w:tblCellMar>
          <w:top w:w="28" w:type="dxa"/>
          <w:left w:w="28" w:type="dxa"/>
          <w:bottom w:w="28" w:type="dxa"/>
          <w:right w:w="28" w:type="dxa"/>
        </w:tblCellMar>
      </w:tblPr>
      <w:tblGrid>
        <w:gridCol w:w="972"/>
        <w:gridCol w:w="855"/>
        <w:gridCol w:w="857"/>
        <w:gridCol w:w="109"/>
        <w:gridCol w:w="109"/>
        <w:gridCol w:w="109"/>
        <w:gridCol w:w="884"/>
        <w:gridCol w:w="884"/>
        <w:gridCol w:w="887"/>
        <w:gridCol w:w="109"/>
        <w:gridCol w:w="109"/>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If an emerging growth company, indicate by check mark if the registrant has elected not to use the extended transition period for complying with any new or revised financial accounting standards provided pursuant to Section 7(a)(2)(B) of the Securities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EXPLANATORY NOTE</w:t>
      </w:r>
    </w:p>
    <w:p>
      <w:pPr>
        <w:pStyle w:val="TextBody"/>
        <w:bidi w:val="0"/>
        <w:spacing w:before="0" w:after="0"/>
        <w:jc w:val="center"/>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Array Technologies, Inc. (the “</w:t>
      </w:r>
      <w:r>
        <w:rPr>
          <w:rFonts w:ascii="Times New Roman;serif" w:hAnsi="Times New Roman;serif"/>
          <w:b/>
          <w:i/>
          <w:color w:val="000000"/>
          <w:sz w:val="24"/>
        </w:rPr>
        <w:t>Registrant</w:t>
      </w:r>
      <w:r>
        <w:rPr>
          <w:color w:val="000000"/>
        </w:rPr>
        <w:t>”</w:t>
      </w:r>
      <w:r>
        <w:rPr>
          <w:rFonts w:ascii="Times New Roman;serif" w:hAnsi="Times New Roman;serif"/>
          <w:b w:val="false"/>
          <w:color w:val="000000"/>
          <w:sz w:val="22"/>
        </w:rPr>
        <w:t>) hereby files this Registration Statement on Form S-8 (the “</w:t>
      </w:r>
      <w:r>
        <w:rPr>
          <w:rFonts w:ascii="Times New Roman;serif" w:hAnsi="Times New Roman;serif"/>
          <w:b/>
          <w:i/>
          <w:color w:val="000000"/>
          <w:sz w:val="24"/>
        </w:rPr>
        <w:t>Registration Statement</w:t>
      </w:r>
      <w:r>
        <w:rPr>
          <w:color w:val="000000"/>
        </w:rPr>
        <w:t>”</w:t>
      </w:r>
      <w:r>
        <w:rPr>
          <w:rFonts w:ascii="Times New Roman;serif" w:hAnsi="Times New Roman;serif"/>
          <w:b w:val="false"/>
          <w:color w:val="000000"/>
          <w:sz w:val="22"/>
        </w:rPr>
        <w:t>) to register under the Securities Act of 1933, as amended (the “</w:t>
      </w:r>
      <w:r>
        <w:rPr>
          <w:rFonts w:ascii="Times New Roman;serif" w:hAnsi="Times New Roman;serif"/>
          <w:b/>
          <w:i/>
          <w:color w:val="000000"/>
          <w:sz w:val="24"/>
        </w:rPr>
        <w:t>Securities Act</w:t>
      </w:r>
      <w:r>
        <w:rPr>
          <w:color w:val="000000"/>
        </w:rPr>
        <w:t>”</w:t>
      </w:r>
      <w:r>
        <w:rPr>
          <w:rFonts w:ascii="Times New Roman;serif" w:hAnsi="Times New Roman;serif"/>
          <w:b w:val="false"/>
          <w:color w:val="000000"/>
          <w:sz w:val="22"/>
        </w:rPr>
        <w:t>) an additional 26,425,733 shares (the “</w:t>
      </w:r>
      <w:r>
        <w:rPr>
          <w:rFonts w:ascii="Times New Roman;serif" w:hAnsi="Times New Roman;serif"/>
          <w:b/>
          <w:i/>
          <w:color w:val="000000"/>
          <w:sz w:val="24"/>
        </w:rPr>
        <w:t>Additional Shares</w:t>
      </w:r>
      <w:r>
        <w:rPr>
          <w:color w:val="000000"/>
        </w:rPr>
        <w:t>”</w:t>
      </w:r>
      <w:r>
        <w:rPr>
          <w:rFonts w:ascii="Times New Roman;serif" w:hAnsi="Times New Roman;serif"/>
          <w:b w:val="false"/>
          <w:color w:val="000000"/>
          <w:sz w:val="22"/>
        </w:rPr>
        <w:t>) of common stock, $0.001 par value per share (the “</w:t>
      </w:r>
      <w:r>
        <w:rPr>
          <w:rFonts w:ascii="Times New Roman;serif" w:hAnsi="Times New Roman;serif"/>
          <w:b/>
          <w:i/>
          <w:color w:val="000000"/>
          <w:sz w:val="24"/>
        </w:rPr>
        <w:t>Common Stock</w:t>
      </w:r>
      <w:r>
        <w:rPr>
          <w:color w:val="000000"/>
        </w:rPr>
        <w:t>”</w:t>
      </w:r>
      <w:r>
        <w:rPr>
          <w:rFonts w:ascii="Times New Roman;serif" w:hAnsi="Times New Roman;serif"/>
          <w:b w:val="false"/>
          <w:color w:val="000000"/>
          <w:sz w:val="22"/>
        </w:rPr>
        <w:t>), under the Array Technologies, Inc. Amended and Restated 2020 Long-Term Incentive Plan (as amended or amended and restated to date,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2"/>
        </w:rPr>
        <w:t xml:space="preserve">). The Plan is an amendment and restatement of the Array Technologies, Inc. 2020 Long-Term Incentive Plan, for which a previously-filed registration statement on Form S-8 relating to the Plan is effective. Pursuant to General Instruction E to Form S-8, this Registration Statement incorporates by reference the contents of the Registration Statement on Form S-8 (Registration No. </w:t>
      </w:r>
      <w:hyperlink r:id="rId2">
        <w:r>
          <w:rPr>
            <w:rStyle w:val="InternetLink"/>
            <w:rFonts w:ascii="Times New Roman;serif" w:hAnsi="Times New Roman;serif"/>
            <w:b w:val="false"/>
            <w:color w:val="0000FF"/>
            <w:sz w:val="22"/>
            <w:u w:val="single"/>
          </w:rPr>
          <w:t>333-249552</w:t>
        </w:r>
      </w:hyperlink>
      <w:r>
        <w:rPr>
          <w:rFonts w:ascii="Times New Roman;serif" w:hAnsi="Times New Roman;serif"/>
          <w:b w:val="false"/>
          <w:color w:val="000000"/>
          <w:sz w:val="22"/>
        </w:rPr>
        <w:t>) filed by the Registrant on October 19, 2020, including all attachments and exhibits thereto, except to the extent supplemented, amended or superseded by the information set forth herein or therein.</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PART II</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4"/>
        </w:rPr>
      </w:pPr>
      <w:r>
        <w:rPr>
          <w:rFonts w:ascii="Times New Roman;serif" w:hAnsi="Times New Roman;serif"/>
          <w:b/>
          <w:color w:val="000000"/>
          <w:sz w:val="24"/>
        </w:rPr>
        <w:t>INFORMATION REQUIRED IN THE REGISTRATION STATEMENT</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 xml:space="preserve">Item 3. Incorporation of Documents by Reference.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The Registrant is subject to the informational and reporting requirements of Sections 13(a), 13(c), 14 and 15(d) of the Securities Exchange Act of 1934, as amended (the “</w:t>
      </w:r>
      <w:r>
        <w:rPr>
          <w:rFonts w:ascii="Times New Roman;serif" w:hAnsi="Times New Roman;serif"/>
          <w:b/>
          <w:i/>
          <w:color w:val="000000"/>
          <w:sz w:val="24"/>
        </w:rPr>
        <w:t>Exchange Act</w:t>
      </w:r>
      <w:r>
        <w:rPr>
          <w:color w:val="000000"/>
        </w:rPr>
        <w:t>”</w:t>
      </w:r>
      <w:r>
        <w:rPr>
          <w:rFonts w:ascii="Times New Roman;serif" w:hAnsi="Times New Roman;serif"/>
          <w:b w:val="false"/>
          <w:color w:val="000000"/>
          <w:sz w:val="22"/>
        </w:rPr>
        <w:t>), and, in accordance therewith, files reports, proxy statements and other information with the Securities and Exchange Commission (the “</w:t>
      </w:r>
      <w:r>
        <w:rPr>
          <w:rFonts w:ascii="Times New Roman;serif" w:hAnsi="Times New Roman;serif"/>
          <w:b/>
          <w:i/>
          <w:color w:val="000000"/>
          <w:sz w:val="22"/>
        </w:rPr>
        <w:t>Commission</w:t>
      </w:r>
      <w:r>
        <w:rPr>
          <w:color w:val="000000"/>
        </w:rPr>
        <w:t>”</w:t>
      </w:r>
      <w:r>
        <w:rPr>
          <w:rFonts w:ascii="Times New Roman;serif" w:hAnsi="Times New Roman;serif"/>
          <w:b w:val="false"/>
          <w:color w:val="000000"/>
          <w:sz w:val="22"/>
        </w:rPr>
        <w:t>). The following documents have been filed by the Registrant with the Commission and are incorporated herein by reference:</w:t>
      </w:r>
    </w:p>
    <w:p>
      <w:pPr>
        <w:pStyle w:val="TextBody"/>
        <w:bidi w:val="0"/>
        <w:spacing w:before="0" w:after="0"/>
        <w:ind w:left="0" w:right="0" w:firstLine="72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 xml:space="preserve">(a)The Registrant’s </w:t>
      </w:r>
      <w:hyperlink r:id="rId3">
        <w:r>
          <w:rPr>
            <w:rStyle w:val="InternetLink"/>
            <w:rFonts w:ascii="Times New Roman;serif" w:hAnsi="Times New Roman;serif"/>
            <w:b w:val="false"/>
            <w:color w:val="0000FF"/>
            <w:sz w:val="22"/>
            <w:u w:val="single"/>
          </w:rPr>
          <w:t>Annual Report on Form 10-K for the year ended December 31, 2025</w:t>
        </w:r>
      </w:hyperlink>
      <w:r>
        <w:rPr>
          <w:color w:val="000000"/>
        </w:rPr>
        <w:t xml:space="preserve"> </w:t>
      </w:r>
      <w:r>
        <w:rPr>
          <w:rFonts w:ascii="Times New Roman;serif" w:hAnsi="Times New Roman;serif"/>
          <w:b w:val="false"/>
          <w:color w:val="000000"/>
          <w:sz w:val="22"/>
        </w:rPr>
        <w:t>(Commission File No. 001-39613), filed February 25, 2026;</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 xml:space="preserve">(b)The Registrant’s </w:t>
      </w:r>
      <w:hyperlink r:id="rId4">
        <w:r>
          <w:rPr>
            <w:rStyle w:val="InternetLink"/>
            <w:rFonts w:ascii="Times New Roman;serif" w:hAnsi="Times New Roman;serif"/>
            <w:b w:val="false"/>
            <w:color w:val="0000FF"/>
            <w:sz w:val="22"/>
            <w:u w:val="single"/>
          </w:rPr>
          <w:t>Quarterly Report on Form 10-Q for the quarter ended March 31, 2026</w:t>
        </w:r>
      </w:hyperlink>
      <w:r>
        <w:rPr>
          <w:color w:val="000000"/>
        </w:rPr>
        <w:t xml:space="preserve"> </w:t>
      </w:r>
      <w:r>
        <w:rPr>
          <w:rFonts w:ascii="Times New Roman;serif" w:hAnsi="Times New Roman;serif"/>
          <w:b w:val="false"/>
          <w:color w:val="000000"/>
          <w:sz w:val="22"/>
        </w:rPr>
        <w:t>(Commission File No. 001-39613), filed May 6, 2026;</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 xml:space="preserve">(c)The Registrant’s Current Reports on Form 8-K (Commission File No. 001-39613), filed </w:t>
      </w:r>
      <w:hyperlink r:id="rId5">
        <w:r>
          <w:rPr>
            <w:rStyle w:val="InternetLink"/>
            <w:rFonts w:ascii="Times New Roman;serif" w:hAnsi="Times New Roman;serif"/>
            <w:b w:val="false"/>
            <w:color w:val="0000FF"/>
            <w:sz w:val="22"/>
            <w:u w:val="single"/>
          </w:rPr>
          <w:t>February 18, 2026</w:t>
        </w:r>
      </w:hyperlink>
      <w:r>
        <w:rPr>
          <w:color w:val="000000"/>
        </w:rPr>
        <w:t xml:space="preserve"> </w:t>
      </w:r>
      <w:r>
        <w:rPr>
          <w:rFonts w:ascii="Times New Roman;serif" w:hAnsi="Times New Roman;serif"/>
          <w:b w:val="false"/>
          <w:color w:val="000000"/>
          <w:sz w:val="22"/>
        </w:rPr>
        <w:t xml:space="preserve">(only Items 1.01 and 2.03 and Item 9.01 (other than with respect to Exhibit 99.1)), </w:t>
      </w:r>
      <w:hyperlink r:id="rId6">
        <w:r>
          <w:rPr>
            <w:rStyle w:val="InternetLink"/>
            <w:rFonts w:ascii="Times New Roman;serif" w:hAnsi="Times New Roman;serif"/>
            <w:b w:val="false"/>
            <w:color w:val="0000FF"/>
            <w:sz w:val="22"/>
            <w:u w:val="single"/>
          </w:rPr>
          <w:t>March 19, 2026</w:t>
        </w:r>
      </w:hyperlink>
      <w:r>
        <w:rPr>
          <w:color w:val="000000"/>
        </w:rPr>
        <w:t xml:space="preserve"> </w:t>
      </w:r>
      <w:r>
        <w:rPr>
          <w:rFonts w:ascii="Times New Roman;serif" w:hAnsi="Times New Roman;serif"/>
          <w:b w:val="false"/>
          <w:color w:val="000000"/>
          <w:sz w:val="22"/>
        </w:rPr>
        <w:t xml:space="preserve">(only Item 5.02), and </w:t>
      </w:r>
      <w:hyperlink r:id="rId7">
        <w:r>
          <w:rPr>
            <w:rStyle w:val="InternetLink"/>
            <w:rFonts w:ascii="Times New Roman;serif" w:hAnsi="Times New Roman;serif"/>
            <w:b w:val="false"/>
            <w:color w:val="0000FF"/>
            <w:sz w:val="22"/>
            <w:u w:val="single"/>
          </w:rPr>
          <w:t>May 20, 2026</w:t>
        </w:r>
      </w:hyperlink>
      <w:r>
        <w:rPr>
          <w:rFonts w:ascii="Times New Roman;serif" w:hAnsi="Times New Roman;serif"/>
          <w:b w:val="false"/>
          <w:color w:val="000000"/>
          <w:sz w:val="22"/>
        </w:rPr>
        <w:t>; and</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 xml:space="preserve">(d)The description of the Common Stock contained in the </w:t>
      </w:r>
      <w:hyperlink r:id="rId8">
        <w:r>
          <w:rPr>
            <w:rStyle w:val="InternetLink"/>
          </w:rPr>
          <w:t xml:space="preserve">Registrant’s </w:t>
        </w:r>
      </w:hyperlink>
      <w:hyperlink r:id="rId9">
        <w:r>
          <w:rPr>
            <w:rStyle w:val="InternetLink"/>
          </w:rPr>
          <w:t>Registration Statement on Form 8-A</w:t>
        </w:r>
      </w:hyperlink>
      <w:r>
        <w:rPr>
          <w:color w:val="000000"/>
        </w:rPr>
        <w:t xml:space="preserve"> </w:t>
      </w:r>
      <w:r>
        <w:rPr>
          <w:rFonts w:ascii="Times New Roman;serif" w:hAnsi="Times New Roman;serif"/>
          <w:b w:val="false"/>
          <w:color w:val="000000"/>
          <w:sz w:val="22"/>
        </w:rPr>
        <w:t xml:space="preserve">filed with the Commission on October 13, 2020, as amended by the description of the Common Stock contained in </w:t>
      </w:r>
      <w:hyperlink r:id="rId10">
        <w:r>
          <w:rPr>
            <w:rStyle w:val="InternetLink"/>
            <w:rFonts w:ascii="Times New Roman;serif" w:hAnsi="Times New Roman;serif"/>
            <w:b w:val="false"/>
            <w:color w:val="0000FF"/>
            <w:sz w:val="22"/>
            <w:u w:val="single"/>
          </w:rPr>
          <w:t>Exhibit 4.1</w:t>
        </w:r>
      </w:hyperlink>
      <w:r>
        <w:rPr>
          <w:color w:val="000000"/>
        </w:rPr>
        <w:t xml:space="preserve"> </w:t>
      </w:r>
      <w:r>
        <w:rPr>
          <w:rFonts w:ascii="Times New Roman;serif" w:hAnsi="Times New Roman;serif"/>
          <w:b w:val="false"/>
          <w:color w:val="000000"/>
          <w:sz w:val="22"/>
        </w:rPr>
        <w:t>to the Registrant’s Annual Report on Form 10-K for the year ended December 31, 2020 (Commission File No. 001-39613), filed March 10, 2021, and as amended by any subsequent amendment or report filed for the purpose of updating such description.</w:t>
      </w:r>
    </w:p>
    <w:p>
      <w:pPr>
        <w:pStyle w:val="TextBody"/>
        <w:bidi w:val="0"/>
        <w:spacing w:before="0" w:after="0"/>
        <w:jc w:val="left"/>
        <w:rPr/>
      </w:pPr>
      <w:r>
        <w:rPr/>
      </w:r>
    </w:p>
    <w:p>
      <w:pPr>
        <w:pStyle w:val="TextBody"/>
        <w:bidi w:val="0"/>
        <w:spacing w:lineRule="auto" w:line="268"/>
        <w:ind w:left="0" w:right="0" w:firstLine="720"/>
        <w:jc w:val="left"/>
        <w:rPr/>
      </w:pPr>
      <w:r>
        <w:rPr>
          <w:rFonts w:ascii="Times New Roman;serif" w:hAnsi="Times New Roman;serif"/>
          <w:b w:val="false"/>
          <w:color w:val="000000"/>
          <w:sz w:val="22"/>
        </w:rPr>
        <w:t>All documents filed by the Registrant with the Commission pursuant to Sections 13(a), 13(c), 14 and 15(d) of the Exchange Act subsequent to the date of this Registration Statement, and prior to the filing of a post-effective amendment that indicates that all securities offered have been sold or that deregisters all securities then remaining unsold, will be deemed to be incorporated by reference in this Registration Statement and to be part hereof from the date of filing of such documents.</w:t>
      </w:r>
      <w:r>
        <w:rPr>
          <w:color w:val="000000"/>
        </w:rPr>
        <w:t xml:space="preserve"> </w:t>
      </w:r>
      <w:r>
        <w:rPr>
          <w:rFonts w:ascii="Times New Roman;serif" w:hAnsi="Times New Roman;serif"/>
          <w:b w:val="false"/>
          <w:color w:val="000000"/>
          <w:sz w:val="22"/>
        </w:rPr>
        <w:t xml:space="preserve">Any statement contained in any document incorporated or deemed to be incorporated by reference herein will be deemed </w:t>
      </w: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2"/>
        </w:rPr>
        <w:t>to be modified or superseded for purposes of this Registration Statement to the extent that a statement contained herein or in any other subsequently filed document that also is or is deemed to be incorporated by reference herein modifies or supersedes such statement.</w:t>
      </w:r>
      <w:r>
        <w:rPr>
          <w:color w:val="000000"/>
        </w:rPr>
        <w:t xml:space="preserve"> </w:t>
      </w:r>
      <w:r>
        <w:rPr>
          <w:rFonts w:ascii="Times New Roman;serif" w:hAnsi="Times New Roman;serif"/>
          <w:b w:val="false"/>
          <w:color w:val="000000"/>
          <w:sz w:val="22"/>
        </w:rPr>
        <w:t>Any such statement so modified or superseded will not be deemed, except as modified or superseded, to constitute a part of this Registration Statement.</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Item 6. Indemnification of Directors and Officers.</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The Registrant is incorporated under the laws of the State of Delaware and is subject to the Delaware General Corporation Law (the “</w:t>
      </w:r>
      <w:r>
        <w:rPr>
          <w:rFonts w:ascii="Times New Roman;serif" w:hAnsi="Times New Roman;serif"/>
          <w:b/>
          <w:i/>
          <w:color w:val="000000"/>
          <w:sz w:val="24"/>
        </w:rPr>
        <w:t>DGCL</w:t>
      </w:r>
      <w:r>
        <w:rPr>
          <w:color w:val="000000"/>
        </w:rPr>
        <w:t>”</w:t>
      </w:r>
      <w:r>
        <w:rPr>
          <w:rFonts w:ascii="Times New Roman;serif" w:hAnsi="Times New Roman;serif"/>
          <w:b w:val="false"/>
          <w:color w:val="000000"/>
          <w:sz w:val="22"/>
        </w:rPr>
        <w:t>). Section 145 of the DGCL authorizes a corporation’s Board of Directors to grant, and authorizes a court to award, indemnity to officers, directors and other corporate agents. As permitted by Section 102(b)(7) of the DGCL, the Registrant’s certificate of incorporation includes provisions that eliminate the personal liability of its directors and officers for monetary damages for breach of their fiduciary duty as directors and officers,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(4) for any transaction from which the director derived an improper personal benefit, or (5) of officers in actions by or in the right of the Registrant.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addition, as permitted by Section 145 of the DGCL, the bylaws of the Registrant provide that: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 xml:space="preserve">• </w:t>
      </w:r>
      <w:r>
        <w:rPr>
          <w:rFonts w:ascii="Times New Roman;serif" w:hAnsi="Times New Roman;serif"/>
          <w:b w:val="false"/>
          <w:color w:val="000000"/>
          <w:sz w:val="22"/>
        </w:rPr>
        <w:t>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action or proceeding, had no reasonable cause to believe such person’s conduct was unlawful.</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 xml:space="preserve">• </w:t>
      </w:r>
      <w:r>
        <w:rPr>
          <w:rFonts w:ascii="Times New Roman;serif" w:hAnsi="Times New Roman;serif"/>
          <w:b w:val="false"/>
          <w:color w:val="000000"/>
          <w:sz w:val="22"/>
        </w:rPr>
        <w:t>The Registrant may, in its discretion, indemnify employees and agents in those circumstances where indemnification is permitted by applicable law.</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 xml:space="preserve">• </w:t>
      </w:r>
      <w:r>
        <w:rPr>
          <w:rFonts w:ascii="Times New Roman;serif" w:hAnsi="Times New Roman;serif"/>
          <w:b w:val="false"/>
          <w:color w:val="000000"/>
          <w:sz w:val="22"/>
        </w:rPr>
        <w:t>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 xml:space="preserve">• </w:t>
      </w:r>
      <w:r>
        <w:rPr>
          <w:rFonts w:ascii="Times New Roman;serif" w:hAnsi="Times New Roman;serif"/>
          <w:b w:val="false"/>
          <w:color w:val="000000"/>
          <w:sz w:val="22"/>
        </w:rPr>
        <w:t>The Registrant is not obligated pursuant to the bylaws to indemnify a person with respect to proceedings initiated by that person, except with respect to proceedings authorized by the Registrant’s Board of Directors or brought to enforce a right to indemnification.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 xml:space="preserve">• </w:t>
      </w:r>
      <w:r>
        <w:rPr>
          <w:rFonts w:ascii="Times New Roman;serif" w:hAnsi="Times New Roman;serif"/>
          <w:b w:val="false"/>
          <w:color w:val="000000"/>
          <w:sz w:val="22"/>
        </w:rPr>
        <w:t>The rights conferred in the bylaws are not exclusive, and the Registrant is authorized to enter into indemnification agreements with its directors, officers, employees and agents and to obtain insurance to indemnify such persons.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color w:val="000000"/>
        </w:rPr>
        <w:t xml:space="preserve">• </w:t>
      </w:r>
      <w:r>
        <w:rPr>
          <w:rFonts w:ascii="Times New Roman;serif" w:hAnsi="Times New Roman;serif"/>
          <w:b w:val="false"/>
          <w:color w:val="000000"/>
          <w:sz w:val="22"/>
        </w:rPr>
        <w:t>The Registrant may not retroactively amend the bylaw provisions to reduce its indemnification obligations to directors, officers, employees and agents.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Registrant also maintains directors’ and officers’ insurance to insure such persons against certain liabilities.</w:t>
      </w:r>
    </w:p>
    <w:p>
      <w:pPr>
        <w:pStyle w:val="TextBody"/>
        <w:bidi w:val="0"/>
        <w:ind w:left="0" w:right="0" w:firstLine="72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Registrant has entered into separate indemnification agreements with its directors and officers. Each indemnification agreement provides, among other things, for indemnification to the fullest extent permitted by law and the Registrant’s certificate of incorporation and bylaws against any and all expenses, judgments, fines, penalties and amounts paid in settlement of any claim. The indemnification agreements provide for the advancement or payment of all expenses to the indemnitee and for reimbursement to the Registrant if it is found that such indemnitee is not entitled to such indemnification under applicable law and the Registrant’s certificate of incorporation and bylaws.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These indemnification provisions may be sufficiently broad to permit indemnification of the Registrant’s officers and directors for liabilities (including reimbursement of expenses incurred) arising under the Securities Act. These agreements are in addition to the indemnification provided by the Registrant’s certificate of incorporation and bylaws. Insofar as indemnification for liabilities arising under the Securities Act may be permitted to directors, the Registrant has been informed that, in the opinion of the Commission, such indemnification is against public policy and is therefore unenforceable.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Item 8.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93"/>
        <w:gridCol w:w="345"/>
        <w:gridCol w:w="346"/>
        <w:gridCol w:w="109"/>
        <w:gridCol w:w="109"/>
        <w:gridCol w:w="109"/>
        <w:gridCol w:w="2594"/>
        <w:gridCol w:w="2561"/>
        <w:gridCol w:w="3639"/>
      </w:tblGrid>
      <w:tr>
        <w:trPr/>
        <w:tc>
          <w:tcPr>
            <w:tcW w:w="39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2561" w:type="dxa"/>
            <w:tcBorders/>
            <w:vAlign w:val="center"/>
          </w:tcPr>
          <w:p>
            <w:pPr>
              <w:pStyle w:val="TableContents"/>
              <w:bidi w:val="0"/>
              <w:spacing w:before="0" w:after="283"/>
              <w:jc w:val="left"/>
              <w:rPr>
                <w:sz w:val="4"/>
                <w:szCs w:val="4"/>
              </w:rPr>
            </w:pPr>
            <w:r>
              <w:rPr>
                <w:sz w:val="4"/>
                <w:szCs w:val="4"/>
              </w:rPr>
            </w:r>
          </w:p>
        </w:tc>
        <w:tc>
          <w:tcPr>
            <w:tcW w:w="3639" w:type="dxa"/>
            <w:tcBorders/>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Description</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1">
              <w:r>
                <w:rPr>
                  <w:rStyle w:val="InternetLink"/>
                  <w:rFonts w:ascii="Times New Roman;serif" w:hAnsi="Times New Roman;serif"/>
                  <w:b w:val="false"/>
                  <w:color w:val="000080"/>
                  <w:sz w:val="22"/>
                  <w:u w:val="single"/>
                </w:rPr>
                <w:t>Amended and Restated Certificate of Incorporation of the Registrant, dated October 19, 2020</w:t>
              </w:r>
            </w:hyperlink>
            <w:hyperlink r:id="rId12">
              <w:r>
                <w:rPr>
                  <w:rStyle w:val="InternetLink"/>
                  <w:rFonts w:ascii="Times New Roman;serif" w:hAnsi="Times New Roman;serif"/>
                  <w:b w:val="false"/>
                  <w:color w:val="000080"/>
                  <w:sz w:val="22"/>
                  <w:u w:val="single"/>
                </w:rPr>
                <w:t xml:space="preserve"> (incorporated herein by reference to Exhibit 3.1 to the Registrant’s Current Report on Form 8-K (Commission File No. 001-39613) filed with the Commission on October 19, 2020) </w:t>
              </w:r>
            </w:hyperlink>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422026s-8.htm">
              <w:r>
                <w:rPr>
                  <w:rStyle w:val="InternetLink"/>
                  <w:rFonts w:ascii="Times New Roman;serif" w:hAnsi="Times New Roman;serif"/>
                  <w:b w:val="false"/>
                  <w:color w:val="0000FF"/>
                  <w:sz w:val="22"/>
                  <w:u w:val="single"/>
                </w:rPr>
                <w:t xml:space="preserve">Certificate of Amendment to the Amended and Restated Certificate of Incorporation of the Registrant, dated June 15, 2026 (filed herewith) </w:t>
              </w:r>
            </w:hyperlink>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3">
              <w:r>
                <w:rPr>
                  <w:rStyle w:val="InternetLink"/>
                  <w:rFonts w:ascii="Times New Roman;serif" w:hAnsi="Times New Roman;serif"/>
                  <w:b w:val="false"/>
                  <w:color w:val="000080"/>
                  <w:sz w:val="22"/>
                  <w:u w:val="single"/>
                </w:rPr>
                <w:t>Amended and Restated Bylaws of the Registrant, dated October 19, 2020</w:t>
              </w:r>
            </w:hyperlink>
            <w:hyperlink r:id="rId14">
              <w:r>
                <w:rPr>
                  <w:rStyle w:val="InternetLink"/>
                  <w:rFonts w:ascii="Times New Roman;serif" w:hAnsi="Times New Roman;serif"/>
                  <w:b w:val="false"/>
                  <w:color w:val="000080"/>
                  <w:sz w:val="22"/>
                  <w:u w:val="single"/>
                </w:rPr>
                <w:t xml:space="preserve"> (incorporated herein by reference to Exhibit 3.2 to the Registrant’s Current Report on Form 8-K (Commission File No. 001-39613) filed with the Commission on October 19, 2020)</w:t>
              </w:r>
            </w:hyperlink>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5">
              <w:r>
                <w:rPr>
                  <w:rStyle w:val="InternetLink"/>
                  <w:rFonts w:ascii="Times New Roman;serif" w:hAnsi="Times New Roman;serif"/>
                  <w:b w:val="false"/>
                  <w:color w:val="000080"/>
                  <w:sz w:val="22"/>
                  <w:u w:val="single"/>
                </w:rPr>
                <w:t>Description of Capital Stock of the Registrant</w:t>
              </w:r>
            </w:hyperlink>
            <w:hyperlink r:id="rId16">
              <w:r>
                <w:rPr>
                  <w:rStyle w:val="InternetLink"/>
                  <w:rFonts w:ascii="Times New Roman;serif" w:hAnsi="Times New Roman;serif"/>
                  <w:b w:val="false"/>
                  <w:color w:val="000080"/>
                  <w:sz w:val="22"/>
                  <w:u w:val="single"/>
                </w:rPr>
                <w:t xml:space="preserve"> (incorporated herein by reference to Exhibit 4.1 to the Registrant’s Annual Report on Form 10-K for the year ended December 31, 2020 (Commission File No. 001-39613), filed March 10, 2021)</w:t>
              </w:r>
            </w:hyperlink>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7">
              <w:r>
                <w:rPr>
                  <w:rStyle w:val="InternetLink"/>
                  <w:rFonts w:ascii="Times New Roman;serif" w:hAnsi="Times New Roman;serif"/>
                  <w:b w:val="false"/>
                  <w:color w:val="000080"/>
                  <w:sz w:val="22"/>
                  <w:u w:val="single"/>
                </w:rPr>
                <w:t>Array Technologies, Inc. Amended and Restated 2020 Long-Term Incentive Plan</w:t>
              </w:r>
            </w:hyperlink>
            <w:hyperlink r:id="rId18">
              <w:r>
                <w:rPr>
                  <w:rStyle w:val="InternetLink"/>
                  <w:rFonts w:ascii="Times New Roman;serif" w:hAnsi="Times New Roman;serif"/>
                  <w:b w:val="false"/>
                  <w:color w:val="000080"/>
                  <w:sz w:val="22"/>
                  <w:u w:val="single"/>
                </w:rPr>
                <w:t xml:space="preserve"> (incorporated herein by reference to Exhibit 10.7 to the Registrant’s Annual Report on Form 10-K for the year ended December 31, 2024 (Commission File No. 001-39613) filed with the Commission on March 3, 2025)</w:t>
              </w:r>
            </w:hyperlink>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2026s-8.htm">
              <w:r>
                <w:rPr>
                  <w:rStyle w:val="InternetLink"/>
                  <w:rFonts w:ascii="Times New Roman;serif" w:hAnsi="Times New Roman;serif"/>
                  <w:b w:val="false"/>
                  <w:color w:val="0000FF"/>
                  <w:sz w:val="22"/>
                  <w:u w:val="single"/>
                </w:rPr>
                <w:t>Opinion of Jones Day (filed herewith)</w:t>
              </w:r>
            </w:hyperlink>
            <w:r>
              <w:rPr>
                <w:color w:val="000000"/>
              </w:rPr>
              <w:t xml:space="preserve"> </w:t>
            </w:r>
          </w:p>
        </w:tc>
      </w:tr>
      <w:tr>
        <w:trPr/>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2026s-8.htm">
              <w:r>
                <w:rPr>
                  <w:rStyle w:val="InternetLink"/>
                  <w:rFonts w:ascii="Times New Roman;serif" w:hAnsi="Times New Roman;serif"/>
                  <w:b w:val="false"/>
                  <w:color w:val="0000FF"/>
                  <w:sz w:val="22"/>
                  <w:u w:val="single"/>
                </w:rPr>
                <w:t xml:space="preserve">Consent of Independent Registered Public Accounting Firm (Deloitte &amp; Touch LLP) (filed herewith) </w:t>
              </w:r>
            </w:hyperlink>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right"/>
        <w:rPr/>
      </w:pPr>
      <w:r>
        <w:rPr/>
      </w:r>
    </w:p>
    <w:tbl>
      <w:tblPr>
        <w:tblW w:w="8442"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2215"/>
        <w:gridCol w:w="2215"/>
        <w:gridCol w:w="3144"/>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3144"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512026s-8.htm">
              <w:r>
                <w:rPr>
                  <w:rStyle w:val="InternetLink"/>
                  <w:rFonts w:ascii="Times New Roman;serif" w:hAnsi="Times New Roman;serif"/>
                  <w:b w:val="false"/>
                  <w:color w:val="0000FF"/>
                  <w:sz w:val="22"/>
                  <w:u w:val="single"/>
                </w:rPr>
                <w:t>Consent of Jones Day (included in Exhibit 5.1) (filed herewith)</w:t>
              </w:r>
            </w:hyperlink>
            <w:r>
              <w:rPr>
                <w:color w:val="000000"/>
              </w:rPr>
              <w:t xml:space="preserve"> </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4ca055754114673af25bb84dea7f92f_215">
              <w:r>
                <w:rPr>
                  <w:rStyle w:val="InternetLink"/>
                  <w:rFonts w:ascii="Times New Roman;serif" w:hAnsi="Times New Roman;serif"/>
                  <w:b w:val="false"/>
                  <w:color w:val="0000FF"/>
                  <w:sz w:val="22"/>
                  <w:u w:val="single"/>
                </w:rPr>
                <w:t>Powers of Attorney (included on signature page of this Registration Statement)</w:t>
              </w:r>
            </w:hyperlink>
            <w:r>
              <w:rPr>
                <w:color w:val="000000"/>
              </w:rPr>
              <w:t xml:space="preserve"> </w:t>
            </w:r>
          </w:p>
        </w:tc>
      </w:tr>
      <w:tr>
        <w:trPr/>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filingfees.htm">
              <w:r>
                <w:rPr>
                  <w:rStyle w:val="InternetLink"/>
                  <w:rFonts w:ascii="Times New Roman;serif" w:hAnsi="Times New Roman;serif"/>
                  <w:b w:val="false"/>
                  <w:color w:val="0000FF"/>
                  <w:sz w:val="22"/>
                  <w:u w:val="single"/>
                </w:rPr>
                <w:t>Calculation of Filing Fee Tables (filed herewith)</w:t>
              </w:r>
            </w:hyperlink>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Item 9. Undertakings.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 The undersigned Registrant hereby undertakes:</w:t>
      </w:r>
    </w:p>
    <w:p>
      <w:pPr>
        <w:pStyle w:val="TextBody"/>
        <w:bidi w:val="0"/>
        <w:spacing w:before="0" w:after="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(1) To file, during any period in which offers or sales are being made, a post-effective amendment to this Registration Statement:</w:t>
      </w:r>
    </w:p>
    <w:p>
      <w:pPr>
        <w:pStyle w:val="TextBody"/>
        <w:bidi w:val="0"/>
        <w:spacing w:before="0" w:after="0"/>
        <w:ind w:left="0" w:right="0" w:firstLine="1440"/>
        <w:jc w:val="left"/>
        <w:rPr/>
      </w:pPr>
      <w:r>
        <w:rPr/>
      </w:r>
    </w:p>
    <w:p>
      <w:pPr>
        <w:pStyle w:val="TextBody"/>
        <w:bidi w:val="0"/>
        <w:spacing w:lineRule="auto" w:line="268" w:before="0" w:after="0"/>
        <w:ind w:left="0" w:right="0" w:firstLine="2160"/>
        <w:jc w:val="left"/>
        <w:rPr/>
      </w:pPr>
      <w:r>
        <w:rPr>
          <w:rFonts w:ascii="Times New Roman;serif" w:hAnsi="Times New Roman;serif"/>
          <w:b w:val="false"/>
          <w:color w:val="000000"/>
          <w:sz w:val="22"/>
        </w:rPr>
        <w:t>(i) To include any prospectus required by Section 10(a)(3) of the Securities Act of 1933, as amended (the “</w:t>
      </w:r>
      <w:r>
        <w:rPr>
          <w:rFonts w:ascii="Times New Roman;serif" w:hAnsi="Times New Roman;serif"/>
          <w:b/>
          <w:i/>
          <w:color w:val="000000"/>
          <w:sz w:val="22"/>
        </w:rPr>
        <w:t>Securities Act</w:t>
      </w:r>
      <w:r>
        <w:rPr>
          <w:color w:val="000000"/>
        </w:rPr>
        <w:t>”</w:t>
      </w:r>
      <w:r>
        <w:rPr>
          <w:rFonts w:ascii="Times New Roman;serif" w:hAnsi="Times New Roman;serif"/>
          <w:b w:val="false"/>
          <w:color w:val="000000"/>
          <w:sz w:val="22"/>
        </w:rPr>
        <w:t>);</w:t>
      </w:r>
    </w:p>
    <w:p>
      <w:pPr>
        <w:pStyle w:val="TextBody"/>
        <w:bidi w:val="0"/>
        <w:spacing w:before="0" w:after="0"/>
        <w:ind w:left="0" w:right="0" w:firstLine="2160"/>
        <w:jc w:val="left"/>
        <w:rPr/>
      </w:pPr>
      <w:r>
        <w:rPr/>
      </w:r>
    </w:p>
    <w:p>
      <w:pPr>
        <w:pStyle w:val="TextBody"/>
        <w:bidi w:val="0"/>
        <w:spacing w:lineRule="auto" w:line="268" w:before="0" w:after="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w:t>
      </w:r>
    </w:p>
    <w:p>
      <w:pPr>
        <w:pStyle w:val="TextBody"/>
        <w:bidi w:val="0"/>
        <w:spacing w:before="0" w:after="0"/>
        <w:ind w:left="0" w:right="0" w:firstLine="2160"/>
        <w:jc w:val="left"/>
        <w:rPr/>
      </w:pPr>
      <w:r>
        <w:rPr/>
      </w:r>
    </w:p>
    <w:p>
      <w:pPr>
        <w:pStyle w:val="TextBody"/>
        <w:bidi w:val="0"/>
        <w:spacing w:lineRule="auto" w:line="268" w:before="0" w:after="0"/>
        <w:ind w:left="0" w:right="0" w:firstLine="2160"/>
        <w:jc w:val="left"/>
        <w:rPr>
          <w:rFonts w:ascii="Times New Roman;serif" w:hAnsi="Times New Roman;serif"/>
          <w:b w:val="false"/>
          <w:color w:val="000000"/>
          <w:sz w:val="22"/>
        </w:rPr>
      </w:pPr>
      <w:r>
        <w:rPr>
          <w:rFonts w:ascii="Times New Roman;serif" w:hAnsi="Times New Roman;serif"/>
          <w:b w:val="false"/>
          <w:color w:val="000000"/>
          <w:sz w:val="22"/>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firstLine="2160"/>
        <w:jc w:val="left"/>
        <w:rPr/>
      </w:pPr>
      <w:r>
        <w:rPr/>
      </w:r>
    </w:p>
    <w:p>
      <w:pPr>
        <w:pStyle w:val="TextBody"/>
        <w:bidi w:val="0"/>
        <w:spacing w:lineRule="auto" w:line="268" w:before="0" w:after="0"/>
        <w:ind w:left="0" w:right="0" w:firstLine="720"/>
        <w:jc w:val="left"/>
        <w:rPr/>
      </w:pPr>
      <w:r>
        <w:rPr>
          <w:rFonts w:ascii="Times New Roman;serif" w:hAnsi="Times New Roman;serif"/>
          <w:b w:val="false"/>
          <w:i/>
          <w:color w:val="000000"/>
          <w:sz w:val="22"/>
        </w:rPr>
        <w:t>provided</w:t>
      </w:r>
      <w:r>
        <w:rPr>
          <w:rFonts w:ascii="Times New Roman;serif" w:hAnsi="Times New Roman;serif"/>
          <w:b w:val="false"/>
          <w:color w:val="000000"/>
          <w:sz w:val="22"/>
        </w:rPr>
        <w:t xml:space="preserve">, </w:t>
      </w:r>
      <w:r>
        <w:rPr>
          <w:rFonts w:ascii="Times New Roman;serif" w:hAnsi="Times New Roman;serif"/>
          <w:b w:val="false"/>
          <w:i/>
          <w:color w:val="000000"/>
          <w:sz w:val="22"/>
        </w:rPr>
        <w:t>however</w:t>
      </w:r>
      <w:r>
        <w:rPr>
          <w:rFonts w:ascii="Times New Roman;serif" w:hAnsi="Times New Roman;serif"/>
          <w:b w:val="false"/>
          <w:color w:val="000000"/>
          <w:sz w:val="22"/>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pPr>
      <w:r>
        <w:rPr>
          <w:rFonts w:ascii="Times New Roman;serif" w:hAnsi="Times New Roman;serif"/>
          <w:b w:val="false"/>
          <w:color w:val="000000"/>
          <w:sz w:val="22"/>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offering thereof.</w:t>
      </w:r>
    </w:p>
    <w:p>
      <w:pPr>
        <w:pStyle w:val="TextBody"/>
        <w:bidi w:val="0"/>
        <w:spacing w:before="0" w:after="0"/>
        <w:ind w:left="0" w:right="0" w:firstLine="1440"/>
        <w:jc w:val="left"/>
        <w:rPr/>
      </w:pPr>
      <w:r>
        <w:rPr/>
      </w:r>
    </w:p>
    <w:p>
      <w:pPr>
        <w:pStyle w:val="TextBody"/>
        <w:bidi w:val="0"/>
        <w:spacing w:lineRule="auto" w:line="268" w:before="0" w:after="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(3) To remove from registration by means of a post-effective amendment any of the securities being registered which remain unsold at the termination of the offering.</w:t>
      </w:r>
    </w:p>
    <w:p>
      <w:pPr>
        <w:pStyle w:val="TextBody"/>
        <w:bidi w:val="0"/>
        <w:spacing w:before="0" w:after="0"/>
        <w:ind w:left="0" w:right="0" w:firstLine="720"/>
        <w:jc w:val="left"/>
        <w:rPr/>
      </w:pPr>
      <w:r>
        <w:rPr/>
      </w:r>
    </w:p>
    <w:p>
      <w:pPr>
        <w:pStyle w:val="TextBody"/>
        <w:bidi w:val="0"/>
        <w:spacing w:lineRule="auto" w:line="268"/>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w:t>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left"/>
        <w:rPr/>
      </w:pPr>
      <w:r>
        <w:rPr>
          <w:rFonts w:ascii="Times New Roman;serif" w:hAnsi="Times New Roman;serif"/>
          <w:b w:val="false"/>
          <w:color w:val="000000"/>
          <w:sz w:val="22"/>
        </w:rPr>
        <w:t xml:space="preserve">Statement shall be deemed to be a new registration statement relating to the securities offered therein, and the offering of such securities at that time shall be deemed to be the initial </w:t>
      </w:r>
      <w:r>
        <w:rPr>
          <w:rFonts w:ascii="Times New Roman;serif" w:hAnsi="Times New Roman;serif"/>
          <w:b w:val="false"/>
          <w:i/>
          <w:color w:val="000000"/>
          <w:sz w:val="22"/>
        </w:rPr>
        <w:t>bona fide</w:t>
      </w:r>
      <w:r>
        <w:rPr>
          <w:color w:val="000000"/>
        </w:rPr>
        <w:t xml:space="preserve"> </w:t>
      </w:r>
      <w:r>
        <w:rPr>
          <w:rFonts w:ascii="Times New Roman;serif" w:hAnsi="Times New Roman;serif"/>
          <w:b w:val="false"/>
          <w:color w:val="000000"/>
          <w:sz w:val="22"/>
        </w:rPr>
        <w:t>offering thereof.</w:t>
      </w:r>
    </w:p>
    <w:p>
      <w:pPr>
        <w:pStyle w:val="TextBody"/>
        <w:bidi w:val="0"/>
        <w:spacing w:before="0" w:after="0"/>
        <w:ind w:left="0" w:right="0" w:firstLine="720"/>
        <w:jc w:val="left"/>
        <w:rPr/>
      </w:pPr>
      <w:r>
        <w:rPr/>
      </w:r>
    </w:p>
    <w:p>
      <w:pPr>
        <w:pStyle w:val="TextBody"/>
        <w:bidi w:val="0"/>
        <w:spacing w:lineRule="auto" w:line="268" w:before="0" w:after="0"/>
        <w:jc w:val="left"/>
        <w:rPr/>
      </w:pPr>
      <w:r>
        <w:rPr>
          <w:rFonts w:ascii="Times New Roman;serif" w:hAnsi="Times New Roman;serif"/>
          <w:b w:val="false"/>
          <w:color w:val="000000"/>
          <w:sz w:val="22"/>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w:t>
      </w:r>
      <w:r>
        <w:rPr>
          <w:color w:val="000000"/>
        </w:rPr>
        <w:t xml:space="preserve"> </w:t>
      </w:r>
      <w:r>
        <w:rPr>
          <w:rFonts w:ascii="Times New Roman;serif" w:hAnsi="Times New Roman;serif"/>
          <w:b w:val="false"/>
          <w:color w:val="000000"/>
          <w:sz w:val="22"/>
        </w:rPr>
        <w:t>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 xml:space="preserve">SIGNATURES </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Chandler, State of Arizona, on this 18th day of June, 2026.</w:t>
      </w:r>
    </w:p>
    <w:p>
      <w:pPr>
        <w:pStyle w:val="TextBody"/>
        <w:bidi w:val="0"/>
        <w:spacing w:before="240" w:after="283"/>
        <w:jc w:val="left"/>
        <w:rPr/>
      </w:pPr>
      <w:r>
        <w:rPr/>
      </w:r>
    </w:p>
    <w:tbl>
      <w:tblPr>
        <w:tblW w:w="71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1"/>
        <w:gridCol w:w="371"/>
        <w:gridCol w:w="371"/>
        <w:gridCol w:w="371"/>
        <w:gridCol w:w="371"/>
        <w:gridCol w:w="371"/>
        <w:gridCol w:w="1257"/>
        <w:gridCol w:w="1257"/>
        <w:gridCol w:w="17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ARRAY TECHNOLOGIES,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Gina K. Gunning</w:t>
            </w:r>
          </w:p>
        </w:tc>
      </w:tr>
      <w:tr>
        <w:trPr/>
        <w:tc>
          <w:tcPr>
            <w:tcW w:w="342"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6"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13"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Gina K. Gunning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Legal Officer and Corporate Secretary</w:t>
            </w:r>
          </w:p>
        </w:tc>
      </w:tr>
    </w:tbl>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68" w:before="0" w:after="0"/>
        <w:jc w:val="center"/>
        <w:rPr/>
      </w:pPr>
      <w:r>
        <w:rPr>
          <w:color w:val="000000"/>
        </w:rPr>
        <w:t> </w:t>
      </w:r>
      <w:r>
        <w:rPr>
          <w:rFonts w:ascii="Times New Roman;serif" w:hAnsi="Times New Roman;serif"/>
          <w:b/>
          <w:color w:val="000000"/>
          <w:sz w:val="22"/>
        </w:rPr>
        <w:t>POWER OF ATTORNEY</w:t>
      </w:r>
    </w:p>
    <w:p>
      <w:pPr>
        <w:pStyle w:val="TextBody"/>
        <w:bidi w:val="0"/>
        <w:spacing w:before="0" w:after="0"/>
        <w:jc w:val="center"/>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KNOW ALL PERSONS BY THESE PRESENTS, that each of the undersigned officers and directors of the Registrant hereby constitutes and appoints H. Keith Jennings and Gina K. Gunning, or either of them, each acting alone, as the true and lawful attorney-in-fact or agent, or attorneys-in-fact or agents, for each of the undersigned, with full power of substitution and resubstitution, and in the name, place and stead of each of the undersigned, to execute and file any and all amendments, including post-effective amendments, supplements and exhibits to the Registration Statement and any and all applications or other documents to be filed with the Commission or any state securities commission or other regulatory authority or exchange with respect to the securities covered by the Registration Statement, granting unto said attorneys-in-fact and agents, and each of them, full power and authority to do and perform each and every act and thing necessary, appropriate or desirable to be done in and about the premises in order to effectuate the same as fully to all intents and purposes as he or she might or could do if personally present, hereby ratifying and confirming all that said attorneys-in-fact and agents, and each of them, may lawfully do or cause to be done by virtue hereof.</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Act, this Registration Statement has been signed by the following persons in the capacities and on the date indicated.</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45"/>
        <w:gridCol w:w="566"/>
        <w:gridCol w:w="570"/>
        <w:gridCol w:w="109"/>
        <w:gridCol w:w="109"/>
        <w:gridCol w:w="109"/>
        <w:gridCol w:w="109"/>
        <w:gridCol w:w="109"/>
        <w:gridCol w:w="109"/>
        <w:gridCol w:w="109"/>
        <w:gridCol w:w="109"/>
        <w:gridCol w:w="109"/>
        <w:gridCol w:w="2186"/>
        <w:gridCol w:w="2172"/>
        <w:gridCol w:w="3085"/>
      </w:tblGrid>
      <w:tr>
        <w:trPr/>
        <w:tc>
          <w:tcPr>
            <w:tcW w:w="64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3085"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Kevin Hostetler </w:t>
            </w:r>
          </w:p>
        </w:tc>
      </w:tr>
      <w:tr>
        <w:trPr/>
        <w:tc>
          <w:tcPr>
            <w:tcW w:w="1781"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Kevin Hostetler</w:t>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 of the Board of Directors and Chief Executive Officer (principal executive officer)</w:t>
            </w:r>
          </w:p>
        </w:tc>
      </w:tr>
    </w:tbl>
    <w:p>
      <w:pPr>
        <w:pStyle w:val="TextBody"/>
        <w:bidi w:val="0"/>
        <w:spacing w:before="0" w:after="0"/>
        <w:jc w:val="left"/>
        <w:rPr/>
      </w:pPr>
      <w:r>
        <w:rPr/>
      </w:r>
    </w:p>
    <w:p>
      <w:pPr>
        <w:pStyle w:val="TextBody"/>
        <w:bidi w:val="0"/>
        <w:spacing w:before="0" w:after="0"/>
        <w:jc w:val="left"/>
        <w:rPr/>
      </w:pPr>
      <w:r>
        <w:rPr/>
      </w:r>
    </w:p>
    <w:tbl>
      <w:tblPr>
        <w:tblW w:w="7866"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109"/>
        <w:gridCol w:w="109"/>
        <w:gridCol w:w="109"/>
        <w:gridCol w:w="109"/>
        <w:gridCol w:w="109"/>
        <w:gridCol w:w="109"/>
        <w:gridCol w:w="1424"/>
        <w:gridCol w:w="1424"/>
        <w:gridCol w:w="2027"/>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H. Keith Jennings </w:t>
            </w:r>
          </w:p>
        </w:tc>
      </w:tr>
      <w:tr>
        <w:trPr/>
        <w:tc>
          <w:tcPr>
            <w:tcW w:w="2010"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H. Keith Jennings</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 (principal financial officer)</w:t>
            </w:r>
          </w:p>
        </w:tc>
      </w:tr>
    </w:tbl>
    <w:p>
      <w:pPr>
        <w:pStyle w:val="TextBody"/>
        <w:bidi w:val="0"/>
        <w:spacing w:before="0" w:after="0"/>
        <w:jc w:val="left"/>
        <w:rPr/>
      </w:pPr>
      <w:r>
        <w:rPr/>
      </w:r>
    </w:p>
    <w:p>
      <w:pPr>
        <w:pStyle w:val="TextBody"/>
        <w:bidi w:val="0"/>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before="0" w:after="0"/>
        <w:jc w:val="right"/>
        <w:rPr/>
      </w:pPr>
      <w:r>
        <w:rPr/>
      </w:r>
    </w:p>
    <w:tbl>
      <w:tblPr>
        <w:tblW w:w="8330"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109"/>
        <w:gridCol w:w="109"/>
        <w:gridCol w:w="109"/>
        <w:gridCol w:w="109"/>
        <w:gridCol w:w="109"/>
        <w:gridCol w:w="109"/>
        <w:gridCol w:w="1564"/>
        <w:gridCol w:w="1564"/>
        <w:gridCol w:w="2211"/>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James Zhu </w:t>
            </w:r>
          </w:p>
        </w:tc>
      </w:tr>
      <w:tr>
        <w:trPr/>
        <w:tc>
          <w:tcPr>
            <w:tcW w:w="2010"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Zhu</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Accounting Officer (principal accounting officer)</w:t>
            </w:r>
          </w:p>
        </w:tc>
      </w:tr>
    </w:tbl>
    <w:p>
      <w:pPr>
        <w:pStyle w:val="TextBody"/>
        <w:bidi w:val="0"/>
        <w:spacing w:before="0" w:after="0"/>
        <w:jc w:val="left"/>
        <w:rPr/>
      </w:pPr>
      <w:r>
        <w:rPr/>
      </w:r>
    </w:p>
    <w:p>
      <w:pPr>
        <w:pStyle w:val="TextBody"/>
        <w:bidi w:val="0"/>
        <w:spacing w:before="0" w:after="0"/>
        <w:jc w:val="left"/>
        <w:rPr/>
      </w:pPr>
      <w:r>
        <w:rPr/>
      </w:r>
    </w:p>
    <w:tbl>
      <w:tblPr>
        <w:tblW w:w="6456"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109"/>
        <w:gridCol w:w="109"/>
        <w:gridCol w:w="109"/>
        <w:gridCol w:w="109"/>
        <w:gridCol w:w="109"/>
        <w:gridCol w:w="109"/>
        <w:gridCol w:w="1014"/>
        <w:gridCol w:w="1014"/>
        <w:gridCol w:w="1437"/>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J. Bradford Forth </w:t>
            </w:r>
          </w:p>
        </w:tc>
      </w:tr>
      <w:tr>
        <w:trPr/>
        <w:tc>
          <w:tcPr>
            <w:tcW w:w="2010"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 Bradford Forth</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Chairman of the Board of Directors</w:t>
            </w:r>
          </w:p>
        </w:tc>
      </w:tr>
    </w:tbl>
    <w:p>
      <w:pPr>
        <w:pStyle w:val="TextBody"/>
        <w:bidi w:val="0"/>
        <w:spacing w:before="0" w:after="0"/>
        <w:jc w:val="left"/>
        <w:rPr/>
      </w:pPr>
      <w:r>
        <w:rPr/>
      </w:r>
    </w:p>
    <w:p>
      <w:pPr>
        <w:pStyle w:val="TextBody"/>
        <w:bidi w:val="0"/>
        <w:spacing w:before="0" w:after="0"/>
        <w:jc w:val="left"/>
        <w:rPr/>
      </w:pPr>
      <w:r>
        <w:rPr/>
      </w:r>
    </w:p>
    <w:tbl>
      <w:tblPr>
        <w:tblW w:w="6320"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109"/>
        <w:gridCol w:w="109"/>
        <w:gridCol w:w="109"/>
        <w:gridCol w:w="109"/>
        <w:gridCol w:w="109"/>
        <w:gridCol w:w="109"/>
        <w:gridCol w:w="972"/>
        <w:gridCol w:w="972"/>
        <w:gridCol w:w="1385"/>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Troy Alstead </w:t>
            </w:r>
          </w:p>
        </w:tc>
      </w:tr>
      <w:tr>
        <w:trPr/>
        <w:tc>
          <w:tcPr>
            <w:tcW w:w="2010"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Troy Alstead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 of the Board of Directors</w:t>
            </w:r>
          </w:p>
        </w:tc>
      </w:tr>
    </w:tbl>
    <w:p>
      <w:pPr>
        <w:pStyle w:val="TextBody"/>
        <w:bidi w:val="0"/>
        <w:spacing w:before="0" w:after="0"/>
        <w:jc w:val="left"/>
        <w:rPr/>
      </w:pPr>
      <w:r>
        <w:rPr/>
      </w:r>
    </w:p>
    <w:p>
      <w:pPr>
        <w:pStyle w:val="TextBody"/>
        <w:bidi w:val="0"/>
        <w:spacing w:before="0" w:after="0"/>
        <w:jc w:val="left"/>
        <w:rPr/>
      </w:pPr>
      <w:r>
        <w:rPr/>
      </w:r>
    </w:p>
    <w:tbl>
      <w:tblPr>
        <w:tblW w:w="6320"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109"/>
        <w:gridCol w:w="109"/>
        <w:gridCol w:w="109"/>
        <w:gridCol w:w="109"/>
        <w:gridCol w:w="109"/>
        <w:gridCol w:w="109"/>
        <w:gridCol w:w="974"/>
        <w:gridCol w:w="974"/>
        <w:gridCol w:w="1381"/>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Orlando D. Ashford </w:t>
            </w:r>
          </w:p>
        </w:tc>
      </w:tr>
      <w:tr>
        <w:trPr/>
        <w:tc>
          <w:tcPr>
            <w:tcW w:w="2010"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Orlando D. Ashford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 of the Board of Directors</w:t>
            </w:r>
          </w:p>
        </w:tc>
      </w:tr>
    </w:tbl>
    <w:p>
      <w:pPr>
        <w:pStyle w:val="TextBody"/>
        <w:bidi w:val="0"/>
        <w:spacing w:before="0" w:after="0"/>
        <w:jc w:val="left"/>
        <w:rPr/>
      </w:pPr>
      <w:r>
        <w:rPr/>
      </w:r>
    </w:p>
    <w:p>
      <w:pPr>
        <w:pStyle w:val="TextBody"/>
        <w:bidi w:val="0"/>
        <w:spacing w:before="0" w:after="0"/>
        <w:jc w:val="left"/>
        <w:rPr/>
      </w:pPr>
      <w:r>
        <w:rPr/>
      </w:r>
    </w:p>
    <w:tbl>
      <w:tblPr>
        <w:tblW w:w="6320"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109"/>
        <w:gridCol w:w="109"/>
        <w:gridCol w:w="109"/>
        <w:gridCol w:w="109"/>
        <w:gridCol w:w="109"/>
        <w:gridCol w:w="109"/>
        <w:gridCol w:w="973"/>
        <w:gridCol w:w="973"/>
        <w:gridCol w:w="1383"/>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Emily Cohen </w:t>
            </w:r>
          </w:p>
        </w:tc>
      </w:tr>
      <w:tr>
        <w:trPr/>
        <w:tc>
          <w:tcPr>
            <w:tcW w:w="2010"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Emily Cohen</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 of the Board of Directors</w:t>
            </w:r>
          </w:p>
        </w:tc>
      </w:tr>
    </w:tbl>
    <w:p>
      <w:pPr>
        <w:pStyle w:val="TextBody"/>
        <w:bidi w:val="0"/>
        <w:spacing w:before="0" w:after="0"/>
        <w:jc w:val="left"/>
        <w:rPr/>
      </w:pPr>
      <w:r>
        <w:rPr/>
      </w:r>
    </w:p>
    <w:p>
      <w:pPr>
        <w:pStyle w:val="TextBody"/>
        <w:bidi w:val="0"/>
        <w:spacing w:before="0" w:after="0"/>
        <w:jc w:val="left"/>
        <w:rPr/>
      </w:pPr>
      <w:r>
        <w:rPr/>
      </w:r>
    </w:p>
    <w:tbl>
      <w:tblPr>
        <w:tblW w:w="6321"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109"/>
        <w:gridCol w:w="109"/>
        <w:gridCol w:w="109"/>
        <w:gridCol w:w="109"/>
        <w:gridCol w:w="109"/>
        <w:gridCol w:w="109"/>
        <w:gridCol w:w="975"/>
        <w:gridCol w:w="975"/>
        <w:gridCol w:w="1380"/>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Jayanthi Iyengar </w:t>
            </w:r>
          </w:p>
        </w:tc>
      </w:tr>
      <w:tr>
        <w:trPr/>
        <w:tc>
          <w:tcPr>
            <w:tcW w:w="2010"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Jayanthi Iyengar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 of the Board of Directors</w:t>
            </w:r>
          </w:p>
        </w:tc>
      </w:tr>
    </w:tbl>
    <w:p>
      <w:pPr>
        <w:pStyle w:val="TextBody"/>
        <w:bidi w:val="0"/>
        <w:spacing w:before="0" w:after="0"/>
        <w:jc w:val="left"/>
        <w:rPr/>
      </w:pPr>
      <w:r>
        <w:rPr/>
      </w:r>
    </w:p>
    <w:p>
      <w:pPr>
        <w:pStyle w:val="TextBody"/>
        <w:bidi w:val="0"/>
        <w:spacing w:before="0" w:after="0"/>
        <w:jc w:val="left"/>
        <w:rPr/>
      </w:pPr>
      <w:r>
        <w:rPr/>
      </w:r>
    </w:p>
    <w:tbl>
      <w:tblPr>
        <w:tblW w:w="6321"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109"/>
        <w:gridCol w:w="109"/>
        <w:gridCol w:w="109"/>
        <w:gridCol w:w="109"/>
        <w:gridCol w:w="109"/>
        <w:gridCol w:w="109"/>
        <w:gridCol w:w="973"/>
        <w:gridCol w:w="973"/>
        <w:gridCol w:w="138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Tracy Jokinen </w:t>
            </w:r>
          </w:p>
        </w:tc>
      </w:tr>
      <w:tr>
        <w:trPr/>
        <w:tc>
          <w:tcPr>
            <w:tcW w:w="2010"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Jayanthi Iyengar</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 of the Board of Directors</w:t>
            </w:r>
          </w:p>
        </w:tc>
      </w:tr>
    </w:tbl>
    <w:p>
      <w:pPr>
        <w:pStyle w:val="TextBody"/>
        <w:bidi w:val="0"/>
        <w:spacing w:before="0" w:after="0"/>
        <w:jc w:val="left"/>
        <w:rPr/>
      </w:pPr>
      <w:r>
        <w:rPr/>
      </w:r>
    </w:p>
    <w:p>
      <w:pPr>
        <w:pStyle w:val="TextBody"/>
        <w:bidi w:val="0"/>
        <w:spacing w:before="0" w:after="0"/>
        <w:jc w:val="left"/>
        <w:rPr/>
      </w:pPr>
      <w:r>
        <w:rPr/>
      </w:r>
    </w:p>
    <w:tbl>
      <w:tblPr>
        <w:tblW w:w="6320"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109"/>
        <w:gridCol w:w="109"/>
        <w:gridCol w:w="109"/>
        <w:gridCol w:w="109"/>
        <w:gridCol w:w="109"/>
        <w:gridCol w:w="109"/>
        <w:gridCol w:w="971"/>
        <w:gridCol w:w="971"/>
        <w:gridCol w:w="1387"/>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Bilal Khan </w:t>
            </w:r>
          </w:p>
        </w:tc>
      </w:tr>
      <w:tr>
        <w:trPr/>
        <w:tc>
          <w:tcPr>
            <w:tcW w:w="2010"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Bilal Khan</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 of the Board of Directors</w:t>
            </w:r>
          </w:p>
        </w:tc>
      </w:tr>
    </w:tbl>
    <w:p>
      <w:pPr>
        <w:pStyle w:val="TextBody"/>
        <w:bidi w:val="0"/>
        <w:spacing w:before="0" w:after="0"/>
        <w:jc w:val="left"/>
        <w:rPr/>
      </w:pPr>
      <w:r>
        <w:rPr/>
      </w:r>
    </w:p>
    <w:p>
      <w:pPr>
        <w:pStyle w:val="TextBody"/>
        <w:bidi w:val="0"/>
        <w:spacing w:before="0" w:after="0"/>
        <w:jc w:val="left"/>
        <w:rPr/>
      </w:pPr>
      <w:r>
        <w:rPr/>
      </w:r>
    </w:p>
    <w:tbl>
      <w:tblPr>
        <w:tblW w:w="6321"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109"/>
        <w:gridCol w:w="109"/>
        <w:gridCol w:w="109"/>
        <w:gridCol w:w="109"/>
        <w:gridCol w:w="109"/>
        <w:gridCol w:w="109"/>
        <w:gridCol w:w="973"/>
        <w:gridCol w:w="973"/>
        <w:gridCol w:w="138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Carolyne Murff </w:t>
            </w:r>
          </w:p>
        </w:tc>
      </w:tr>
      <w:tr>
        <w:trPr/>
        <w:tc>
          <w:tcPr>
            <w:tcW w:w="2010"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Carolyne Murff</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 of the Board of Directors</w:t>
            </w:r>
          </w:p>
        </w:tc>
      </w:tr>
    </w:tbl>
    <w:p>
      <w:pPr>
        <w:pStyle w:val="TextBody"/>
        <w:bidi w:val="0"/>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tbl>
      <w:tblPr>
        <w:tblW w:w="6321" w:type="dxa"/>
        <w:jc w:val="left"/>
        <w:tblInd w:w="0" w:type="dxa"/>
        <w:tblLayout w:type="fixed"/>
        <w:tblCellMar>
          <w:top w:w="28" w:type="dxa"/>
          <w:left w:w="28" w:type="dxa"/>
          <w:bottom w:w="28" w:type="dxa"/>
          <w:right w:w="28" w:type="dxa"/>
        </w:tblCellMar>
      </w:tblPr>
      <w:tblGrid>
        <w:gridCol w:w="728"/>
        <w:gridCol w:w="639"/>
        <w:gridCol w:w="643"/>
        <w:gridCol w:w="109"/>
        <w:gridCol w:w="109"/>
        <w:gridCol w:w="109"/>
        <w:gridCol w:w="109"/>
        <w:gridCol w:w="109"/>
        <w:gridCol w:w="109"/>
        <w:gridCol w:w="109"/>
        <w:gridCol w:w="109"/>
        <w:gridCol w:w="109"/>
        <w:gridCol w:w="973"/>
        <w:gridCol w:w="973"/>
        <w:gridCol w:w="1384"/>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June 18,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 Gerrard Schmid </w:t>
            </w:r>
          </w:p>
        </w:tc>
      </w:tr>
      <w:tr>
        <w:trPr/>
        <w:tc>
          <w:tcPr>
            <w:tcW w:w="2010"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Gerrard Schmid</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Member of the Board of Directors</w:t>
            </w:r>
          </w:p>
        </w:tc>
      </w:tr>
    </w:tbl>
    <w:p>
      <w:pPr>
        <w:pStyle w:val="TextBody"/>
        <w:bidi w:val="0"/>
        <w:spacing w:before="0" w:after="0"/>
        <w:jc w:val="left"/>
        <w:rPr/>
      </w:pPr>
      <w:r>
        <w:rPr/>
      </w:r>
    </w:p>
    <w:p>
      <w:pPr>
        <w:pStyle w:val="TextBody"/>
        <w:bidi w:val="0"/>
        <w:jc w:val="left"/>
        <w:rPr/>
      </w:pPr>
      <w:r>
        <w:rPr/>
      </w:r>
    </w:p>
    <w:p>
      <w:pPr>
        <w:pStyle w:val="Normal"/>
        <w:bidi w:val="0"/>
        <w:spacing w:before="0" w:after="0"/>
        <w:jc w:val="left"/>
        <w:rPr>
          <w:sz w:val="4"/>
          <w:szCs w:val="4"/>
        </w:rPr>
      </w:pPr>
      <w:r>
        <w:rPr>
          <w:sz w:val="4"/>
          <w:szCs w:val="4"/>
        </w:rPr>
      </w:r>
      <w:bookmarkStart w:id="0" w:name="exfilingfees.htm"/>
      <w:bookmarkStart w:id="1" w:name="ksexfilingfees"/>
      <w:bookmarkStart w:id="2" w:name="exfilingfees.htm"/>
      <w:bookmarkStart w:id="3" w:name="ksexfilingfees"/>
      <w:bookmarkEnd w:id="2"/>
      <w:bookmarkEnd w:id="3"/>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Array Technologies,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1"/>
        <w:gridCol w:w="1010"/>
        <w:gridCol w:w="1284"/>
        <w:gridCol w:w="1193"/>
        <w:gridCol w:w="1184"/>
        <w:gridCol w:w="1802"/>
        <w:gridCol w:w="1126"/>
        <w:gridCol w:w="1414"/>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1"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0"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4"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1" w:type="dxa"/>
            <w:tcBorders/>
            <w:shd w:fill="E7E7E2" w:val="clear"/>
            <w:vAlign w:val="center"/>
          </w:tcPr>
          <w:p>
            <w:pPr>
              <w:pStyle w:val="TableContents"/>
              <w:bidi w:val="0"/>
              <w:spacing w:before="0" w:after="283"/>
              <w:jc w:val="left"/>
              <w:rPr/>
            </w:pPr>
            <w:r>
              <w:rPr/>
              <w:t xml:space="preserve">Equity </w:t>
            </w:r>
          </w:p>
        </w:tc>
        <w:tc>
          <w:tcPr>
            <w:tcW w:w="1010" w:type="dxa"/>
            <w:tcBorders/>
            <w:shd w:fill="E7E7E2" w:val="clear"/>
            <w:vAlign w:val="center"/>
          </w:tcPr>
          <w:p>
            <w:pPr>
              <w:pStyle w:val="TableContents"/>
              <w:bidi w:val="0"/>
              <w:spacing w:before="0" w:after="283"/>
              <w:jc w:val="left"/>
              <w:rPr/>
            </w:pPr>
            <w:r>
              <w:rPr/>
              <w:t xml:space="preserve">Common Stock, par value $0.001 </w:t>
            </w:r>
          </w:p>
        </w:tc>
        <w:tc>
          <w:tcPr>
            <w:tcW w:w="1284"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26,425,733 </w:t>
            </w:r>
          </w:p>
        </w:tc>
        <w:tc>
          <w:tcPr>
            <w:tcW w:w="1184" w:type="dxa"/>
            <w:tcBorders/>
            <w:shd w:fill="E7E7E2" w:val="clear"/>
            <w:vAlign w:val="center"/>
          </w:tcPr>
          <w:p>
            <w:pPr>
              <w:pStyle w:val="TableContents"/>
              <w:bidi w:val="0"/>
              <w:spacing w:before="0" w:after="283"/>
              <w:jc w:val="right"/>
              <w:rPr/>
            </w:pPr>
            <w:r>
              <w:rPr/>
              <w:t xml:space="preserve">$ 8.13 </w:t>
            </w:r>
          </w:p>
        </w:tc>
        <w:tc>
          <w:tcPr>
            <w:tcW w:w="1802" w:type="dxa"/>
            <w:tcBorders/>
            <w:shd w:fill="E7E7E2" w:val="clear"/>
            <w:vAlign w:val="center"/>
          </w:tcPr>
          <w:p>
            <w:pPr>
              <w:pStyle w:val="TableContents"/>
              <w:bidi w:val="0"/>
              <w:spacing w:before="0" w:after="283"/>
              <w:jc w:val="right"/>
              <w:rPr/>
            </w:pPr>
            <w:r>
              <w:rPr/>
              <w:t xml:space="preserve">$ 214,841,209.29 </w:t>
            </w:r>
          </w:p>
        </w:tc>
        <w:tc>
          <w:tcPr>
            <w:tcW w:w="1126" w:type="dxa"/>
            <w:tcBorders/>
            <w:shd w:fill="E7E7E2" w:val="clear"/>
            <w:vAlign w:val="center"/>
          </w:tcPr>
          <w:p>
            <w:pPr>
              <w:pStyle w:val="TableContents"/>
              <w:bidi w:val="0"/>
              <w:spacing w:before="0" w:after="283"/>
              <w:jc w:val="right"/>
              <w:rPr/>
            </w:pPr>
            <w:r>
              <w:rPr/>
              <w:t xml:space="preserve">0.0001381 </w:t>
            </w:r>
          </w:p>
        </w:tc>
        <w:tc>
          <w:tcPr>
            <w:tcW w:w="1414" w:type="dxa"/>
            <w:tcBorders/>
            <w:shd w:fill="E7E7E2" w:val="clear"/>
            <w:vAlign w:val="center"/>
          </w:tcPr>
          <w:p>
            <w:pPr>
              <w:pStyle w:val="TableContents"/>
              <w:bidi w:val="0"/>
              <w:spacing w:before="0" w:after="283"/>
              <w:jc w:val="right"/>
              <w:rPr/>
            </w:pPr>
            <w:r>
              <w:rPr/>
              <w:t xml:space="preserve">$ 29,670.00 </w:t>
            </w:r>
          </w:p>
        </w:tc>
      </w:tr>
      <w:tr>
        <w:trPr/>
        <w:tc>
          <w:tcPr>
            <w:tcW w:w="4679" w:type="dxa"/>
            <w:gridSpan w:val="5"/>
            <w:tcBorders/>
            <w:vAlign w:val="center"/>
          </w:tcPr>
          <w:p>
            <w:pPr>
              <w:pStyle w:val="TableContents"/>
              <w:bidi w:val="0"/>
              <w:spacing w:before="0" w:after="0"/>
              <w:ind w:left="0" w:right="0" w:hanging="0"/>
              <w:jc w:val="right"/>
              <w:rPr/>
            </w:pPr>
            <w:r>
              <w:rPr/>
              <w:t>Total Offering Amounts:</w:t>
            </w:r>
          </w:p>
        </w:tc>
        <w:tc>
          <w:tcPr>
            <w:tcW w:w="118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0"/>
              <w:ind w:left="0" w:right="0" w:hanging="0"/>
              <w:jc w:val="right"/>
              <w:rPr/>
            </w:pPr>
            <w:bookmarkStart w:id="4" w:name="MaxAggtOfferingPrice"/>
            <w:bookmarkEnd w:id="4"/>
            <w:r>
              <w:rPr/>
              <w:t xml:space="preserve">$ 214,841,209.29 </w:t>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 w:name="TotalFeeAmt"/>
            <w:bookmarkEnd w:id="5"/>
            <w:r>
              <w:rPr/>
              <w:t xml:space="preserve">$ 29,670.00 </w:t>
            </w:r>
          </w:p>
        </w:tc>
      </w:tr>
      <w:tr>
        <w:trPr/>
        <w:tc>
          <w:tcPr>
            <w:tcW w:w="4679" w:type="dxa"/>
            <w:gridSpan w:val="5"/>
            <w:tcBorders/>
            <w:vAlign w:val="center"/>
          </w:tcPr>
          <w:p>
            <w:pPr>
              <w:pStyle w:val="TableContents"/>
              <w:bidi w:val="0"/>
              <w:spacing w:before="0" w:after="0"/>
              <w:ind w:left="0" w:right="0" w:hanging="0"/>
              <w:jc w:val="right"/>
              <w:rPr/>
            </w:pPr>
            <w:r>
              <w:rPr/>
              <w:t xml:space="preserve">Total Fee Offsets: </w:t>
            </w:r>
          </w:p>
        </w:tc>
        <w:tc>
          <w:tcPr>
            <w:tcW w:w="118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0"/>
              <w:ind w:left="0" w:right="0" w:hanging="0"/>
              <w:jc w:val="right"/>
              <w:rPr/>
            </w:pPr>
            <w:bookmarkStart w:id="6" w:name="TotalOffsetAmt"/>
            <w:bookmarkEnd w:id="6"/>
            <w:r>
              <w:rPr/>
              <w:t xml:space="preserve">$ 0.00 </w:t>
            </w:r>
          </w:p>
        </w:tc>
      </w:tr>
      <w:tr>
        <w:trPr/>
        <w:tc>
          <w:tcPr>
            <w:tcW w:w="4679" w:type="dxa"/>
            <w:gridSpan w:val="5"/>
            <w:tcBorders/>
            <w:vAlign w:val="center"/>
          </w:tcPr>
          <w:p>
            <w:pPr>
              <w:pStyle w:val="TableContents"/>
              <w:bidi w:val="0"/>
              <w:spacing w:before="0" w:after="0"/>
              <w:ind w:left="0" w:right="0" w:hanging="0"/>
              <w:jc w:val="right"/>
              <w:rPr/>
            </w:pPr>
            <w:r>
              <w:rPr/>
              <w:t xml:space="preserve">Net Fee Due: </w:t>
            </w:r>
          </w:p>
        </w:tc>
        <w:tc>
          <w:tcPr>
            <w:tcW w:w="118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0"/>
              <w:ind w:left="0" w:right="0" w:hanging="0"/>
              <w:jc w:val="right"/>
              <w:rPr/>
            </w:pPr>
            <w:bookmarkStart w:id="7" w:name="NetFeeAmt"/>
            <w:bookmarkEnd w:id="7"/>
            <w:r>
              <w:rPr/>
              <w:t xml:space="preserve">$ 29,670.00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9"/>
        <w:gridCol w:w="8705"/>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Represents the number of additional shares of common stock, par value $0.001 per share ("Common Stock"), of Array Technologies, Inc. (the "Registrant") being registered hereon under the Array Technologies, Inc. Amended and Restated 2020 Long-Term Incentive Plan (as amended or amended and restated, the "Plan"). (2) Pursuant to Rule 416 of the Securities Act of 1933, as amended (the "Securities Act"), this Registration Statement also covers such additional shares of Common Stock as may become available pursuant to any anti-dilution provisions of the Plan. (3) Estimated solely for calculating the amount of the registration fee, pursuant to paragraphs (c) and (h) of Rule 457 of the General Rules and Regulations under the Securities Act, on the basis of the average of the high and low sale prices of the Registrant's Common Stock on the Nasdaq Global Market on June 16, 2026, a date that is within five business days prior to filing.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4.2</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CERTIFICATE OF AMENDMENT</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TO THE</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AMENDED AND RESTATED CERTIFICATE OF INCORPORATION</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OF</w: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ARRAY TECHNOLOGIES, INC.</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Pursuant to Section 242</w:t>
      </w:r>
    </w:p>
    <w:p>
      <w:pPr>
        <w:pStyle w:val="TextBody"/>
        <w:bidi w:val="0"/>
        <w:spacing w:lineRule="auto" w:line="26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Of the General Corporation Law of the State of Delaware</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Array Technologies, Inc. (the “</w:t>
      </w:r>
      <w:r>
        <w:rPr>
          <w:rFonts w:ascii="Times New Roman;serif" w:hAnsi="Times New Roman;serif"/>
          <w:b w:val="false"/>
          <w:color w:val="000000"/>
          <w:sz w:val="22"/>
          <w:u w:val="single"/>
        </w:rPr>
        <w:t>Corporation</w:t>
      </w:r>
      <w:r>
        <w:rPr>
          <w:color w:val="000000"/>
        </w:rPr>
        <w:t>”</w:t>
      </w:r>
      <w:r>
        <w:rPr>
          <w:rFonts w:ascii="Times New Roman;serif" w:hAnsi="Times New Roman;serif"/>
          <w:b w:val="false"/>
          <w:color w:val="000000"/>
          <w:sz w:val="22"/>
        </w:rPr>
        <w:t>), a corporation duly organized and existing under the General Corporation Law of the State of Delaware (the “</w:t>
      </w:r>
      <w:r>
        <w:rPr>
          <w:rFonts w:ascii="Times New Roman;serif" w:hAnsi="Times New Roman;serif"/>
          <w:b w:val="false"/>
          <w:color w:val="000000"/>
          <w:sz w:val="22"/>
          <w:u w:val="single"/>
        </w:rPr>
        <w:t>DGCL</w:t>
      </w:r>
      <w:r>
        <w:rPr>
          <w:color w:val="000000"/>
        </w:rPr>
        <w:t>”</w:t>
      </w:r>
      <w:r>
        <w:rPr>
          <w:rFonts w:ascii="Times New Roman;serif" w:hAnsi="Times New Roman;serif"/>
          <w:b w:val="false"/>
          <w:color w:val="000000"/>
          <w:sz w:val="22"/>
        </w:rPr>
        <w:t>), does hereby certify that:</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erif" w:hAnsi="Times New Roman;serif"/>
          <w:b w:val="false"/>
          <w:color w:val="000000"/>
          <w:sz w:val="22"/>
        </w:rPr>
        <w:t>FIRST: This Certificate of Amendment (this “</w:t>
      </w:r>
      <w:r>
        <w:rPr>
          <w:rFonts w:ascii="Times New Roman;serif" w:hAnsi="Times New Roman;serif"/>
          <w:b w:val="false"/>
          <w:color w:val="000000"/>
          <w:sz w:val="22"/>
          <w:u w:val="single"/>
        </w:rPr>
        <w:t>Certificate of Amendment</w:t>
      </w:r>
      <w:r>
        <w:rPr>
          <w:color w:val="000000"/>
        </w:rPr>
        <w:t>”</w:t>
      </w:r>
      <w:r>
        <w:rPr>
          <w:rFonts w:ascii="Times New Roman;serif" w:hAnsi="Times New Roman;serif"/>
          <w:b w:val="false"/>
          <w:color w:val="000000"/>
          <w:sz w:val="22"/>
        </w:rPr>
        <w:t>) amends the provisions of the Corporation’s Amended and Restated Certificate of Incorporation filed with the Secretary of State of the State of Delaware on October 19, 2020 (the “</w:t>
      </w:r>
      <w:r>
        <w:rPr>
          <w:rFonts w:ascii="Times New Roman;serif" w:hAnsi="Times New Roman;serif"/>
          <w:b w:val="false"/>
          <w:color w:val="000000"/>
          <w:sz w:val="22"/>
          <w:u w:val="single"/>
        </w:rPr>
        <w:t>Amended and Restated Certificate of Incorporation</w:t>
      </w:r>
      <w:r>
        <w:rPr>
          <w:color w:val="000000"/>
        </w:rPr>
        <w:t>”</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SECOND: This Certificate of Amendment has been duly adopted in accordance with Section 242 of the DGCL. The Board of Directors of the Corporation duly adopted resolutions declaring advisable the amendments set forth herein and directing that such amendments be submitted to the stockholders of the Corporation for their approval, and the amendments were thereafter duly adopted by the stockholders of the Corporation at the Corporation's Annual Meeting of Stockholders held on May 19, 2026.</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THIRD: Article VI of the Charter is hereby amended and restated in its entirety to read as follows:</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 xml:space="preserve">ARTICLE VI </w:t>
      </w:r>
    </w:p>
    <w:p>
      <w:pPr>
        <w:pStyle w:val="TextBody"/>
        <w:bidi w:val="0"/>
        <w:spacing w:lineRule="auto" w:line="268" w:before="0" w:after="0"/>
        <w:jc w:val="center"/>
        <w:rPr/>
      </w:pPr>
      <w:r>
        <w:rPr>
          <w:rFonts w:ascii="Times New Roman;serif" w:hAnsi="Times New Roman;serif"/>
          <w:b/>
          <w:color w:val="000000"/>
          <w:sz w:val="22"/>
        </w:rPr>
        <w:t>BOARD OF DIRECTORS</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A. Except as otherwise provided in this Amended and Restated Certificate of Incorporation or the DGCL, the business and affairs of the Corporation shall be managed by or under the direction of the Board. Except as otherwise provided for or fixed pursuant to the provisions of Article IV hereof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At and after the 2027 annual meeting of stockholders (the “2027 Annual Meeting”), directors shall be elected to hold office for a term expiring at the next annual meeting of stockholders; provided, however, that any director in office immediately after the 2026 annual meeting of stockholders who was elected to hold office for a term that expires after the 2027 Annual Meeting shall continue to hold such office until the end of the term for which such director was elected. Each director shall hold office until the annual meeting at which his or her term expires and until his or her successor shall be elected and qualified, or his or her death, resignation, retirement, disqualification or removal from office. </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B. Subject to the rights granted to the holders of any one or more series of Preferred Stock then outstanding, any newly-created directorship on the Board that results from an increase in the number of directors and any vacancy occurring in the Board (whether by death, resignation, retirement, disqualification, removal or other cause) shall be filled by a majority of the directors then in office, even if less than a quorum, by a sole remaining director or by the stockholders; provided, however, that from and after the Trigger Event, any newly-created directorship on the Board that results from an increase in the number of directors and any vacancy occurring on the Board shall be filled only by a majority of the directors then in office, even if less than a quorum, or by a sole remaining director (and not by the stockholders). Any director elected to fill a vacancy or newly created directorship shall hold office until </w:t>
      </w:r>
    </w:p>
    <w:p>
      <w:pPr>
        <w:pStyle w:val="TextBody"/>
        <w:bidi w:val="0"/>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the next succeeding annual meeting of stockholders, and until his or her successor shall be elected and qualified, or until his or her earlier death, resignation, retirement, disqualification or removal.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C. Any or all of the directors (other than the directors elected by the holders of any series of Preferred Stock of the Corporation, voting separately as a series or together with one or more other such series, as the case may be) may be removed at any time (i) prior to the date of the 2029 annual meeting of stockholders, only for cause, and (ii) following the date of the 2029 annual meeting of stockholders, either with or without cause, in each case, by the affirmative vote of a majority in voting power of all outstanding shares of Common Stock entitled to vote at an election of directors.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D. Elections of directors need not be by written ballot unless the Bylaws shall so provide.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E.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 </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FOURTH. Except as amended hereby, all other provisions of the Amended and Restated Certificate of Incorporation shall remain in full force and effect.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FIFTH: This Certificate of Amendment shall become effective upon filing with the Secretary of State of the State of Delaware.</w:t>
      </w:r>
    </w:p>
    <w:p>
      <w:pPr>
        <w:pStyle w:val="TextBody"/>
        <w:bidi w:val="0"/>
        <w:spacing w:before="0" w:after="0"/>
        <w:ind w:left="0" w:right="0" w:firstLine="720"/>
        <w:jc w:val="both"/>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Remainder of page intentionally left blank</w:t>
      </w:r>
      <w:r>
        <w:rPr>
          <w:rFonts w:ascii="Times New Roman;serif" w:hAnsi="Times New Roman;serif"/>
          <w:b w:val="false"/>
          <w:color w:val="000000"/>
          <w:sz w:val="22"/>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pPr>
      <w:r>
        <w:rPr>
          <w:rFonts w:ascii="Times New Roman;serif" w:hAnsi="Times New Roman;serif"/>
          <w:b/>
          <w:color w:val="000000"/>
          <w:sz w:val="22"/>
        </w:rPr>
        <w:t>IN WITNESS WHEREOF</w:t>
      </w:r>
      <w:r>
        <w:rPr>
          <w:rFonts w:ascii="Times New Roman;serif" w:hAnsi="Times New Roman;serif"/>
          <w:b w:val="false"/>
          <w:color w:val="000000"/>
          <w:sz w:val="22"/>
        </w:rPr>
        <w:t>, Array Technologies, Inc. has caused this Certificate of Amendment to be executed by its duly authorized officer on this 15th day of June, 2026.</w:t>
      </w:r>
    </w:p>
    <w:p>
      <w:pPr>
        <w:pStyle w:val="TextBody"/>
        <w:bidi w:val="0"/>
        <w:spacing w:before="0" w:after="0"/>
        <w:jc w:val="both"/>
        <w:rPr/>
      </w:pPr>
      <w:r>
        <w:rPr/>
      </w:r>
    </w:p>
    <w:tbl>
      <w:tblPr>
        <w:tblW w:w="702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371"/>
        <w:gridCol w:w="371"/>
        <w:gridCol w:w="371"/>
        <w:gridCol w:w="371"/>
        <w:gridCol w:w="371"/>
        <w:gridCol w:w="371"/>
        <w:gridCol w:w="1209"/>
        <w:gridCol w:w="1209"/>
        <w:gridCol w:w="170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ARRAY TECHNOLOGIES,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Gina K. Gunning</w:t>
            </w:r>
          </w:p>
        </w:tc>
      </w:tr>
      <w:tr>
        <w:trPr/>
        <w:tc>
          <w:tcPr>
            <w:tcW w:w="342"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6"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Name:</w:t>
            </w:r>
          </w:p>
        </w:tc>
        <w:tc>
          <w:tcPr>
            <w:tcW w:w="1113" w:type="dxa"/>
            <w:gridSpan w:val="3"/>
            <w:tcBorders>
              <w:top w:val="single" w:sz="6"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Gina K. Gunning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Title:</w:t>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Legal Officer &amp; Corporate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68" w:before="0" w:after="0"/>
                              <w:jc w:val="center"/>
                              <w:rPr/>
                            </w:pPr>
                            <w:r>
                              <w:rPr>
                                <w:rFonts w:ascii="Arial;sans-serif" w:hAnsi="Arial;sans-serif"/>
                                <w:b w:val="false"/>
                                <w:color w:val="000000"/>
                                <w:sz w:val="18"/>
                              </w:rPr>
                              <w:t>[</w:t>
                            </w:r>
                            <w:r>
                              <w:rPr>
                                <w:rFonts w:ascii="Arial;sans-serif" w:hAnsi="Arial;sans-serif"/>
                                <w:b w:val="false"/>
                                <w:i/>
                                <w:color w:val="000000"/>
                                <w:sz w:val="18"/>
                              </w:rPr>
                              <w:t>Signature page to Certificate of Amendment</w:t>
                            </w:r>
                            <w:r>
                              <w:rPr>
                                <w:rFonts w:ascii="Arial;sans-serif" w:hAnsi="Arial;sans-serif"/>
                                <w:b w:val="false"/>
                                <w:color w:val="000000"/>
                                <w:sz w:val="18"/>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68" w:before="0" w:after="0"/>
                        <w:jc w:val="center"/>
                        <w:rPr/>
                      </w:pPr>
                      <w:r>
                        <w:rPr>
                          <w:rFonts w:ascii="Arial;sans-serif" w:hAnsi="Arial;sans-serif"/>
                          <w:b w:val="false"/>
                          <w:color w:val="000000"/>
                          <w:sz w:val="18"/>
                        </w:rPr>
                        <w:t>[</w:t>
                      </w:r>
                      <w:r>
                        <w:rPr>
                          <w:rFonts w:ascii="Arial;sans-serif" w:hAnsi="Arial;sans-serif"/>
                          <w:b w:val="false"/>
                          <w:i/>
                          <w:color w:val="000000"/>
                          <w:sz w:val="18"/>
                        </w:rPr>
                        <w:t>Signature page to Certificate of Amendment</w:t>
                      </w:r>
                      <w:r>
                        <w:rPr>
                          <w:rFonts w:ascii="Arial;sans-serif" w:hAnsi="Arial;sans-serif"/>
                          <w:b w:val="false"/>
                          <w:color w:val="000000"/>
                          <w:sz w:val="18"/>
                        </w:rPr>
                        <w:t>]</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2"/>
          <w:u w:val="single"/>
        </w:rPr>
      </w:pPr>
      <w:r>
        <w:rPr>
          <w:rFonts w:ascii="Times New Roman;serif" w:hAnsi="Times New Roman;serif"/>
          <w:b/>
          <w:color w:val="000000"/>
          <w:sz w:val="22"/>
          <w:u w:val="single"/>
        </w:rPr>
        <w:t>Exhibit 5.1</w:t>
      </w:r>
    </w:p>
    <w:p>
      <w:pPr>
        <w:pStyle w:val="TextBody"/>
        <w:bidi w:val="0"/>
        <w:spacing w:lineRule="auto" w:line="268" w:before="0" w:after="0"/>
        <w:jc w:val="center"/>
        <w:rPr>
          <w:rFonts w:ascii="Times New Roman;serif" w:hAnsi="Times New Roman;serif"/>
          <w:b w:val="false"/>
          <w:color w:val="000000"/>
          <w:sz w:val="32"/>
        </w:rPr>
      </w:pPr>
      <w:r>
        <w:rPr>
          <w:rFonts w:ascii="Times New Roman;serif" w:hAnsi="Times New Roman;serif"/>
          <w:b w:val="false"/>
          <w:color w:val="000000"/>
          <w:sz w:val="32"/>
        </w:rPr>
        <w:t>JONES DAY</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16"/>
        </w:rPr>
        <w:t>NORTH POINT</w:t>
      </w:r>
      <w:r>
        <w:rPr>
          <w:color w:val="000000"/>
        </w:rPr>
        <w:t xml:space="preserve"> ∙ </w:t>
      </w:r>
      <w:r>
        <w:rPr>
          <w:rFonts w:ascii="Times New Roman;serif" w:hAnsi="Times New Roman;serif"/>
          <w:b w:val="false"/>
          <w:color w:val="000000"/>
          <w:sz w:val="16"/>
        </w:rPr>
        <w:t>901 LAKESIDE AVENUE</w:t>
      </w:r>
      <w:r>
        <w:rPr>
          <w:color w:val="000000"/>
        </w:rPr>
        <w:t xml:space="preserve"> ∙ </w:t>
      </w:r>
      <w:r>
        <w:rPr>
          <w:rFonts w:ascii="Times New Roman;serif" w:hAnsi="Times New Roman;serif"/>
          <w:b w:val="false"/>
          <w:color w:val="000000"/>
          <w:sz w:val="16"/>
        </w:rPr>
        <w:t>CLEVELAND, OHIO 44114.1190</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val="false"/>
          <w:color w:val="000000"/>
          <w:sz w:val="16"/>
        </w:rPr>
        <w:t>TELEPHONE: +1.216.586.3939</w:t>
      </w:r>
      <w:r>
        <w:rPr>
          <w:color w:val="000000"/>
        </w:rPr>
        <w:t xml:space="preserve"> ∙ </w:t>
      </w:r>
      <w:r>
        <w:rPr>
          <w:rFonts w:ascii="Times New Roman;serif" w:hAnsi="Times New Roman;serif"/>
          <w:b w:val="false"/>
          <w:color w:val="000000"/>
          <w:sz w:val="16"/>
        </w:rPr>
        <w:t>JONESDAY.COM</w:t>
      </w:r>
    </w:p>
    <w:p>
      <w:pPr>
        <w:pStyle w:val="TextBody"/>
        <w:bidi w:val="0"/>
        <w:spacing w:before="0" w:after="0"/>
        <w:jc w:val="left"/>
        <w:rPr/>
      </w:pPr>
      <w:r>
        <w:rPr/>
      </w:r>
    </w:p>
    <w:tbl>
      <w:tblPr>
        <w:tblW w:w="2154" w:type="dxa"/>
        <w:jc w:val="left"/>
        <w:tblInd w:w="0" w:type="dxa"/>
        <w:tblLayout w:type="fixed"/>
        <w:tblCellMar>
          <w:top w:w="28" w:type="dxa"/>
          <w:left w:w="28" w:type="dxa"/>
          <w:bottom w:w="28" w:type="dxa"/>
          <w:right w:w="28" w:type="dxa"/>
        </w:tblCellMar>
      </w:tblPr>
      <w:tblGrid>
        <w:gridCol w:w="124"/>
        <w:gridCol w:w="109"/>
        <w:gridCol w:w="109"/>
        <w:gridCol w:w="479"/>
        <w:gridCol w:w="479"/>
        <w:gridCol w:w="4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firstLine="115"/>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2"/>
              </w:rPr>
            </w:pPr>
            <w:r>
              <w:rPr>
                <w:rFonts w:ascii="Times New Roman;serif" w:hAnsi="Times New Roman;serif"/>
                <w:b w:val="false"/>
                <w:color w:val="000000"/>
                <w:sz w:val="22"/>
              </w:rPr>
              <w:t>June 18,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Array Technologies, Inc.</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3901 Midway Place NE</w:t>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Albuquerque, New Mexico 87109</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2"/>
        </w:rPr>
        <w:t xml:space="preserve">Re: </w:t>
      </w:r>
      <w:r>
        <w:rPr>
          <w:rFonts w:ascii="Times New Roman;serif" w:hAnsi="Times New Roman;serif"/>
          <w:b w:val="false"/>
          <w:color w:val="000000"/>
          <w:sz w:val="22"/>
          <w:u w:val="single"/>
        </w:rPr>
        <w:t>Registration Statement on Form S-8 Filed by Array Technologies, Inc.</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Ladies and Gentlemen: </w:t>
      </w:r>
    </w:p>
    <w:p>
      <w:pPr>
        <w:pStyle w:val="TextBody"/>
        <w:bidi w:val="0"/>
        <w:spacing w:before="0" w:after="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We have acted as counsel to Array Technologies, Inc., a Delaware corporation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in connection with the registration of 26,425,733 additional shares (the “</w:t>
      </w:r>
      <w:r>
        <w:rPr>
          <w:rFonts w:ascii="Times New Roman;serif" w:hAnsi="Times New Roman;serif"/>
          <w:b/>
          <w:i/>
          <w:color w:val="000000"/>
          <w:sz w:val="22"/>
        </w:rPr>
        <w:t>Shares</w:t>
      </w:r>
      <w:r>
        <w:rPr>
          <w:color w:val="000000"/>
        </w:rPr>
        <w:t>”</w:t>
      </w:r>
      <w:r>
        <w:rPr>
          <w:rFonts w:ascii="Times New Roman;serif" w:hAnsi="Times New Roman;serif"/>
          <w:b w:val="false"/>
          <w:color w:val="000000"/>
          <w:sz w:val="22"/>
        </w:rPr>
        <w:t>) of common stock, par value $0.001 per share, of the Company, that may be issued or delivered and sold pursuant to the Array Technologies, Inc. Amended and Restated 2020 Long-Term Incentive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In connection with the opinion expressed herein, we have examined such documents, records and matters of law as we have deemed relevant or necessary for purposes of such opinion. Based on the foregoing, and subject to the further limitations, qualifications and assumptions set forth herein, we are of the opinion that the Shares that may be issued or delivered and sold under the Plan and the authorized award agreements thereunder (the “</w:t>
      </w:r>
      <w:r>
        <w:rPr>
          <w:rFonts w:ascii="Times New Roman;serif" w:hAnsi="Times New Roman;serif"/>
          <w:b/>
          <w:i/>
          <w:color w:val="000000"/>
          <w:sz w:val="22"/>
        </w:rPr>
        <w:t>Award Agreements</w:t>
      </w:r>
      <w:r>
        <w:rPr>
          <w:color w:val="000000"/>
        </w:rPr>
        <w:t>”</w:t>
      </w:r>
      <w:r>
        <w:rPr>
          <w:rFonts w:ascii="Times New Roman;serif" w:hAnsi="Times New Roman;serif"/>
          <w:b w:val="false"/>
          <w:color w:val="000000"/>
          <w:sz w:val="22"/>
        </w:rPr>
        <w:t>) will be, when issued or delivered and sold in accordance with the Plan and the Award Agreements, validly issued, fully paid and nonassessable, provided that the consideration for the Shares is at least equal to the stated par value thereof.</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opinion expressed herein is limited to the General Corporation Law of the State of Delaware, as currently in effect, and we express no opinion as to the effect of the laws of any other jurisdiction on the opinion expressed herein. In addition, we have assumed that the resolutions authorizing the Company to issue or deliver and sell the Shares pursuant to the Plan and the Award Agreements will be in full force and effect at all times at which the Shares are issued or delivered and sold by the Company, and that the Company will take no action inconsistent with such resolutions. In rendering the opinion above, we have assumed that each award under the Plan will be approved by the Board of Directors of the Company or an authorized committee of the Board of Directors.</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pPr>
      <w:r>
        <w:rPr>
          <w:rFonts w:ascii="Times New Roman;serif" w:hAnsi="Times New Roman;serif"/>
          <w:b w:val="false"/>
          <w:color w:val="000000"/>
          <w:sz w:val="22"/>
        </w:rPr>
        <w:t>We hereby consent to the filing of this opinion as Exhibit 5.1 to the Registration Statement on Form S-8 filed by the Company to effect the registration of the Shares under the Securities Act of 1933 (the “</w:t>
      </w:r>
      <w:r>
        <w:rPr>
          <w:rFonts w:ascii="Times New Roman;serif" w:hAnsi="Times New Roman;serif"/>
          <w:b/>
          <w:i/>
          <w:color w:val="000000"/>
          <w:sz w:val="22"/>
        </w:rPr>
        <w:t>Act</w:t>
      </w:r>
      <w:r>
        <w:rPr>
          <w:color w:val="000000"/>
        </w:rPr>
        <w:t>”</w:t>
      </w:r>
      <w:r>
        <w:rPr>
          <w:rFonts w:ascii="Times New Roman;serif" w:hAnsi="Times New Roman;serif"/>
          <w:b w:val="false"/>
          <w:color w:val="000000"/>
          <w:sz w:val="22"/>
        </w:rPr>
        <w:t>). In giving such consent, we do not thereby admit that we are included in the category of persons whose consent is required under Section 7 of the Act or the rules and regulations of the Securities and Exchange Commission promulgated thereunder.</w:t>
      </w:r>
    </w:p>
    <w:p>
      <w:pPr>
        <w:pStyle w:val="TextBody"/>
        <w:bidi w:val="0"/>
        <w:spacing w:before="0" w:after="0"/>
        <w:ind w:left="0" w:right="0" w:firstLine="720"/>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Very truly yours, </w:t>
      </w:r>
    </w:p>
    <w:p>
      <w:pPr>
        <w:pStyle w:val="TextBody"/>
        <w:bidi w:val="0"/>
        <w:spacing w:lineRule="auto" w:line="268"/>
        <w:jc w:val="left"/>
        <w:rPr>
          <w:rFonts w:ascii="Times New Roman;serif" w:hAnsi="Times New Roman;serif"/>
          <w:b w:val="false"/>
          <w:color w:val="000000"/>
          <w:sz w:val="22"/>
        </w:rPr>
      </w:pPr>
      <w:r>
        <w:rPr>
          <w:rFonts w:ascii="Times New Roman;serif" w:hAnsi="Times New Roman;serif"/>
          <w:b w:val="false"/>
          <w:color w:val="000000"/>
          <w:sz w:val="22"/>
        </w:rPr>
        <w:t xml:space="preserve">/s/ Jones Day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sans-serif" w:hAnsi="sans-serif"/>
          <w:b/>
          <w:color w:val="000000"/>
          <w:sz w:val="22"/>
          <w:u w:val="single"/>
        </w:rPr>
      </w:pPr>
      <w:r>
        <w:rPr>
          <w:rFonts w:ascii="sans-serif" w:hAnsi="sans-serif"/>
          <w:b/>
          <w:color w:val="000000"/>
          <w:sz w:val="22"/>
          <w:u w:val="single"/>
        </w:rPr>
        <w:t>Exhibit 23.1</w:t>
      </w:r>
    </w:p>
    <w:p>
      <w:pPr>
        <w:pStyle w:val="TextBody"/>
        <w:bidi w:val="0"/>
        <w:spacing w:before="0" w:after="0"/>
        <w:jc w:val="left"/>
        <w:rPr/>
      </w:pPr>
      <w:r>
        <w:rPr/>
      </w:r>
    </w:p>
    <w:p>
      <w:pPr>
        <w:pStyle w:val="TextBody"/>
        <w:bidi w:val="0"/>
        <w:spacing w:lineRule="auto" w:line="256" w:before="0" w:after="0"/>
        <w:jc w:val="left"/>
        <w:rPr>
          <w:rFonts w:ascii="sans-serif" w:hAnsi="sans-serif"/>
          <w:b/>
          <w:color w:val="000000"/>
          <w:sz w:val="22"/>
        </w:rPr>
      </w:pPr>
      <w:r>
        <w:rPr>
          <w:rFonts w:ascii="sans-serif" w:hAnsi="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 xml:space="preserve">We consent to the incorporation by reference in this Registration Statement on Form S-8 of our reports dated February 25, 2026 relating to the financial statements of Array Technologies, Inc. and the effectiveness of Array Technologies, Inc.'s internal control over financial reporting, appearing in the Annual Report on Form 10-K of Array Technologies, Inc. for the year ended December 31, 2025. </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 xml:space="preserve">/s/ Deloitte &amp; Touche LLP </w:t>
      </w:r>
    </w:p>
    <w:p>
      <w:pPr>
        <w:pStyle w:val="TextBody"/>
        <w:bidi w:val="0"/>
        <w:spacing w:before="0" w:after="0"/>
        <w:jc w:val="left"/>
        <w:rPr/>
      </w:pPr>
      <w:r>
        <w:rPr/>
      </w:r>
    </w:p>
    <w:p>
      <w:pPr>
        <w:pStyle w:val="TextBody"/>
        <w:bidi w:val="0"/>
        <w:spacing w:lineRule="auto" w:line="256" w:before="0" w:after="0"/>
        <w:jc w:val="left"/>
        <w:rPr>
          <w:rFonts w:ascii="sans-serif" w:hAnsi="sans-serif"/>
          <w:b w:val="false"/>
          <w:color w:val="000000"/>
          <w:sz w:val="22"/>
        </w:rPr>
      </w:pPr>
      <w:r>
        <w:rPr>
          <w:rFonts w:ascii="sans-serif" w:hAnsi="sans-serif"/>
          <w:b w:val="false"/>
          <w:color w:val="000000"/>
          <w:sz w:val="22"/>
        </w:rPr>
        <w:t>Tempe, Arizona</w:t>
      </w:r>
    </w:p>
    <w:p>
      <w:pPr>
        <w:pStyle w:val="TextBody"/>
        <w:bidi w:val="0"/>
        <w:spacing w:lineRule="auto" w:line="256"/>
        <w:jc w:val="left"/>
        <w:rPr>
          <w:rFonts w:ascii="sans-serif" w:hAnsi="sans-serif"/>
          <w:b w:val="false"/>
          <w:color w:val="000000"/>
          <w:sz w:val="22"/>
        </w:rPr>
      </w:pPr>
      <w:r>
        <w:rPr>
          <w:rFonts w:ascii="sans-serif" w:hAnsi="sans-serif"/>
          <w:b w:val="false"/>
          <w:color w:val="000000"/>
          <w:sz w:val="22"/>
        </w:rPr>
        <w:t>June 18, 2026</w:t>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20721/000119312520272147/d46967ds8.htm" TargetMode="External"/><Relationship Id="rId3" Type="http://schemas.openxmlformats.org/officeDocument/2006/relationships/hyperlink" Target="https://www.sec.gov/ix?doc=/Archives/edgar/data/0001820721/000182072126000008/arry-20251231.htm" TargetMode="External"/><Relationship Id="rId4" Type="http://schemas.openxmlformats.org/officeDocument/2006/relationships/hyperlink" Target="https://www.sec.gov/ix?doc=/Archives/edgar/data/0001820721/000162828026031453/arry-20260331.htm" TargetMode="External"/><Relationship Id="rId5" Type="http://schemas.openxmlformats.org/officeDocument/2006/relationships/hyperlink" Target="https://www.sec.gov/ix?doc=/Archives/edgar/data/0001820721/000119312526057110/d752776d8k.htm" TargetMode="External"/><Relationship Id="rId6" Type="http://schemas.openxmlformats.org/officeDocument/2006/relationships/hyperlink" Target="https://www.sec.gov/ix?doc=/Archives/edgar/data/0001820721/000119312526116240/d85164d8k.htm" TargetMode="External"/><Relationship Id="rId7" Type="http://schemas.openxmlformats.org/officeDocument/2006/relationships/hyperlink" Target="https://www.sec.gov/ix?doc=/Archives/edgar/data/0001820721/000162828026036881/arry-20260519.htm" TargetMode="External"/><Relationship Id="rId8" Type="http://schemas.openxmlformats.org/officeDocument/2006/relationships/hyperlink" Target="https://www.sec.gov/Archives/edgar/data/1820721/000119312520267361/d11035d8a12b.htm" TargetMode="External"/><Relationship Id="rId9" Type="http://schemas.openxmlformats.org/officeDocument/2006/relationships/hyperlink" Target="https://www.sec.gov/Archives/edgar/data/1820721/000119312520267361/d11035d8a12b.htm" TargetMode="External"/><Relationship Id="rId10" Type="http://schemas.openxmlformats.org/officeDocument/2006/relationships/hyperlink" Target="https://www.sec.gov/Archives/edgar/data/1820721/000182072121000009/exhibit41active_1xdescript.htm" TargetMode="External"/><Relationship Id="rId11" Type="http://schemas.openxmlformats.org/officeDocument/2006/relationships/hyperlink" Target="https://www.sec.gov/Archives/edgar/data/1820721/000119312520272092/d50569dex31.htm" TargetMode="External"/><Relationship Id="rId12" Type="http://schemas.openxmlformats.org/officeDocument/2006/relationships/hyperlink" Target="https://www.sec.gov/Archives/edgar/data/1820721/000119312520272092/d50569dex31.htm" TargetMode="External"/><Relationship Id="rId13" Type="http://schemas.openxmlformats.org/officeDocument/2006/relationships/hyperlink" Target="https://www.sec.gov/Archives/edgar/data/1820721/000119312520272092/d50569dex32.htm" TargetMode="External"/><Relationship Id="rId14" Type="http://schemas.openxmlformats.org/officeDocument/2006/relationships/hyperlink" Target="https://www.sec.gov/Archives/edgar/data/1820721/000119312520272092/d50569dex32.htm" TargetMode="External"/><Relationship Id="rId15" Type="http://schemas.openxmlformats.org/officeDocument/2006/relationships/hyperlink" Target="https://www.sec.gov/Archives/edgar/data/1820721/000182072121000009/exhibit41active_1xdescript.htm" TargetMode="External"/><Relationship Id="rId16" Type="http://schemas.openxmlformats.org/officeDocument/2006/relationships/hyperlink" Target="https://www.sec.gov/Archives/edgar/data/1820721/000182072121000009/exhibit41active_1xdescript.htm" TargetMode="External"/><Relationship Id="rId17" Type="http://schemas.openxmlformats.org/officeDocument/2006/relationships/hyperlink" Target="https://www.sec.gov/Archives/edgar/data/1820721/000182072125000023/exhibit107202410-k.htm" TargetMode="External"/><Relationship Id="rId18" Type="http://schemas.openxmlformats.org/officeDocument/2006/relationships/hyperlink" Target="https://www.sec.gov/Archives/edgar/data/1820721/000182072125000023/exhibit107202410-k.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4725</Words>
  <Characters>25455</Characters>
  <CharactersWithSpaces>30019</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