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517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17715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Hostetler Kevin G.</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3901 MIDWAY PLACE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Array Technologies,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ARRY</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03/12/2026</w:t>
      </w:r>
    </w:p>
    <w:p>
      <w:pPr>
        <w:spacing w:after="0" w:line="20" w:lineRule="exact"/>
        <w:rPr>
          <w:sz w:val="24"/>
          <w:szCs w:val="24"/>
          <w:color w:val="auto"/>
        </w:rPr>
      </w:pPr>
      <w:r>
        <w:rPr>
          <w:sz w:val="24"/>
          <w:szCs w:val="24"/>
          <w:color w:val="auto"/>
        </w:rPr>
        <w:br w:type="column"/>
      </w:r>
    </w:p>
    <w:p>
      <w:pPr>
        <w:ind w:left="3" w:right="700" w:hanging="3"/>
        <w:spacing w:after="0" w:line="24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2" w:lineRule="exact"/>
        <w:rPr>
          <w:sz w:val="24"/>
          <w:szCs w:val="24"/>
          <w:color w:val="auto"/>
        </w:rPr>
      </w:pPr>
    </w:p>
    <w:p>
      <w:pPr>
        <w:ind w:left="523"/>
        <w:spacing w:after="0"/>
        <w:tabs>
          <w:tab w:leader="none" w:pos="20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23"/>
        <w:spacing w:after="0"/>
        <w:tabs>
          <w:tab w:leader="none" w:pos="20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6"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275" w:lineRule="exact"/>
        <w:rPr>
          <w:sz w:val="24"/>
          <w:szCs w:val="24"/>
          <w:color w:val="auto"/>
        </w:rPr>
      </w:pPr>
    </w:p>
    <w:p>
      <w:pPr>
        <w:sectPr>
          <w:pgSz w:w="11900" w:h="16838" w:orient="portrait"/>
          <w:cols w:equalWidth="0" w:num="3">
            <w:col w:w="3180" w:space="720"/>
            <w:col w:w="3117" w:space="720"/>
            <w:col w:w="3343"/>
          </w:cols>
          <w:pgMar w:left="460" w:top="214"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940" w:type="dxa"/>
            <w:vAlign w:val="bottom"/>
            <w:shd w:val="clear" w:color="auto" w:fill="9A9A9A"/>
          </w:tcPr>
          <w:p>
            <w:pPr>
              <w:spacing w:after="0"/>
              <w:rPr>
                <w:sz w:val="3"/>
                <w:szCs w:val="3"/>
                <w:color w:val="auto"/>
              </w:rPr>
            </w:pPr>
          </w:p>
        </w:tc>
        <w:tc>
          <w:tcPr>
            <w:tcW w:w="120" w:type="dxa"/>
            <w:vAlign w:val="bottom"/>
            <w:shd w:val="clear" w:color="auto" w:fill="9A9A9A"/>
          </w:tcPr>
          <w:p>
            <w:pPr>
              <w:spacing w:after="0"/>
              <w:rPr>
                <w:sz w:val="3"/>
                <w:szCs w:val="3"/>
                <w:color w:val="auto"/>
              </w:rPr>
            </w:pPr>
          </w:p>
        </w:tc>
        <w:tc>
          <w:tcPr>
            <w:tcW w:w="220" w:type="dxa"/>
            <w:vAlign w:val="bottom"/>
            <w:shd w:val="clear" w:color="auto" w:fill="9A9A9A"/>
          </w:tcPr>
          <w:p>
            <w:pPr>
              <w:spacing w:after="0"/>
              <w:rPr>
                <w:sz w:val="3"/>
                <w:szCs w:val="3"/>
                <w:color w:val="auto"/>
              </w:rPr>
            </w:pPr>
          </w:p>
        </w:tc>
        <w:tc>
          <w:tcPr>
            <w:tcW w:w="3700" w:type="dxa"/>
            <w:vAlign w:val="bottom"/>
            <w:gridSpan w:val="7"/>
            <w:vMerge w:val="restart"/>
          </w:tcPr>
          <w:p>
            <w:pPr>
              <w:jc w:val="center"/>
              <w:ind w:right="175"/>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gridSpan w:val="7"/>
            <w:vMerge w:val="continue"/>
          </w:tcPr>
          <w:p>
            <w:pPr>
              <w:spacing w:after="0"/>
              <w:rPr>
                <w:sz w:val="9"/>
                <w:szCs w:val="9"/>
                <w:color w:val="auto"/>
              </w:rPr>
            </w:pPr>
          </w:p>
        </w:tc>
        <w:tc>
          <w:tcPr>
            <w:tcW w:w="36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ALBUQUERQUE NM</w:t>
            </w:r>
          </w:p>
        </w:tc>
        <w:tc>
          <w:tcPr>
            <w:tcW w:w="94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87109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tcBorders>
              <w:top w:val="single" w:sz="8" w:color="EEEEEE"/>
            </w:tcBorders>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9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430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4"/>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jc w:val="center"/>
              <w:ind w:righ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59"/>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8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40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920" w:type="dxa"/>
            <w:vAlign w:val="bottom"/>
            <w:gridSpan w:val="3"/>
          </w:tcPr>
          <w:p>
            <w:pPr>
              <w:jc w:val="right"/>
              <w:ind w:right="97"/>
              <w:spacing w:after="0"/>
              <w:rPr>
                <w:sz w:val="20"/>
                <w:szCs w:val="20"/>
                <w:color w:val="auto"/>
              </w:rPr>
            </w:pPr>
            <w:r>
              <w:rPr>
                <w:rFonts w:ascii="Times New Roman" w:cs="Times New Roman" w:eastAsia="Times New Roman" w:hAnsi="Times New Roman"/>
                <w:sz w:val="16"/>
                <w:szCs w:val="16"/>
                <w:color w:val="0000FF"/>
              </w:rPr>
              <w:t>03/12/2026</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56,149</w:t>
            </w:r>
          </w:p>
        </w:tc>
        <w:tc>
          <w:tcPr>
            <w:tcW w:w="40" w:type="dxa"/>
            <w:vAlign w:val="bottom"/>
          </w:tcPr>
          <w:p>
            <w:pPr>
              <w:spacing w:after="0"/>
              <w:rPr>
                <w:sz w:val="21"/>
                <w:szCs w:val="21"/>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246,295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40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3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 par value $0.001 per share</w:t>
            </w:r>
          </w:p>
        </w:tc>
        <w:tc>
          <w:tcPr>
            <w:tcW w:w="920" w:type="dxa"/>
            <w:vAlign w:val="bottom"/>
            <w:tcBorders>
              <w:bottom w:val="single" w:sz="8" w:color="2C2C2C"/>
            </w:tcBorders>
            <w:gridSpan w:val="3"/>
          </w:tcPr>
          <w:p>
            <w:pPr>
              <w:jc w:val="right"/>
              <w:ind w:right="97"/>
              <w:spacing w:after="0"/>
              <w:rPr>
                <w:sz w:val="20"/>
                <w:szCs w:val="20"/>
                <w:color w:val="auto"/>
              </w:rPr>
            </w:pPr>
            <w:r>
              <w:rPr>
                <w:rFonts w:ascii="Times New Roman" w:cs="Times New Roman" w:eastAsia="Times New Roman" w:hAnsi="Times New Roman"/>
                <w:sz w:val="16"/>
                <w:szCs w:val="16"/>
                <w:color w:val="0000FF"/>
              </w:rPr>
              <w:t>03/12/2026</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15,194</w:t>
            </w:r>
            <w:r>
              <w:rPr>
                <w:rFonts w:ascii="Times New Roman" w:cs="Times New Roman" w:eastAsia="Times New Roman" w:hAnsi="Times New Roman"/>
                <w:sz w:val="20"/>
                <w:szCs w:val="20"/>
                <w:color w:val="008000"/>
                <w:vertAlign w:val="superscript"/>
              </w:rPr>
              <w:t>(2)</w:t>
            </w: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right"/>
              <w:ind w:right="3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6.8</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231,101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3"/>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8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8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9"/>
              <w:spacing w:after="0" w:line="125"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Pr>
          <w:p>
            <w:pPr>
              <w:spacing w:after="0"/>
              <w:rPr>
                <w:sz w:val="11"/>
                <w:szCs w:val="11"/>
                <w:color w:val="auto"/>
              </w:rPr>
            </w:pPr>
          </w:p>
        </w:tc>
        <w:tc>
          <w:tcPr>
            <w:tcW w:w="580" w:type="dxa"/>
            <w:vAlign w:val="bottom"/>
          </w:tcPr>
          <w:p>
            <w:pPr>
              <w:jc w:val="center"/>
              <w:ind w:right="75"/>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jc w:val="right"/>
              <w:ind w:right="36"/>
              <w:spacing w:after="0"/>
              <w:rPr>
                <w:sz w:val="20"/>
                <w:szCs w:val="20"/>
                <w:color w:val="auto"/>
              </w:rPr>
            </w:pPr>
            <w:r>
              <w:rPr>
                <w:rFonts w:ascii="Times New Roman" w:cs="Times New Roman" w:eastAsia="Times New Roman" w:hAnsi="Times New Roman"/>
                <w:sz w:val="16"/>
                <w:szCs w:val="16"/>
                <w:color w:val="0000FF"/>
              </w:rPr>
              <w:t>56,149</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color w:val="0000FF"/>
              </w:rPr>
              <w:t>03/12/2026</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1"/>
                <w:szCs w:val="11"/>
                <w:color w:val="auto"/>
              </w:rPr>
            </w:pPr>
          </w:p>
        </w:tc>
        <w:tc>
          <w:tcPr>
            <w:tcW w:w="4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56,149</w:t>
            </w: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204"/>
              <w:spacing w:after="0" w:line="138" w:lineRule="exact"/>
              <w:rPr>
                <w:sz w:val="20"/>
                <w:szCs w:val="20"/>
                <w:color w:val="auto"/>
              </w:rPr>
            </w:pPr>
            <w:r>
              <w:rPr>
                <w:rFonts w:ascii="Times New Roman" w:cs="Times New Roman" w:eastAsia="Times New Roman" w:hAnsi="Times New Roman"/>
                <w:sz w:val="13"/>
                <w:szCs w:val="13"/>
                <w:color w:val="0000FF"/>
              </w:rPr>
              <w:t>56,150</w:t>
            </w: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jc w:val="center"/>
              <w:ind w:right="75"/>
              <w:spacing w:after="0" w:line="138" w:lineRule="exact"/>
              <w:rPr>
                <w:sz w:val="20"/>
                <w:szCs w:val="20"/>
                <w:color w:val="auto"/>
              </w:rPr>
            </w:pPr>
            <w:r>
              <w:rPr>
                <w:rFonts w:ascii="Times New Roman" w:cs="Times New Roman" w:eastAsia="Times New Roman" w:hAnsi="Times New Roman"/>
                <w:sz w:val="13"/>
                <w:szCs w:val="13"/>
                <w:color w:val="0000FF"/>
              </w:rPr>
              <w:t>$0.001</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3"/>
                <w:szCs w:val="13"/>
                <w:color w:val="0000FF"/>
              </w:rPr>
              <w:t>per share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40" w:type="dxa"/>
            <w:vAlign w:val="bottom"/>
          </w:tcPr>
          <w:p>
            <w:pPr>
              <w:spacing w:after="0"/>
              <w:rPr>
                <w:sz w:val="11"/>
                <w:szCs w:val="11"/>
                <w:color w:val="auto"/>
              </w:rPr>
            </w:pPr>
          </w:p>
        </w:tc>
        <w:tc>
          <w:tcPr>
            <w:tcW w:w="580" w:type="dxa"/>
            <w:vAlign w:val="bottom"/>
          </w:tcPr>
          <w:p>
            <w:pPr>
              <w:jc w:val="center"/>
              <w:ind w:right="75"/>
              <w:spacing w:after="0" w:line="138" w:lineRule="exact"/>
              <w:rPr>
                <w:sz w:val="20"/>
                <w:szCs w:val="20"/>
                <w:color w:val="auto"/>
              </w:rPr>
            </w:pPr>
            <w:r>
              <w:rPr>
                <w:rFonts w:ascii="Times New Roman" w:cs="Times New Roman" w:eastAsia="Times New Roman" w:hAnsi="Times New Roman"/>
                <w:sz w:val="13"/>
                <w:szCs w:val="13"/>
                <w:color w:val="0000FF"/>
                <w:w w:val="97"/>
              </w:rPr>
              <w:t>Stock,</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253,303</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3"/>
                <w:szCs w:val="13"/>
                <w:color w:val="0000FF"/>
              </w:rPr>
              <w:t>253,303</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40" w:type="dxa"/>
            <w:vAlign w:val="bottom"/>
          </w:tcPr>
          <w:p>
            <w:pPr>
              <w:jc w:val="right"/>
              <w:ind w:right="157"/>
              <w:spacing w:after="0" w:line="138" w:lineRule="exact"/>
              <w:rPr>
                <w:sz w:val="20"/>
                <w:szCs w:val="20"/>
                <w:color w:val="auto"/>
              </w:rPr>
            </w:pPr>
            <w:r>
              <w:rPr>
                <w:rFonts w:ascii="Times New Roman" w:cs="Times New Roman" w:eastAsia="Times New Roman" w:hAnsi="Times New Roman"/>
                <w:sz w:val="13"/>
                <w:szCs w:val="13"/>
                <w:color w:val="0000FF"/>
              </w:rPr>
              <w:t>03/12/2026</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253,303</w:t>
            </w:r>
          </w:p>
        </w:tc>
        <w:tc>
          <w:tcPr>
            <w:tcW w:w="4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0000FF"/>
              </w:rPr>
              <w:t>par value</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2"/>
                <w:szCs w:val="12"/>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$0.001</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upon vesting, one share of the Issuer's common stock in accordance with the Issuer's 2020 Long-Term Incentive Plan.</w:t>
      </w:r>
    </w:p>
    <w:p>
      <w:pPr>
        <w:spacing w:after="0" w:line="38" w:lineRule="exact"/>
        <w:rPr>
          <w:rFonts w:ascii="Times New Roman" w:cs="Times New Roman" w:eastAsia="Times New Roman" w:hAnsi="Times New Roman"/>
          <w:sz w:val="13"/>
          <w:szCs w:val="13"/>
          <w:color w:val="008000"/>
        </w:rPr>
      </w:pPr>
    </w:p>
    <w:p>
      <w:pPr>
        <w:ind w:left="40" w:right="28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in connection with the vesting and settlement of restricted stock units. The number of shares withheld is based on the closing price of the Issuer's common stock on March 12, 2026.</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12, 2024, the reporting person was granted 168,447 restricted stock units, vesting in three equal annual installments, beginning on the first anniversary of the grant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12, 2026, the reporting person was granted 253,303 restricted stock units, vesting in three equal annual installments, beginning on the first anniversary of the grant date.</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Does not include: (i) 733,187 unvested restricted stock units held by the reporting person in connection with grants made on separate dates; or (ii) the 56,150 unvested restricted stock units reported above.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Ashton Wiebe as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03/16/2026</w:t>
            </w: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6"/>
              </w:rPr>
              <w:t>in-Fact</w:t>
            </w:r>
          </w:p>
        </w:tc>
        <w:tc>
          <w:tcPr>
            <w:tcW w:w="162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bottom w:val="single" w:sz="8" w:color="auto"/>
            </w:tcBorders>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6"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85466" TargetMode="External"/><Relationship Id="rId14" Type="http://schemas.openxmlformats.org/officeDocument/2006/relationships/hyperlink" Target="http://www.sec.gov/cgi-bin/browse-edgar?action=getcompany&amp;CIK=00018207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2026-03-16T17:02:47Z</dcterms:created>
  <dcterms:modified xsi:type="dcterms:W3CDTF">2026-03-16T17:02:47Z</dcterms:modified>
</cp:coreProperties>
</file>