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07859.xml.htm"/>
      <w:bookmarkStart w:id="1" w:name="kswkform4_1790607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Zhu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3901 MIDWAY PLACE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ALBUQUERQUE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Array Technologies, Inc.</w:t>
              </w:r>
            </w:hyperlink>
            <w:r>
              <w:rPr/>
              <w:t xml:space="preserve"> [ </w:t>
            </w:r>
            <w:r>
              <w:rPr>
                <w:rFonts w:ascii="Times;serif" w:hAnsi="Times;serif"/>
                <w:color w:val="0000FF"/>
                <w:sz w:val="24"/>
                <w:shd w:fill="FFFFFF" w:val="clear"/>
              </w:rPr>
              <w:t>ARRY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23,385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6,279</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34,743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23,385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12,048</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upon vesting, one share of the Issuer's common stock in accordance with the Issuer's Amended and Restated 2020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in connection with the vesting and settlement of restricted stock units. The number of shares withheld is based on the closing price of the Issuer's common stock on September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24, 2024, the reporting person was granted 35,433 restricted stock units, vesting 66% on the second anniversary of the grant date and 34%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Does not include 75,671 unvested restricted stock units held by the reporting person in connection with grants made on separate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Gina Gunning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991" TargetMode="External"/><Relationship Id="rId5" Type="http://schemas.openxmlformats.org/officeDocument/2006/relationships/hyperlink" Target="http://www.sec.gov/cgi-bin/browse-edgar?action=getcompany&amp;CIK=0001820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3938</Characters>
  <CharactersWithSpaces>4580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