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63" w:lineRule="exact"/>
        <w:rPr>
          <w:sz w:val="24"/>
          <w:szCs w:val="24"/>
          <w:color w:val="auto"/>
        </w:rPr>
      </w:pPr>
    </w:p>
    <w:p>
      <w:pPr>
        <w:ind w:left="3780" w:right="2780" w:hanging="3772"/>
        <w:spacing w:after="0" w:line="304" w:lineRule="auto"/>
        <w:tabs>
          <w:tab w:leader="none" w:pos="2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September 30, 2024</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or</w:t>
      </w:r>
    </w:p>
    <w:p>
      <w:pPr>
        <w:spacing w:after="0" w:line="248" w:lineRule="exact"/>
        <w:rPr>
          <w:sz w:val="24"/>
          <w:szCs w:val="24"/>
          <w:color w:val="auto"/>
        </w:rPr>
      </w:pPr>
    </w:p>
    <w:p>
      <w:pPr>
        <w:ind w:left="3640" w:right="2780" w:hanging="3632"/>
        <w:spacing w:after="0" w:line="304" w:lineRule="auto"/>
        <w:tabs>
          <w:tab w:leader="none" w:pos="20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172085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7" w:lineRule="exact"/>
        <w:rPr>
          <w:sz w:val="24"/>
          <w:szCs w:val="24"/>
          <w:color w:val="auto"/>
        </w:rPr>
      </w:pPr>
    </w:p>
    <w:tbl>
      <w:tblPr>
        <w:tblLayout w:type="fixed"/>
        <w:tblInd w:w="380" w:type="dxa"/>
        <w:tblCellMar>
          <w:top w:w="0" w:type="dxa"/>
          <w:left w:w="0" w:type="dxa"/>
          <w:bottom w:w="0" w:type="dxa"/>
          <w:right w:w="0" w:type="dxa"/>
        </w:tblCellMar>
      </w:tblPr>
      <w:tr>
        <w:trPr>
          <w:trHeight w:val="267"/>
        </w:trPr>
        <w:tc>
          <w:tcPr>
            <w:tcW w:w="514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rPr>
              <w:t>Delaware</w:t>
            </w:r>
          </w:p>
        </w:tc>
        <w:tc>
          <w:tcPr>
            <w:tcW w:w="1780" w:type="dxa"/>
            <w:vAlign w:val="bottom"/>
          </w:tcPr>
          <w:p>
            <w:pPr>
              <w:spacing w:after="0"/>
              <w:rPr>
                <w:sz w:val="23"/>
                <w:szCs w:val="23"/>
                <w:color w:val="auto"/>
              </w:rPr>
            </w:pPr>
          </w:p>
        </w:tc>
        <w:tc>
          <w:tcPr>
            <w:tcW w:w="3580" w:type="dxa"/>
            <w:vAlign w:val="bottom"/>
            <w:gridSpan w:val="3"/>
          </w:tcPr>
          <w:p>
            <w:pPr>
              <w:jc w:val="right"/>
              <w:ind w:right="1839"/>
              <w:spacing w:after="0"/>
              <w:rPr>
                <w:sz w:val="20"/>
                <w:szCs w:val="20"/>
                <w:color w:val="auto"/>
              </w:rPr>
            </w:pPr>
            <w:r>
              <w:rPr>
                <w:rFonts w:ascii="Arial" w:cs="Arial" w:eastAsia="Arial" w:hAnsi="Arial"/>
                <w:sz w:val="20"/>
                <w:szCs w:val="20"/>
                <w:b w:val="1"/>
                <w:bCs w:val="1"/>
                <w:color w:val="auto"/>
              </w:rPr>
              <w:t>83-2747826</w:t>
            </w:r>
          </w:p>
        </w:tc>
      </w:tr>
      <w:tr>
        <w:trPr>
          <w:trHeight w:val="208"/>
        </w:trPr>
        <w:tc>
          <w:tcPr>
            <w:tcW w:w="50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(State or Other Jurisdiction)</w:t>
            </w:r>
          </w:p>
        </w:tc>
        <w:tc>
          <w:tcPr>
            <w:tcW w:w="100" w:type="dxa"/>
            <w:vAlign w:val="bottom"/>
          </w:tcPr>
          <w:p>
            <w:pPr>
              <w:spacing w:after="0"/>
              <w:rPr>
                <w:sz w:val="18"/>
                <w:szCs w:val="18"/>
                <w:color w:val="auto"/>
              </w:rPr>
            </w:pPr>
          </w:p>
        </w:tc>
        <w:tc>
          <w:tcPr>
            <w:tcW w:w="5360" w:type="dxa"/>
            <w:vAlign w:val="bottom"/>
            <w:tcBorders>
              <w:top w:val="single" w:sz="8" w:color="auto"/>
            </w:tcBorders>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28"/>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8"/>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615"/>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44"/>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68"/>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3"/>
                <w:szCs w:val="23"/>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307" w:lineRule="exact"/>
        <w:rPr>
          <w:sz w:val="24"/>
          <w:szCs w:val="24"/>
          <w:color w:val="auto"/>
        </w:rPr>
      </w:pPr>
    </w:p>
    <w:p>
      <w:pPr>
        <w:ind w:right="460"/>
        <w:spacing w:after="0" w:line="25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49" w:lineRule="exact"/>
        <w:rPr>
          <w:sz w:val="24"/>
          <w:szCs w:val="24"/>
          <w:color w:val="auto"/>
        </w:rPr>
      </w:pPr>
    </w:p>
    <w:p>
      <w:pPr>
        <w:ind w:right="220"/>
        <w:spacing w:after="0" w:line="25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 w:lineRule="exact"/>
        <w:rPr>
          <w:sz w:val="24"/>
          <w:szCs w:val="24"/>
          <w:color w:val="auto"/>
        </w:rPr>
      </w:pPr>
    </w:p>
    <w:p>
      <w:pPr>
        <w:ind w:right="20"/>
        <w:spacing w:after="0" w:line="26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2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838"/>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 w:name="page2"/>
    <w:bookmarkEnd w:id="1"/>
    <w:p>
      <w:pPr>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4, 2024, there were 151,942,981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gridSpan w:val="11"/>
          </w:tcPr>
          <w:p>
            <w:pPr>
              <w:spacing w:after="0"/>
              <w:rPr>
                <w:sz w:val="20"/>
                <w:szCs w:val="20"/>
                <w:color w:val="auto"/>
              </w:rPr>
            </w:pPr>
            <w:r>
              <w:rPr>
                <w:rFonts w:ascii="Arial" w:cs="Arial" w:eastAsia="Arial" w:hAnsi="Arial"/>
                <w:sz w:val="18"/>
                <w:szCs w:val="18"/>
                <w:b w:val="1"/>
                <w:bCs w:val="1"/>
                <w:color w:val="0000FF"/>
              </w:rPr>
              <w:t>PART I - FINANCIAL INFORMATION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90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Financial Statements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400" w:type="dxa"/>
            <w:vAlign w:val="bottom"/>
            <w:tcBorders>
              <w:top w:val="single" w:sz="8" w:color="0000FF"/>
            </w:tcBorders>
            <w:gridSpan w:val="7"/>
          </w:tcPr>
          <w:p>
            <w:pPr>
              <w:spacing w:after="0" w:line="189" w:lineRule="exact"/>
              <w:rPr>
                <w:sz w:val="20"/>
                <w:szCs w:val="20"/>
                <w:color w:val="auto"/>
              </w:rPr>
            </w:pPr>
            <w:r>
              <w:rPr>
                <w:rFonts w:ascii="Arial" w:cs="Arial" w:eastAsia="Arial" w:hAnsi="Arial"/>
                <w:sz w:val="18"/>
                <w:szCs w:val="18"/>
                <w:color w:val="0000FF"/>
              </w:rPr>
              <w:t>Condensed Consolidated Balance Sheets</w:t>
            </w:r>
          </w:p>
        </w:tc>
        <w:tc>
          <w:tcPr>
            <w:tcW w:w="4180" w:type="dxa"/>
            <w:vAlign w:val="bottom"/>
            <w:tcBorders>
              <w:top w:val="single" w:sz="8" w:color="CCEEFF"/>
            </w:tcBorders>
            <w:gridSpan w:val="7"/>
          </w:tcPr>
          <w:p>
            <w:pPr>
              <w:spacing w:after="0"/>
              <w:rPr>
                <w:sz w:val="16"/>
                <w:szCs w:val="16"/>
                <w:color w:val="auto"/>
              </w:rPr>
            </w:pPr>
          </w:p>
        </w:tc>
        <w:tc>
          <w:tcPr>
            <w:tcW w:w="180" w:type="dxa"/>
            <w:vAlign w:val="bottom"/>
            <w:tcBorders>
              <w:top w:val="single" w:sz="8" w:color="CCEEFF"/>
            </w:tcBorders>
            <w:gridSpan w:val="3"/>
          </w:tcPr>
          <w:p>
            <w:pPr>
              <w:jc w:val="center"/>
              <w:spacing w:after="0" w:line="189" w:lineRule="exact"/>
              <w:rPr>
                <w:sz w:val="20"/>
                <w:szCs w:val="20"/>
                <w:color w:val="auto"/>
              </w:rPr>
            </w:pPr>
            <w:r>
              <w:rPr>
                <w:rFonts w:ascii="Arial" w:cs="Arial" w:eastAsia="Arial" w:hAnsi="Arial"/>
                <w:sz w:val="18"/>
                <w:szCs w:val="18"/>
                <w:color w:val="0000FF"/>
                <w:w w:val="99"/>
              </w:rPr>
              <w:t>1</w:t>
            </w:r>
          </w:p>
        </w:tc>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1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Operations</w:t>
            </w:r>
          </w:p>
        </w:tc>
        <w:tc>
          <w:tcPr>
            <w:tcW w:w="4460" w:type="dxa"/>
            <w:vAlign w:val="bottom"/>
            <w:gridSpan w:val="9"/>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0000FF"/>
                <w:w w:val="99"/>
              </w:rPr>
              <w:t>3</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80" w:type="dxa"/>
            <w:vAlign w:val="bottom"/>
            <w:gridSpan w:val="14"/>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(Loss)</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4</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5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in Redeemable Perpetual Preferred Stock and</w:t>
            </w:r>
          </w:p>
        </w:tc>
        <w:tc>
          <w:tcPr>
            <w:tcW w:w="40" w:type="dxa"/>
            <w:vAlign w:val="bottom"/>
            <w:vMerge w:val="restart"/>
            <w:shd w:val="clear" w:color="auto" w:fill="CCEEFF"/>
          </w:tcPr>
          <w:p>
            <w:pPr>
              <w:spacing w:after="0"/>
              <w:rPr>
                <w:sz w:val="16"/>
                <w:szCs w:val="16"/>
                <w:color w:val="auto"/>
              </w:rPr>
            </w:pPr>
          </w:p>
        </w:tc>
        <w:tc>
          <w:tcPr>
            <w:tcW w:w="14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8"/>
                <w:szCs w:val="18"/>
                <w:color w:val="0000FF"/>
                <w:w w:val="99"/>
              </w:rPr>
              <w:t>5</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rPr>
              <w:t>Stockholders’ Equity</w:t>
            </w:r>
          </w:p>
        </w:tc>
        <w:tc>
          <w:tcPr>
            <w:tcW w:w="6040" w:type="dxa"/>
            <w:vAlign w:val="bottom"/>
            <w:tcBorders>
              <w:top w:val="single" w:sz="8" w:color="0000FF"/>
            </w:tcBorders>
            <w:gridSpan w:val="12"/>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vMerge w:val="continue"/>
            <w:shd w:val="clear" w:color="auto" w:fill="CCEEFF"/>
          </w:tcPr>
          <w:p>
            <w:pPr>
              <w:spacing w:after="0"/>
              <w:rPr>
                <w:sz w:val="15"/>
                <w:szCs w:val="15"/>
                <w:color w:val="auto"/>
              </w:rPr>
            </w:pPr>
          </w:p>
        </w:tc>
        <w:tc>
          <w:tcPr>
            <w:tcW w:w="140" w:type="dxa"/>
            <w:vAlign w:val="bottom"/>
            <w:tcBorders>
              <w:top w:val="single" w:sz="8" w:color="CCEEFF"/>
            </w:tcBorders>
            <w:gridSpan w:val="2"/>
            <w:vMerge w:val="continue"/>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80" w:type="dxa"/>
            <w:vAlign w:val="bottom"/>
            <w:gridSpan w:val="14"/>
          </w:tcPr>
          <w:p>
            <w:pPr>
              <w:spacing w:after="0" w:line="183" w:lineRule="exact"/>
              <w:rPr>
                <w:sz w:val="20"/>
                <w:szCs w:val="20"/>
                <w:color w:val="auto"/>
              </w:rPr>
            </w:pPr>
            <w:r>
              <w:rPr>
                <w:rFonts w:ascii="Arial" w:cs="Arial" w:eastAsia="Arial" w:hAnsi="Arial"/>
                <w:sz w:val="18"/>
                <w:szCs w:val="18"/>
                <w:color w:val="0000FF"/>
              </w:rPr>
              <w:t>Condensed Consolidated Statements of Cash Flows</w:t>
            </w:r>
          </w:p>
        </w:tc>
        <w:tc>
          <w:tcPr>
            <w:tcW w:w="180" w:type="dxa"/>
            <w:vAlign w:val="bottom"/>
            <w:gridSpan w:val="3"/>
          </w:tcPr>
          <w:p>
            <w:pPr>
              <w:jc w:val="center"/>
              <w:spacing w:after="0" w:line="183" w:lineRule="exact"/>
              <w:rPr>
                <w:sz w:val="20"/>
                <w:szCs w:val="20"/>
                <w:color w:val="auto"/>
              </w:rPr>
            </w:pPr>
            <w:r>
              <w:rPr>
                <w:rFonts w:ascii="Arial" w:cs="Arial" w:eastAsia="Arial" w:hAnsi="Arial"/>
                <w:sz w:val="18"/>
                <w:szCs w:val="18"/>
                <w:color w:val="0000FF"/>
                <w:w w:val="99"/>
              </w:rPr>
              <w:t>9</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8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Notes to Condensed Consolidated Financial Statements</w:t>
            </w:r>
          </w:p>
        </w:tc>
        <w:tc>
          <w:tcPr>
            <w:tcW w:w="4100" w:type="dxa"/>
            <w:vAlign w:val="bottom"/>
            <w:gridSpan w:val="6"/>
            <w:shd w:val="clear" w:color="auto" w:fill="CCEEFF"/>
          </w:tcPr>
          <w:p>
            <w:pPr>
              <w:spacing w:after="0"/>
              <w:rPr>
                <w:sz w:val="16"/>
                <w:szCs w:val="16"/>
                <w:color w:val="auto"/>
              </w:rPr>
            </w:pPr>
          </w:p>
        </w:tc>
        <w:tc>
          <w:tcPr>
            <w:tcW w:w="200" w:type="dxa"/>
            <w:vAlign w:val="bottom"/>
            <w:gridSpan w:val="4"/>
            <w:shd w:val="clear" w:color="auto" w:fill="CCEEFF"/>
          </w:tcPr>
          <w:p>
            <w:pPr>
              <w:jc w:val="center"/>
              <w:ind w:right="20"/>
              <w:spacing w:after="0" w:line="189" w:lineRule="exact"/>
              <w:rPr>
                <w:sz w:val="20"/>
                <w:szCs w:val="20"/>
                <w:color w:val="auto"/>
              </w:rPr>
            </w:pPr>
            <w:r>
              <w:rPr>
                <w:rFonts w:ascii="Arial" w:cs="Arial" w:eastAsia="Arial" w:hAnsi="Arial"/>
                <w:sz w:val="18"/>
                <w:szCs w:val="18"/>
                <w:color w:val="0000FF"/>
                <w:w w:val="89"/>
              </w:rPr>
              <w:t>11</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9700" w:type="dxa"/>
            <w:vAlign w:val="bottom"/>
            <w:gridSpan w:val="16"/>
          </w:tcPr>
          <w:p>
            <w:pPr>
              <w:ind w:left="9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20" w:type="dxa"/>
            <w:vAlign w:val="bottom"/>
            <w:gridSpan w:val="5"/>
          </w:tcPr>
          <w:p>
            <w:pPr>
              <w:jc w:val="center"/>
              <w:ind w:right="520"/>
              <w:spacing w:after="0" w:line="189" w:lineRule="exact"/>
              <w:rPr>
                <w:sz w:val="20"/>
                <w:szCs w:val="20"/>
                <w:color w:val="auto"/>
              </w:rPr>
            </w:pPr>
            <w:r>
              <w:rPr>
                <w:rFonts w:ascii="Arial" w:cs="Arial" w:eastAsia="Arial" w:hAnsi="Arial"/>
                <w:sz w:val="18"/>
                <w:szCs w:val="18"/>
                <w:color w:val="0000FF"/>
                <w:w w:val="99"/>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9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08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49</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900" w:type="dxa"/>
            <w:vAlign w:val="bottom"/>
          </w:tcPr>
          <w:p>
            <w:pPr>
              <w:spacing w:after="0"/>
              <w:rPr>
                <w:sz w:val="16"/>
                <w:szCs w:val="16"/>
                <w:color w:val="auto"/>
              </w:rPr>
            </w:pPr>
          </w:p>
        </w:tc>
        <w:tc>
          <w:tcPr>
            <w:tcW w:w="2000" w:type="dxa"/>
            <w:vAlign w:val="bottom"/>
            <w:tcBorders>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2"/>
          </w:tcPr>
          <w:p>
            <w:pPr>
              <w:spacing w:after="0"/>
              <w:rPr>
                <w:sz w:val="16"/>
                <w:szCs w:val="16"/>
                <w:color w:val="auto"/>
              </w:rPr>
            </w:pPr>
          </w:p>
        </w:tc>
        <w:tc>
          <w:tcPr>
            <w:tcW w:w="200" w:type="dxa"/>
            <w:vAlign w:val="bottom"/>
            <w:tcBorders>
              <w:bottom w:val="single" w:sz="8" w:color="0000FF"/>
            </w:tcBorders>
            <w:gridSpan w:val="4"/>
          </w:tcPr>
          <w:p>
            <w:pPr>
              <w:jc w:val="center"/>
              <w:spacing w:after="0" w:line="189" w:lineRule="exact"/>
              <w:rPr>
                <w:sz w:val="20"/>
                <w:szCs w:val="20"/>
                <w:color w:val="auto"/>
              </w:rPr>
            </w:pPr>
            <w:r>
              <w:rPr>
                <w:rFonts w:ascii="Arial" w:cs="Arial" w:eastAsia="Arial" w:hAnsi="Arial"/>
                <w:sz w:val="18"/>
                <w:szCs w:val="18"/>
                <w:color w:val="0000FF"/>
                <w:w w:val="99"/>
              </w:rPr>
              <w:t>49</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40" w:type="dxa"/>
            <w:vAlign w:val="bottom"/>
            <w:gridSpan w:val="4"/>
          </w:tcPr>
          <w:p>
            <w:pPr>
              <w:ind w:left="100"/>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9"/>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300" w:type="dxa"/>
            <w:vAlign w:val="bottom"/>
            <w:tcBorders>
              <w:bottom w:val="single" w:sz="8" w:color="CCEEFF"/>
            </w:tcBorders>
            <w:gridSpan w:val="6"/>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51</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1A.</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Risk Factors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51</w:t>
            </w:r>
          </w:p>
        </w:tc>
        <w:tc>
          <w:tcPr>
            <w:tcW w:w="1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39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53</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3.</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Defaults Upon Senior Securities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53</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686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53</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5.</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Other Information</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53</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10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9180" w:type="dxa"/>
            <w:vAlign w:val="bottom"/>
            <w:gridSpan w:val="11"/>
            <w:shd w:val="clear" w:color="auto" w:fill="CCEEFF"/>
          </w:tcPr>
          <w:p>
            <w:pPr>
              <w:ind w:left="380"/>
              <w:spacing w:after="0" w:line="189" w:lineRule="exact"/>
              <w:rPr>
                <w:sz w:val="20"/>
                <w:szCs w:val="20"/>
                <w:color w:val="auto"/>
              </w:rPr>
            </w:pPr>
            <w:r>
              <w:rPr>
                <w:rFonts w:ascii="Arial" w:cs="Arial" w:eastAsia="Arial" w:hAnsi="Arial"/>
                <w:sz w:val="18"/>
                <w:szCs w:val="18"/>
                <w:color w:val="0000FF"/>
              </w:rPr>
              <w:t>Exhibits</w:t>
            </w:r>
          </w:p>
        </w:tc>
        <w:tc>
          <w:tcPr>
            <w:tcW w:w="7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0000FF"/>
                <w:w w:val="89"/>
              </w:rPr>
              <w:t>53</w:t>
            </w:r>
          </w:p>
        </w:tc>
        <w:tc>
          <w:tcPr>
            <w:tcW w:w="120" w:type="dxa"/>
            <w:vAlign w:val="bottom"/>
          </w:tcPr>
          <w:p>
            <w:pPr>
              <w:spacing w:after="0"/>
              <w:rPr>
                <w:sz w:val="18"/>
                <w:szCs w:val="18"/>
                <w:color w:val="auto"/>
              </w:rPr>
            </w:pPr>
          </w:p>
        </w:tc>
      </w:tr>
      <w:tr>
        <w:trPr>
          <w:trHeight w:val="1182"/>
        </w:trPr>
        <w:tc>
          <w:tcPr>
            <w:tcW w:w="1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20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34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 w:name="page4"/>
    <w:bookmarkEnd w:id="3"/>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p>
    <w:p>
      <w:pPr>
        <w:jc w:val="center"/>
        <w:ind w:right="-19"/>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2024</w:t>
            </w:r>
          </w:p>
        </w:tc>
        <w:tc>
          <w:tcPr>
            <w:tcW w:w="200" w:type="dxa"/>
            <w:vAlign w:val="bottom"/>
          </w:tcPr>
          <w:p>
            <w:pPr>
              <w:spacing w:after="0"/>
              <w:rPr>
                <w:sz w:val="24"/>
                <w:szCs w:val="24"/>
                <w:color w:val="auto"/>
              </w:rPr>
            </w:pPr>
          </w:p>
        </w:tc>
        <w:tc>
          <w:tcPr>
            <w:tcW w:w="2120" w:type="dxa"/>
            <w:vAlign w:val="bottom"/>
          </w:tcPr>
          <w:p>
            <w:pPr>
              <w:jc w:val="right"/>
              <w:ind w:right="181"/>
              <w:spacing w:after="0"/>
              <w:rPr>
                <w:sz w:val="20"/>
                <w:szCs w:val="20"/>
                <w:color w:val="auto"/>
              </w:rPr>
            </w:pPr>
            <w:r>
              <w:rPr>
                <w:rFonts w:ascii="Arial" w:cs="Arial" w:eastAsia="Arial" w:hAnsi="Arial"/>
                <w:sz w:val="20"/>
                <w:szCs w:val="20"/>
                <w:b w:val="1"/>
                <w:bCs w:val="1"/>
                <w:color w:val="auto"/>
              </w:rPr>
              <w:t>December 31, 2023</w:t>
            </w:r>
          </w:p>
        </w:tc>
      </w:tr>
      <w:tr>
        <w:trPr>
          <w:trHeight w:val="240"/>
        </w:trPr>
        <w:tc>
          <w:tcPr>
            <w:tcW w:w="6500" w:type="dxa"/>
            <w:vAlign w:val="bottom"/>
            <w:tcBorders>
              <w:top w:val="single" w:sz="8" w:color="CCEEFF"/>
            </w:tcBorders>
            <w:shd w:val="clear" w:color="auto" w:fill="CCEEFF"/>
          </w:tcPr>
          <w:p>
            <w:pPr>
              <w:ind w:left="5220"/>
              <w:spacing w:after="0"/>
              <w:rPr>
                <w:sz w:val="20"/>
                <w:szCs w:val="20"/>
                <w:color w:val="auto"/>
              </w:rPr>
            </w:pPr>
            <w:r>
              <w:rPr>
                <w:rFonts w:ascii="Arial" w:cs="Arial" w:eastAsia="Arial" w:hAnsi="Arial"/>
                <w:sz w:val="20"/>
                <w:szCs w:val="20"/>
                <w:b w:val="1"/>
                <w:bCs w:val="1"/>
                <w:color w:val="auto"/>
              </w:rPr>
              <w:t>ASSETS</w:t>
            </w:r>
          </w:p>
        </w:tc>
        <w:tc>
          <w:tcPr>
            <w:tcW w:w="18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5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332,372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249,080</w:t>
            </w: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Accounts receivable, net of allowance of $6,614 and $3,824, respectively</w:t>
            </w: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282,117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332,152</w:t>
            </w:r>
          </w:p>
        </w:tc>
      </w:tr>
      <w:tr>
        <w:trPr>
          <w:trHeight w:val="256"/>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Inventories</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195,697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161,964</w:t>
            </w:r>
          </w:p>
        </w:tc>
      </w:tr>
      <w:tr>
        <w:trPr>
          <w:trHeight w:val="257"/>
        </w:trPr>
        <w:tc>
          <w:tcPr>
            <w:tcW w:w="65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Prepaid expenses and other</w:t>
            </w:r>
          </w:p>
        </w:tc>
        <w:tc>
          <w:tcPr>
            <w:tcW w:w="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92,096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89,085</w:t>
            </w:r>
          </w:p>
        </w:tc>
      </w:tr>
      <w:tr>
        <w:trPr>
          <w:trHeight w:val="250"/>
        </w:trPr>
        <w:tc>
          <w:tcPr>
            <w:tcW w:w="6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current assets</w:t>
            </w: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902,282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832,281</w:t>
            </w:r>
          </w:p>
        </w:tc>
      </w:tr>
      <w:tr>
        <w:trPr>
          <w:trHeight w:val="270"/>
        </w:trPr>
        <w:tc>
          <w:tcPr>
            <w:tcW w:w="6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Property, plant and equipment, net</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27,629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27,893</w:t>
            </w: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Goodwill</w:t>
            </w: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250,873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435,591</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intangible assets, net</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301,599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354,389</w:t>
            </w:r>
          </w:p>
        </w:tc>
      </w:tr>
      <w:tr>
        <w:trPr>
          <w:trHeight w:val="256"/>
        </w:trPr>
        <w:tc>
          <w:tcPr>
            <w:tcW w:w="6500" w:type="dxa"/>
            <w:vAlign w:val="bottom"/>
          </w:tcPr>
          <w:p>
            <w:pPr>
              <w:ind w:left="20"/>
              <w:spacing w:after="0"/>
              <w:rPr>
                <w:sz w:val="20"/>
                <w:szCs w:val="20"/>
                <w:color w:val="auto"/>
              </w:rPr>
            </w:pPr>
            <w:r>
              <w:rPr>
                <w:rFonts w:ascii="Arial" w:cs="Arial" w:eastAsia="Arial" w:hAnsi="Arial"/>
                <w:sz w:val="20"/>
                <w:szCs w:val="20"/>
                <w:color w:val="auto"/>
              </w:rPr>
              <w:t>Deferred income tax assets</w:t>
            </w: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15,716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15,870</w:t>
            </w: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65,005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40,717</w:t>
            </w:r>
          </w:p>
        </w:tc>
      </w:tr>
      <w:tr>
        <w:trPr>
          <w:trHeight w:val="250"/>
        </w:trPr>
        <w:tc>
          <w:tcPr>
            <w:tcW w:w="6500" w:type="dxa"/>
            <w:vAlign w:val="bottom"/>
          </w:tcPr>
          <w:p>
            <w:pPr>
              <w:ind w:left="520"/>
              <w:spacing w:after="0"/>
              <w:rPr>
                <w:sz w:val="20"/>
                <w:szCs w:val="20"/>
                <w:color w:val="auto"/>
              </w:rPr>
            </w:pPr>
            <w:r>
              <w:rPr>
                <w:rFonts w:ascii="Arial" w:cs="Arial" w:eastAsia="Arial" w:hAnsi="Arial"/>
                <w:sz w:val="20"/>
                <w:szCs w:val="20"/>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1,563,104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1,706,741</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bl>
    <w:p>
      <w:pPr>
        <w:ind w:left="20" w:right="1140" w:firstLine="1118"/>
        <w:spacing w:after="0" w:line="265" w:lineRule="auto"/>
        <w:rPr>
          <w:sz w:val="20"/>
          <w:szCs w:val="20"/>
          <w:color w:val="auto"/>
        </w:rPr>
      </w:pPr>
      <w:r>
        <w:rPr>
          <w:rFonts w:ascii="Arial" w:cs="Arial" w:eastAsia="Arial" w:hAnsi="Arial"/>
          <w:sz w:val="20"/>
          <w:szCs w:val="20"/>
          <w:b w:val="1"/>
          <w:bCs w:val="1"/>
          <w:color w:val="auto"/>
        </w:rPr>
        <w:t xml:space="preserve">LIABILITIES, REDEEMABLE PERPETUAL PREFERRED STOCK AND STOCKHOLDERS' EQUITY </w:t>
      </w:r>
      <w:r>
        <w:rPr>
          <w:rFonts w:ascii="Arial" w:cs="Arial" w:eastAsia="Arial" w:hAnsi="Arial"/>
          <w:sz w:val="20"/>
          <w:szCs w:val="2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1517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0"/>
        </w:trPr>
        <w:tc>
          <w:tcPr>
            <w:tcW w:w="6500" w:type="dxa"/>
            <w:vAlign w:val="bottom"/>
          </w:tcPr>
          <w:p>
            <w:pPr>
              <w:ind w:left="240"/>
              <w:spacing w:after="0"/>
              <w:rPr>
                <w:sz w:val="20"/>
                <w:szCs w:val="20"/>
                <w:color w:val="auto"/>
              </w:rPr>
            </w:pPr>
            <w:r>
              <w:rPr>
                <w:rFonts w:ascii="Arial" w:cs="Arial" w:eastAsia="Arial" w:hAnsi="Arial"/>
                <w:sz w:val="20"/>
                <w:szCs w:val="20"/>
                <w:color w:val="auto"/>
              </w:rPr>
              <w:t>Accounts payable</w:t>
            </w:r>
          </w:p>
        </w:tc>
        <w:tc>
          <w:tcPr>
            <w:tcW w:w="740" w:type="dxa"/>
            <w:vAlign w:val="bottom"/>
          </w:tcPr>
          <w:p>
            <w:pPr>
              <w:jc w:val="right"/>
              <w:ind w:right="52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149,202</w:t>
            </w:r>
          </w:p>
        </w:tc>
        <w:tc>
          <w:tcPr>
            <w:tcW w:w="100" w:type="dxa"/>
            <w:vAlign w:val="bottom"/>
          </w:tcPr>
          <w:p>
            <w:pPr>
              <w:spacing w:after="0"/>
              <w:rPr>
                <w:sz w:val="22"/>
                <w:szCs w:val="22"/>
                <w:color w:val="auto"/>
              </w:rPr>
            </w:pPr>
          </w:p>
        </w:tc>
        <w:tc>
          <w:tcPr>
            <w:tcW w:w="740" w:type="dxa"/>
            <w:vAlign w:val="bottom"/>
          </w:tcPr>
          <w:p>
            <w:pPr>
              <w:jc w:val="right"/>
              <w:ind w:right="521"/>
              <w:spacing w:after="0"/>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119,498</w:t>
            </w:r>
          </w:p>
        </w:tc>
      </w:tr>
      <w:tr>
        <w:trPr>
          <w:trHeight w:val="25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7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48,952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70,211</w:t>
            </w:r>
          </w:p>
        </w:tc>
      </w:tr>
      <w:tr>
        <w:trPr>
          <w:trHeight w:val="256"/>
        </w:trPr>
        <w:tc>
          <w:tcPr>
            <w:tcW w:w="650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7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1,503</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2,790</w:t>
            </w:r>
          </w:p>
        </w:tc>
      </w:tr>
      <w:tr>
        <w:trPr>
          <w:trHeight w:val="25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7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1,437</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5,754</w:t>
            </w:r>
          </w:p>
        </w:tc>
      </w:tr>
      <w:tr>
        <w:trPr>
          <w:trHeight w:val="256"/>
        </w:trPr>
        <w:tc>
          <w:tcPr>
            <w:tcW w:w="650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7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112,618</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66,488</w:t>
            </w:r>
          </w:p>
        </w:tc>
      </w:tr>
      <w:tr>
        <w:trPr>
          <w:trHeight w:val="25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7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1,873</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1,427</w:t>
            </w:r>
          </w:p>
        </w:tc>
      </w:tr>
      <w:tr>
        <w:trPr>
          <w:trHeight w:val="257"/>
        </w:trPr>
        <w:tc>
          <w:tcPr>
            <w:tcW w:w="6500" w:type="dxa"/>
            <w:vAlign w:val="bottom"/>
          </w:tcPr>
          <w:p>
            <w:pPr>
              <w:ind w:left="240"/>
              <w:spacing w:after="0"/>
              <w:rPr>
                <w:sz w:val="20"/>
                <w:szCs w:val="20"/>
                <w:color w:val="auto"/>
              </w:rPr>
            </w:pPr>
            <w:r>
              <w:rPr>
                <w:rFonts w:ascii="Arial" w:cs="Arial" w:eastAsia="Arial" w:hAnsi="Arial"/>
                <w:sz w:val="20"/>
                <w:szCs w:val="20"/>
                <w:color w:val="auto"/>
              </w:rPr>
              <w:t>Current portion of debt</w:t>
            </w:r>
          </w:p>
        </w:tc>
        <w:tc>
          <w:tcPr>
            <w:tcW w:w="7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28,055</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21,472</w:t>
            </w:r>
          </w:p>
        </w:tc>
      </w:tr>
      <w:tr>
        <w:trPr>
          <w:trHeight w:val="256"/>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7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31,248</w:t>
            </w: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48,051</w:t>
            </w:r>
          </w:p>
        </w:tc>
      </w:tr>
      <w:tr>
        <w:trPr>
          <w:trHeight w:val="250"/>
        </w:trPr>
        <w:tc>
          <w:tcPr>
            <w:tcW w:w="6500" w:type="dxa"/>
            <w:vAlign w:val="bottom"/>
          </w:tcPr>
          <w:p>
            <w:pPr>
              <w:ind w:left="520"/>
              <w:spacing w:after="0"/>
              <w:rPr>
                <w:sz w:val="20"/>
                <w:szCs w:val="20"/>
                <w:color w:val="auto"/>
              </w:rPr>
            </w:pPr>
            <w:r>
              <w:rPr>
                <w:rFonts w:ascii="Arial" w:cs="Arial" w:eastAsia="Arial" w:hAnsi="Arial"/>
                <w:sz w:val="20"/>
                <w:szCs w:val="20"/>
                <w:color w:val="auto"/>
              </w:rPr>
              <w:t>Total current liabilities</w:t>
            </w:r>
          </w:p>
        </w:tc>
        <w:tc>
          <w:tcPr>
            <w:tcW w:w="7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374,888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335,691</w:t>
            </w:r>
          </w:p>
        </w:tc>
      </w:tr>
      <w:tr>
        <w:trPr>
          <w:trHeight w:val="270"/>
        </w:trPr>
        <w:tc>
          <w:tcPr>
            <w:tcW w:w="65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Deferred income tax liabilities</w:t>
            </w:r>
          </w:p>
        </w:tc>
        <w:tc>
          <w:tcPr>
            <w:tcW w:w="7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55,253</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66,858</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 net of current portion</w:t>
            </w:r>
          </w:p>
        </w:tc>
        <w:tc>
          <w:tcPr>
            <w:tcW w:w="7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6,792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8,936</w:t>
            </w: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Other long-term liabilities</w:t>
            </w:r>
          </w:p>
        </w:tc>
        <w:tc>
          <w:tcPr>
            <w:tcW w:w="7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16,885</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20,428</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warranty</w:t>
            </w:r>
          </w:p>
        </w:tc>
        <w:tc>
          <w:tcPr>
            <w:tcW w:w="7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3,889</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3,372</w:t>
            </w:r>
          </w:p>
        </w:tc>
      </w:tr>
      <w:tr>
        <w:trPr>
          <w:trHeight w:val="25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Long-term debt, net of current portion</w:t>
            </w:r>
          </w:p>
        </w:tc>
        <w:tc>
          <w:tcPr>
            <w:tcW w:w="7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648,318</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660,948</w:t>
            </w:r>
          </w:p>
        </w:tc>
      </w:tr>
      <w:tr>
        <w:trPr>
          <w:trHeight w:val="250"/>
        </w:trPr>
        <w:tc>
          <w:tcPr>
            <w:tcW w:w="6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liabilities</w:t>
            </w:r>
          </w:p>
        </w:tc>
        <w:tc>
          <w:tcPr>
            <w:tcW w:w="7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1,106,025</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1,096,233</w:t>
            </w: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 w:name="page5"/>
    <w:bookmarkEnd w:id="4"/>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ind w:right="-19"/>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2"/>
          </w:tcPr>
          <w:p>
            <w:pPr>
              <w:ind w:left="40"/>
              <w:spacing w:after="0"/>
              <w:rPr>
                <w:sz w:val="20"/>
                <w:szCs w:val="20"/>
                <w:color w:val="auto"/>
              </w:rPr>
            </w:pPr>
            <w:r>
              <w:rPr>
                <w:rFonts w:ascii="Arial" w:cs="Arial" w:eastAsia="Arial" w:hAnsi="Arial"/>
                <w:sz w:val="20"/>
                <w:szCs w:val="20"/>
                <w:b w:val="1"/>
                <w:bCs w:val="1"/>
                <w:color w:val="auto"/>
              </w:rPr>
              <w:t>September 30, 2024</w:t>
            </w:r>
          </w:p>
        </w:tc>
        <w:tc>
          <w:tcPr>
            <w:tcW w:w="200" w:type="dxa"/>
            <w:vAlign w:val="bottom"/>
          </w:tcPr>
          <w:p>
            <w:pPr>
              <w:spacing w:after="0"/>
              <w:rPr>
                <w:sz w:val="24"/>
                <w:szCs w:val="24"/>
                <w:color w:val="auto"/>
              </w:rPr>
            </w:pPr>
          </w:p>
        </w:tc>
        <w:tc>
          <w:tcPr>
            <w:tcW w:w="2120" w:type="dxa"/>
            <w:vAlign w:val="bottom"/>
          </w:tcPr>
          <w:p>
            <w:pPr>
              <w:jc w:val="right"/>
              <w:ind w:right="181"/>
              <w:spacing w:after="0"/>
              <w:rPr>
                <w:sz w:val="20"/>
                <w:szCs w:val="20"/>
                <w:color w:val="auto"/>
              </w:rPr>
            </w:pPr>
            <w:r>
              <w:rPr>
                <w:rFonts w:ascii="Arial" w:cs="Arial" w:eastAsia="Arial" w:hAnsi="Arial"/>
                <w:sz w:val="20"/>
                <w:szCs w:val="20"/>
                <w:b w:val="1"/>
                <w:bCs w:val="1"/>
                <w:color w:val="auto"/>
              </w:rPr>
              <w:t>December 31, 2023</w:t>
            </w:r>
          </w:p>
        </w:tc>
        <w:tc>
          <w:tcPr>
            <w:tcW w:w="0" w:type="dxa"/>
            <w:vAlign w:val="bottom"/>
          </w:tcPr>
          <w:p>
            <w:pPr>
              <w:spacing w:after="0"/>
              <w:rPr>
                <w:sz w:val="1"/>
                <w:szCs w:val="1"/>
                <w:color w:val="auto"/>
              </w:rPr>
            </w:pPr>
          </w:p>
        </w:tc>
      </w:tr>
      <w:tr>
        <w:trPr>
          <w:trHeight w:val="240"/>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Commitments and contingencies (Note 11)</w:t>
            </w:r>
          </w:p>
        </w:tc>
        <w:tc>
          <w:tcPr>
            <w:tcW w:w="18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Series A Redeemable Perpetual Preferred Stock of $0.001 par value;</w:t>
            </w:r>
          </w:p>
        </w:tc>
        <w:tc>
          <w:tcPr>
            <w:tcW w:w="1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20" w:type="dxa"/>
            <w:vAlign w:val="bottom"/>
            <w:shd w:val="clear" w:color="auto" w:fill="CCEEFF"/>
          </w:tcPr>
          <w:p>
            <w:pPr>
              <w:ind w:left="20"/>
              <w:spacing w:after="0" w:line="197" w:lineRule="exact"/>
              <w:rPr>
                <w:sz w:val="20"/>
                <w:szCs w:val="20"/>
                <w:color w:val="auto"/>
              </w:rPr>
            </w:pPr>
            <w:r>
              <w:rPr>
                <w:rFonts w:ascii="Arial" w:cs="Arial" w:eastAsia="Arial" w:hAnsi="Arial"/>
                <w:sz w:val="20"/>
                <w:szCs w:val="20"/>
                <w:color w:val="auto"/>
                <w:w w:val="99"/>
              </w:rPr>
              <w:t>500,000 authorized; 453,674 and 432,759 shares issued as of September</w:t>
            </w:r>
          </w:p>
        </w:tc>
        <w:tc>
          <w:tcPr>
            <w:tcW w:w="1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30, 2024 and December 31, 2023, respectively; liquidation preference of</w:t>
            </w:r>
          </w:p>
        </w:tc>
        <w:tc>
          <w:tcPr>
            <w:tcW w:w="18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392,592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351,260</w:t>
            </w:r>
          </w:p>
        </w:tc>
        <w:tc>
          <w:tcPr>
            <w:tcW w:w="0" w:type="dxa"/>
            <w:vAlign w:val="bottom"/>
          </w:tcPr>
          <w:p>
            <w:pPr>
              <w:spacing w:after="0"/>
              <w:rPr>
                <w:sz w:val="1"/>
                <w:szCs w:val="1"/>
                <w:color w:val="auto"/>
              </w:rPr>
            </w:pPr>
          </w:p>
        </w:tc>
      </w:tr>
      <w:tr>
        <w:trPr>
          <w:trHeight w:val="26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$493.1 million at both dates</w:t>
            </w: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Stockholders’ equity</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40"/>
              <w:spacing w:after="0" w:line="194" w:lineRule="exact"/>
              <w:rPr>
                <w:sz w:val="20"/>
                <w:szCs w:val="20"/>
                <w:color w:val="auto"/>
              </w:rPr>
            </w:pPr>
            <w:r>
              <w:rPr>
                <w:rFonts w:ascii="Arial" w:cs="Arial" w:eastAsia="Arial" w:hAnsi="Arial"/>
                <w:sz w:val="20"/>
                <w:szCs w:val="20"/>
                <w:color w:val="auto"/>
              </w:rPr>
              <w:t>Preferred stock of $0.001 par value - 4,500,000 shares authorized;</w:t>
            </w:r>
          </w:p>
        </w:tc>
        <w:tc>
          <w:tcPr>
            <w:tcW w:w="180" w:type="dxa"/>
            <w:vAlign w:val="bottom"/>
          </w:tcPr>
          <w:p>
            <w:pPr>
              <w:spacing w:after="0"/>
              <w:rPr>
                <w:sz w:val="16"/>
                <w:szCs w:val="16"/>
                <w:color w:val="auto"/>
              </w:rPr>
            </w:pPr>
          </w:p>
        </w:tc>
        <w:tc>
          <w:tcPr>
            <w:tcW w:w="22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6520" w:type="dxa"/>
            <w:vAlign w:val="bottom"/>
          </w:tcPr>
          <w:p>
            <w:pPr>
              <w:ind w:left="240"/>
              <w:spacing w:after="0"/>
              <w:rPr>
                <w:sz w:val="20"/>
                <w:szCs w:val="20"/>
                <w:color w:val="auto"/>
              </w:rPr>
            </w:pPr>
            <w:r>
              <w:rPr>
                <w:rFonts w:ascii="Arial" w:cs="Arial" w:eastAsia="Arial" w:hAnsi="Arial"/>
                <w:sz w:val="20"/>
                <w:szCs w:val="20"/>
                <w:color w:val="auto"/>
              </w:rPr>
              <w:t>none issued at respective dates</w:t>
            </w:r>
          </w:p>
        </w:tc>
        <w:tc>
          <w:tcPr>
            <w:tcW w:w="180" w:type="dxa"/>
            <w:vAlign w:val="bottom"/>
          </w:tcPr>
          <w:p>
            <w:pPr>
              <w:spacing w:after="0"/>
              <w:rPr>
                <w:sz w:val="21"/>
                <w:szCs w:val="21"/>
                <w:color w:val="auto"/>
              </w:rPr>
            </w:pPr>
          </w:p>
        </w:tc>
        <w:tc>
          <w:tcPr>
            <w:tcW w:w="22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Common stock of $0.001 par value - 1,000,000,000 shares authorized;</w:t>
            </w:r>
          </w:p>
        </w:tc>
        <w:tc>
          <w:tcPr>
            <w:tcW w:w="18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51"/>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151,934,046 and 151,242,120 shares issued at respective dates</w:t>
            </w:r>
          </w:p>
        </w:tc>
        <w:tc>
          <w:tcPr>
            <w:tcW w:w="18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Additional paid-in capital</w:t>
            </w: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308,347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344,517</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deficit</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(243,721)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(130,230)</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Accumulated other comprehensive income</w:t>
            </w:r>
          </w:p>
        </w:tc>
        <w:tc>
          <w:tcPr>
            <w:tcW w:w="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44,810</w:t>
            </w: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64,487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259,248</w:t>
            </w:r>
          </w:p>
        </w:tc>
        <w:tc>
          <w:tcPr>
            <w:tcW w:w="0" w:type="dxa"/>
            <w:vAlign w:val="bottom"/>
          </w:tcPr>
          <w:p>
            <w:pPr>
              <w:spacing w:after="0"/>
              <w:rPr>
                <w:sz w:val="1"/>
                <w:szCs w:val="1"/>
                <w:color w:val="auto"/>
              </w:rPr>
            </w:pPr>
          </w:p>
        </w:tc>
      </w:tr>
      <w:tr>
        <w:trPr>
          <w:trHeight w:val="174"/>
        </w:trPr>
        <w:tc>
          <w:tcPr>
            <w:tcW w:w="6520" w:type="dxa"/>
            <w:vAlign w:val="bottom"/>
          </w:tcPr>
          <w:p>
            <w:pPr>
              <w:ind w:left="520"/>
              <w:spacing w:after="0" w:line="174" w:lineRule="exact"/>
              <w:rPr>
                <w:sz w:val="20"/>
                <w:szCs w:val="20"/>
                <w:color w:val="auto"/>
              </w:rPr>
            </w:pPr>
            <w:r>
              <w:rPr>
                <w:rFonts w:ascii="Arial" w:cs="Arial" w:eastAsia="Arial" w:hAnsi="Arial"/>
                <w:sz w:val="20"/>
                <w:szCs w:val="20"/>
                <w:color w:val="auto"/>
              </w:rPr>
              <w:t>Total liabilities, redeemable perpetual preferred stock and</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1,563,104</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1,706,741</w:t>
            </w:r>
          </w:p>
        </w:tc>
        <w:tc>
          <w:tcPr>
            <w:tcW w:w="0" w:type="dxa"/>
            <w:vAlign w:val="bottom"/>
          </w:tcPr>
          <w:p>
            <w:pPr>
              <w:spacing w:after="0"/>
              <w:rPr>
                <w:sz w:val="1"/>
                <w:szCs w:val="1"/>
                <w:color w:val="auto"/>
              </w:rPr>
            </w:pPr>
          </w:p>
        </w:tc>
      </w:tr>
      <w:tr>
        <w:trPr>
          <w:trHeight w:val="229"/>
        </w:trPr>
        <w:tc>
          <w:tcPr>
            <w:tcW w:w="6520" w:type="dxa"/>
            <w:vAlign w:val="bottom"/>
          </w:tcPr>
          <w:p>
            <w:pPr>
              <w:ind w:left="520"/>
              <w:spacing w:after="0" w:line="224" w:lineRule="exact"/>
              <w:rPr>
                <w:sz w:val="20"/>
                <w:szCs w:val="20"/>
                <w:color w:val="auto"/>
              </w:rPr>
            </w:pPr>
            <w:r>
              <w:rPr>
                <w:rFonts w:ascii="Arial" w:cs="Arial" w:eastAsia="Arial" w:hAnsi="Arial"/>
                <w:sz w:val="20"/>
                <w:szCs w:val="20"/>
                <w:color w:val="auto"/>
              </w:rPr>
              <w:t>stockholders’ equity</w:t>
            </w:r>
          </w:p>
        </w:tc>
        <w:tc>
          <w:tcPr>
            <w:tcW w:w="18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 w:name="page6"/>
    <w:bookmarkEnd w:id="5"/>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280" w:type="dxa"/>
            <w:vAlign w:val="bottom"/>
          </w:tcPr>
          <w:p>
            <w:pPr>
              <w:spacing w:after="0"/>
              <w:rPr>
                <w:sz w:val="23"/>
                <w:szCs w:val="23"/>
                <w:color w:val="auto"/>
              </w:rPr>
            </w:pPr>
          </w:p>
        </w:tc>
        <w:tc>
          <w:tcPr>
            <w:tcW w:w="3480" w:type="dxa"/>
            <w:vAlign w:val="bottom"/>
            <w:gridSpan w:val="6"/>
          </w:tcPr>
          <w:p>
            <w:pPr>
              <w:ind w:left="20"/>
              <w:spacing w:after="0"/>
              <w:rPr>
                <w:sz w:val="20"/>
                <w:szCs w:val="20"/>
                <w:color w:val="auto"/>
              </w:rPr>
            </w:pPr>
            <w:r>
              <w:rPr>
                <w:rFonts w:ascii="Arial" w:cs="Arial" w:eastAsia="Arial" w:hAnsi="Arial"/>
                <w:sz w:val="20"/>
                <w:szCs w:val="20"/>
                <w:b w:val="1"/>
                <w:bCs w:val="1"/>
                <w:color w:val="auto"/>
              </w:rPr>
              <w:t>Three Months Ended September 30,</w:t>
            </w:r>
          </w:p>
        </w:tc>
        <w:tc>
          <w:tcPr>
            <w:tcW w:w="3440" w:type="dxa"/>
            <w:vAlign w:val="bottom"/>
            <w:gridSpan w:val="5"/>
          </w:tcPr>
          <w:p>
            <w:pPr>
              <w:jc w:val="right"/>
              <w:spacing w:after="0"/>
              <w:rPr>
                <w:sz w:val="20"/>
                <w:szCs w:val="20"/>
                <w:color w:val="auto"/>
              </w:rPr>
            </w:pPr>
            <w:r>
              <w:rPr>
                <w:rFonts w:ascii="Arial" w:cs="Arial" w:eastAsia="Arial" w:hAnsi="Arial"/>
                <w:sz w:val="20"/>
                <w:szCs w:val="20"/>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231,406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350,438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640,575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1,234,936</w:t>
            </w:r>
          </w:p>
        </w:tc>
        <w:tc>
          <w:tcPr>
            <w:tcW w:w="0" w:type="dxa"/>
            <w:vAlign w:val="bottom"/>
          </w:tcPr>
          <w:p>
            <w:pPr>
              <w:spacing w:after="0"/>
              <w:rPr>
                <w:sz w:val="1"/>
                <w:szCs w:val="1"/>
                <w:color w:val="auto"/>
              </w:rPr>
            </w:pPr>
          </w:p>
        </w:tc>
      </w:tr>
      <w:tr>
        <w:trPr>
          <w:trHeight w:val="257"/>
        </w:trPr>
        <w:tc>
          <w:tcPr>
            <w:tcW w:w="428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 of product and service revenue</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149,452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259,419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410,299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892,696</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Amortization of developed technology</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3,639</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3,640</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10,918</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10,918</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Total cost of revenue</w:t>
            </w: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153,091</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263,059</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421,217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903,614</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78,315</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87,379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219,358</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331,322</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8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General and administrative</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40,149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37,432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114,904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115,825</w:t>
            </w:r>
          </w:p>
        </w:tc>
        <w:tc>
          <w:tcPr>
            <w:tcW w:w="0" w:type="dxa"/>
            <w:vAlign w:val="bottom"/>
          </w:tcPr>
          <w:p>
            <w:pPr>
              <w:spacing w:after="0"/>
              <w:rPr>
                <w:sz w:val="1"/>
                <w:szCs w:val="1"/>
                <w:color w:val="auto"/>
              </w:rPr>
            </w:pPr>
          </w:p>
        </w:tc>
      </w:tr>
      <w:tr>
        <w:trPr>
          <w:trHeight w:val="194"/>
        </w:trPr>
        <w:tc>
          <w:tcPr>
            <w:tcW w:w="4280" w:type="dxa"/>
            <w:vAlign w:val="bottom"/>
          </w:tcPr>
          <w:p>
            <w:pPr>
              <w:ind w:left="240"/>
              <w:spacing w:after="0" w:line="194" w:lineRule="exact"/>
              <w:rPr>
                <w:sz w:val="20"/>
                <w:szCs w:val="20"/>
                <w:color w:val="auto"/>
              </w:rPr>
            </w:pPr>
            <w:r>
              <w:rPr>
                <w:rFonts w:ascii="Arial" w:cs="Arial" w:eastAsia="Arial" w:hAnsi="Arial"/>
                <w:sz w:val="20"/>
                <w:szCs w:val="20"/>
                <w:color w:val="auto"/>
              </w:rPr>
              <w:t>Change in fair value of contingent</w:t>
            </w:r>
          </w:p>
        </w:tc>
        <w:tc>
          <w:tcPr>
            <w:tcW w:w="3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(39)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190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(271)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2,232</w:t>
            </w:r>
          </w:p>
        </w:tc>
        <w:tc>
          <w:tcPr>
            <w:tcW w:w="0" w:type="dxa"/>
            <w:vAlign w:val="bottom"/>
          </w:tcPr>
          <w:p>
            <w:pPr>
              <w:spacing w:after="0"/>
              <w:rPr>
                <w:sz w:val="1"/>
                <w:szCs w:val="1"/>
                <w:color w:val="auto"/>
              </w:rPr>
            </w:pPr>
          </w:p>
        </w:tc>
      </w:tr>
      <w:tr>
        <w:trPr>
          <w:trHeight w:val="251"/>
        </w:trPr>
        <w:tc>
          <w:tcPr>
            <w:tcW w:w="4280" w:type="dxa"/>
            <w:vAlign w:val="bottom"/>
          </w:tcPr>
          <w:p>
            <w:pPr>
              <w:ind w:left="240"/>
              <w:spacing w:after="0"/>
              <w:rPr>
                <w:sz w:val="20"/>
                <w:szCs w:val="20"/>
                <w:color w:val="auto"/>
              </w:rPr>
            </w:pPr>
            <w:r>
              <w:rPr>
                <w:rFonts w:ascii="Arial" w:cs="Arial" w:eastAsia="Arial" w:hAnsi="Arial"/>
                <w:sz w:val="20"/>
                <w:szCs w:val="20"/>
                <w:color w:val="auto"/>
              </w:rPr>
              <w:t>consideration</w:t>
            </w:r>
          </w:p>
        </w:tc>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Depreciation and amortization</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8,880</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9,552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27,384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29,361</w:t>
            </w:r>
          </w:p>
        </w:tc>
        <w:tc>
          <w:tcPr>
            <w:tcW w:w="0" w:type="dxa"/>
            <w:vAlign w:val="bottom"/>
          </w:tcPr>
          <w:p>
            <w:pPr>
              <w:spacing w:after="0"/>
              <w:rPr>
                <w:sz w:val="1"/>
                <w:szCs w:val="1"/>
                <w:color w:val="auto"/>
              </w:rPr>
            </w:pPr>
          </w:p>
        </w:tc>
      </w:tr>
      <w:tr>
        <w:trPr>
          <w:trHeight w:val="257"/>
        </w:trPr>
        <w:tc>
          <w:tcPr>
            <w:tcW w:w="4280" w:type="dxa"/>
            <w:vAlign w:val="bottom"/>
          </w:tcPr>
          <w:p>
            <w:pPr>
              <w:ind w:left="240"/>
              <w:spacing w:after="0"/>
              <w:rPr>
                <w:sz w:val="20"/>
                <w:szCs w:val="20"/>
                <w:color w:val="auto"/>
              </w:rPr>
            </w:pPr>
            <w:r>
              <w:rPr>
                <w:rFonts w:ascii="Arial" w:cs="Arial" w:eastAsia="Arial" w:hAnsi="Arial"/>
                <w:sz w:val="20"/>
                <w:szCs w:val="20"/>
                <w:color w:val="auto"/>
              </w:rPr>
              <w:t>Goodwill impairment</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162,000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162,000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20"/>
                <w:szCs w:val="20"/>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210,990</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47,174</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304,017</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147,418</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income from operations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(132,675)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40,205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(84,659)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183,904</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loss, net</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56"/>
        </w:trPr>
        <w:tc>
          <w:tcPr>
            <w:tcW w:w="4280" w:type="dxa"/>
            <w:vAlign w:val="bottom"/>
          </w:tcPr>
          <w:p>
            <w:pPr>
              <w:ind w:left="240"/>
              <w:spacing w:after="0"/>
              <w:rPr>
                <w:sz w:val="20"/>
                <w:szCs w:val="20"/>
                <w:color w:val="auto"/>
              </w:rPr>
            </w:pPr>
            <w:r>
              <w:rPr>
                <w:rFonts w:ascii="Arial" w:cs="Arial" w:eastAsia="Arial" w:hAnsi="Arial"/>
                <w:sz w:val="20"/>
                <w:szCs w:val="20"/>
                <w:color w:val="auto"/>
              </w:rPr>
              <w:t>Interest income</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4,223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3,425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12,685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6,124</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Foreign currency (loss) gain, net</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273</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Interest expense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(8,264)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(13,064)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(25,818)</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(35,372)</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580"/>
              <w:spacing w:after="0"/>
              <w:rPr>
                <w:sz w:val="20"/>
                <w:szCs w:val="20"/>
                <w:color w:val="auto"/>
              </w:rPr>
            </w:pPr>
            <w:r>
              <w:rPr>
                <w:rFonts w:ascii="Arial" w:cs="Arial" w:eastAsia="Arial" w:hAnsi="Arial"/>
                <w:sz w:val="20"/>
                <w:szCs w:val="20"/>
                <w:color w:val="auto"/>
              </w:rPr>
              <w:t>Total other expense, net</w:t>
            </w: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(4,829)</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(9,878)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(15,868)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(29,102)</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income before income tax expense</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(137,504)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30,327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(100,527)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154,802</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3,850</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7,229</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12,964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36,904</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 income</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(141,354)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23,098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(113,491)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117,898</w:t>
            </w: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14,080</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13,091</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41,332</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38,359</w:t>
            </w:r>
          </w:p>
        </w:tc>
        <w:tc>
          <w:tcPr>
            <w:tcW w:w="0" w:type="dxa"/>
            <w:vAlign w:val="bottom"/>
          </w:tcPr>
          <w:p>
            <w:pPr>
              <w:spacing w:after="0"/>
              <w:rPr>
                <w:sz w:val="1"/>
                <w:szCs w:val="1"/>
                <w:color w:val="auto"/>
              </w:rPr>
            </w:pPr>
          </w:p>
        </w:tc>
      </w:tr>
      <w:tr>
        <w:trPr>
          <w:trHeight w:val="27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 income to common shareholders</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(155,434)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(154,823)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79,539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income per common share</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80" w:type="dxa"/>
            <w:vAlign w:val="bottom"/>
          </w:tcPr>
          <w:p>
            <w:pPr>
              <w:ind w:left="26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0.07</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0.52</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0.52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line="182" w:lineRule="exact"/>
              <w:rPr>
                <w:sz w:val="20"/>
                <w:szCs w:val="20"/>
                <w:color w:val="auto"/>
              </w:rPr>
            </w:pPr>
            <w:r>
              <w:rPr>
                <w:rFonts w:ascii="Arial" w:cs="Arial" w:eastAsia="Arial" w:hAnsi="Arial"/>
                <w:sz w:val="20"/>
                <w:szCs w:val="20"/>
                <w:color w:val="auto"/>
              </w:rPr>
              <w:t>Weighted average number of common shares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2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4280" w:type="dxa"/>
            <w:vAlign w:val="bottom"/>
          </w:tcPr>
          <w:p>
            <w:pPr>
              <w:ind w:left="20"/>
              <w:spacing w:after="0"/>
              <w:rPr>
                <w:sz w:val="20"/>
                <w:szCs w:val="20"/>
                <w:color w:val="auto"/>
              </w:rPr>
            </w:pPr>
            <w:r>
              <w:rPr>
                <w:rFonts w:ascii="Arial" w:cs="Arial" w:eastAsia="Arial" w:hAnsi="Arial"/>
                <w:sz w:val="20"/>
                <w:szCs w:val="20"/>
                <w:color w:val="auto"/>
              </w:rPr>
              <w:t>outstanding</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151,923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151,068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151,691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150,865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280" w:type="dxa"/>
            <w:vAlign w:val="bottom"/>
          </w:tcPr>
          <w:p>
            <w:pPr>
              <w:ind w:left="260"/>
              <w:spacing w:after="0"/>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151,923</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152,323</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151,691</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152,083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ectPr>
          <w:pgSz w:w="11900" w:h="16838" w:orient="portrait"/>
          <w:cols w:equalWidth="0" w:num="1">
            <w:col w:w="11200"/>
          </w:cols>
          <w:pgMar w:left="340" w:top="6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type w:val="continuous"/>
        </w:sectPr>
      </w:pPr>
    </w:p>
    <w:bookmarkStart w:id="6" w:name="page7"/>
    <w:bookmarkEnd w:id="6"/>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 xml:space="preserve">Condensed Consolidated Statements of Comprehensive Income (Loss)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260" w:type="dxa"/>
            <w:vAlign w:val="bottom"/>
          </w:tcPr>
          <w:p>
            <w:pPr>
              <w:spacing w:after="0"/>
              <w:rPr>
                <w:sz w:val="23"/>
                <w:szCs w:val="23"/>
                <w:color w:val="auto"/>
              </w:rPr>
            </w:pPr>
          </w:p>
        </w:tc>
        <w:tc>
          <w:tcPr>
            <w:tcW w:w="3520" w:type="dxa"/>
            <w:vAlign w:val="bottom"/>
            <w:gridSpan w:val="6"/>
          </w:tcPr>
          <w:p>
            <w:pPr>
              <w:ind w:left="40"/>
              <w:spacing w:after="0"/>
              <w:rPr>
                <w:sz w:val="20"/>
                <w:szCs w:val="20"/>
                <w:color w:val="auto"/>
              </w:rPr>
            </w:pPr>
            <w:r>
              <w:rPr>
                <w:rFonts w:ascii="Arial" w:cs="Arial" w:eastAsia="Arial" w:hAnsi="Arial"/>
                <w:sz w:val="20"/>
                <w:szCs w:val="20"/>
                <w:b w:val="1"/>
                <w:bCs w:val="1"/>
                <w:color w:val="auto"/>
              </w:rPr>
              <w:t>Three Months Ended September 30,</w:t>
            </w:r>
          </w:p>
        </w:tc>
        <w:tc>
          <w:tcPr>
            <w:tcW w:w="3460" w:type="dxa"/>
            <w:vAlign w:val="bottom"/>
            <w:gridSpan w:val="5"/>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426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r>
      <w:tr>
        <w:trPr>
          <w:trHeight w:val="250"/>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 income</w:t>
            </w:r>
          </w:p>
        </w:tc>
        <w:tc>
          <w:tcPr>
            <w:tcW w:w="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(141,354)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23,098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(113,491)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117,898</w:t>
            </w:r>
          </w:p>
        </w:tc>
      </w:tr>
      <w:tr>
        <w:trPr>
          <w:trHeight w:val="257"/>
        </w:trPr>
        <w:tc>
          <w:tcPr>
            <w:tcW w:w="426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20"/>
                <w:szCs w:val="20"/>
                <w:color w:val="auto"/>
              </w:rPr>
              <w:t>Foreign currency translation</w:t>
            </w:r>
            <w:r>
              <w:rPr>
                <w:rFonts w:ascii="Arial" w:cs="Arial" w:eastAsia="Arial" w:hAnsi="Arial"/>
                <w:sz w:val="25"/>
                <w:szCs w:val="25"/>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17,910</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(22,495)</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(45,100)</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15,289</w:t>
            </w:r>
          </w:p>
        </w:tc>
      </w:tr>
      <w:tr>
        <w:trPr>
          <w:trHeight w:val="275"/>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(loss) income</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(123,444)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(158,591)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133,187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ind w:left="220" w:hanging="212"/>
        <w:spacing w:after="0" w:line="236" w:lineRule="auto"/>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There are no tax effects on foreign currency adjustments.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7" w:name="page8"/>
    <w:bookmarkEnd w:id="7"/>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 Months Ended September 30, 2024</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16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9"/>
              </w:rPr>
              <w:t>Temporary Equity</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Perpetual</w:t>
            </w:r>
          </w:p>
        </w:tc>
        <w:tc>
          <w:tcPr>
            <w:tcW w:w="80" w:type="dxa"/>
            <w:vAlign w:val="bottom"/>
          </w:tcPr>
          <w:p>
            <w:pPr>
              <w:spacing w:after="0"/>
              <w:rPr>
                <w:sz w:val="15"/>
                <w:szCs w:val="15"/>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16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80" w:type="dxa"/>
            <w:vAlign w:val="bottom"/>
          </w:tcPr>
          <w:p>
            <w:pPr>
              <w:spacing w:after="0"/>
              <w:rPr>
                <w:sz w:val="20"/>
                <w:szCs w:val="20"/>
                <w:color w:val="auto"/>
              </w:rPr>
            </w:pPr>
          </w:p>
        </w:tc>
        <w:tc>
          <w:tcPr>
            <w:tcW w:w="158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June 30,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$378,512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151,875</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320,379</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(102,367)</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199,963</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2,060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Tax</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withholding</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related to</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vesting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dividends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(14,080)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35"/>
        </w:trPr>
        <w:tc>
          <w:tcPr>
            <w:tcW w:w="1180" w:type="dxa"/>
            <w:vAlign w:val="bottom"/>
          </w:tcPr>
          <w:p>
            <w:pPr>
              <w:ind w:left="20"/>
              <w:spacing w:after="0"/>
              <w:rPr>
                <w:sz w:val="20"/>
                <w:szCs w:val="20"/>
                <w:color w:val="auto"/>
              </w:rPr>
            </w:pPr>
            <w:r>
              <w:rPr>
                <w:rFonts w:ascii="Arial" w:cs="Arial" w:eastAsia="Arial" w:hAnsi="Arial"/>
                <w:sz w:val="18"/>
                <w:szCs w:val="18"/>
                <w:color w:val="auto"/>
              </w:rPr>
              <w:t>plus accretion</w:t>
            </w: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(141,354)</w:t>
            </w: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currency</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17,910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September</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392,592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151,934</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308,347</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(243,721)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64,487</w:t>
            </w:r>
          </w:p>
        </w:tc>
        <w:tc>
          <w:tcPr>
            <w:tcW w:w="0" w:type="dxa"/>
            <w:vAlign w:val="bottom"/>
          </w:tcPr>
          <w:p>
            <w:pPr>
              <w:spacing w:after="0"/>
              <w:rPr>
                <w:sz w:val="1"/>
                <w:szCs w:val="1"/>
                <w:color w:val="auto"/>
              </w:rPr>
            </w:pPr>
          </w:p>
        </w:tc>
      </w:tr>
      <w:tr>
        <w:trPr>
          <w:trHeight w:val="236"/>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30, 2024</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8" w:name="page9"/>
    <w:bookmarkEnd w:id="8"/>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rPr>
          <w:sz w:val="20"/>
          <w:szCs w:val="20"/>
          <w:color w:val="auto"/>
        </w:rPr>
      </w:pPr>
      <w:r>
        <w:rPr>
          <w:rFonts w:ascii="Arial" w:cs="Arial" w:eastAsia="Arial" w:hAnsi="Arial"/>
          <w:sz w:val="20"/>
          <w:szCs w:val="20"/>
          <w:b w:val="1"/>
          <w:bCs w:val="1"/>
          <w:i w:val="1"/>
          <w:iCs w:val="1"/>
          <w:color w:val="auto"/>
        </w:rPr>
        <w:t>Three Months Ended September 30, 2023</w:t>
      </w:r>
    </w:p>
    <w:p>
      <w:pPr>
        <w:sectPr>
          <w:pgSz w:w="11900" w:h="16838" w:orient="portrait"/>
          <w:cols w:equalWidth="0" w:num="1">
            <w:col w:w="11240"/>
          </w:cols>
          <w:pgMar w:left="320" w:top="6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right="80"/>
        <w:spacing w:after="0" w:line="256" w:lineRule="auto"/>
        <w:rPr>
          <w:sz w:val="20"/>
          <w:szCs w:val="20"/>
          <w:color w:val="auto"/>
        </w:rPr>
      </w:pPr>
      <w:r>
        <w:rPr>
          <w:rFonts w:ascii="Arial" w:cs="Arial" w:eastAsia="Arial" w:hAnsi="Arial"/>
          <w:sz w:val="17"/>
          <w:szCs w:val="17"/>
          <w:color w:val="auto"/>
        </w:rPr>
        <w:t>Balance at June 30, 2023</w:t>
      </w:r>
    </w:p>
    <w:p>
      <w:pPr>
        <w:spacing w:after="0" w:line="1" w:lineRule="exact"/>
        <w:rPr>
          <w:sz w:val="20"/>
          <w:szCs w:val="20"/>
          <w:color w:val="auto"/>
        </w:rPr>
      </w:pPr>
    </w:p>
    <w:p>
      <w:pPr>
        <w:ind w:left="20" w:right="100"/>
        <w:spacing w:after="0" w:line="256" w:lineRule="auto"/>
        <w:rPr>
          <w:sz w:val="20"/>
          <w:szCs w:val="20"/>
          <w:color w:val="auto"/>
        </w:rPr>
      </w:pPr>
      <w:r>
        <w:rPr>
          <w:rFonts w:ascii="Arial" w:cs="Arial" w:eastAsia="Arial" w:hAnsi="Arial"/>
          <w:sz w:val="17"/>
          <w:szCs w:val="17"/>
          <w:color w:val="auto"/>
        </w:rPr>
        <w:t>Equity-based compensation</w:t>
      </w:r>
    </w:p>
    <w:p>
      <w:pPr>
        <w:spacing w:after="0" w:line="1" w:lineRule="exact"/>
        <w:rPr>
          <w:sz w:val="20"/>
          <w:szCs w:val="20"/>
          <w:color w:val="auto"/>
        </w:rPr>
      </w:pPr>
    </w:p>
    <w:p>
      <w:pPr>
        <w:ind w:left="20" w:right="80"/>
        <w:spacing w:after="0" w:line="228" w:lineRule="auto"/>
        <w:rPr>
          <w:sz w:val="20"/>
          <w:szCs w:val="20"/>
          <w:color w:val="auto"/>
        </w:rPr>
      </w:pPr>
      <w:r>
        <w:rPr>
          <w:rFonts w:ascii="Arial" w:cs="Arial" w:eastAsia="Arial" w:hAnsi="Arial"/>
          <w:sz w:val="17"/>
          <w:szCs w:val="17"/>
          <w:color w:val="auto"/>
        </w:rPr>
        <w:t>Preferred cumulative dividends plus</w:t>
      </w:r>
    </w:p>
    <w:p>
      <w:pPr>
        <w:spacing w:after="0" w:line="1" w:lineRule="exact"/>
        <w:rPr>
          <w:sz w:val="20"/>
          <w:szCs w:val="20"/>
          <w:color w:val="auto"/>
        </w:rPr>
      </w:pPr>
    </w:p>
    <w:p>
      <w:pPr>
        <w:ind w:left="20" w:right="300"/>
        <w:spacing w:after="0" w:line="245" w:lineRule="auto"/>
        <w:rPr>
          <w:sz w:val="20"/>
          <w:szCs w:val="20"/>
          <w:color w:val="auto"/>
        </w:rPr>
      </w:pPr>
      <w:r>
        <w:rPr>
          <w:rFonts w:ascii="Arial" w:cs="Arial" w:eastAsia="Arial" w:hAnsi="Arial"/>
          <w:sz w:val="18"/>
          <w:szCs w:val="18"/>
          <w:color w:val="auto"/>
        </w:rPr>
        <w:t>accretion Net income Other</w:t>
      </w:r>
    </w:p>
    <w:p>
      <w:pPr>
        <w:ind w:left="20"/>
        <w:spacing w:after="0" w:line="216" w:lineRule="auto"/>
        <w:rPr>
          <w:sz w:val="20"/>
          <w:szCs w:val="20"/>
          <w:color w:val="auto"/>
        </w:rPr>
      </w:pPr>
      <w:r>
        <w:rPr>
          <w:rFonts w:ascii="Arial" w:cs="Arial" w:eastAsia="Arial" w:hAnsi="Arial"/>
          <w:sz w:val="17"/>
          <w:szCs w:val="17"/>
          <w:color w:val="auto"/>
        </w:rPr>
        <w:t>comprehensive</w:t>
      </w:r>
    </w:p>
    <w:p>
      <w:pPr>
        <w:ind w:left="20"/>
        <w:spacing w:after="0"/>
        <w:rPr>
          <w:sz w:val="20"/>
          <w:szCs w:val="20"/>
          <w:color w:val="auto"/>
        </w:rPr>
      </w:pPr>
      <w:r>
        <w:rPr>
          <w:rFonts w:ascii="Arial" w:cs="Arial" w:eastAsia="Arial" w:hAnsi="Arial"/>
          <w:sz w:val="18"/>
          <w:szCs w:val="18"/>
          <w:color w:val="auto"/>
        </w:rPr>
        <w:t>income</w:t>
      </w:r>
    </w:p>
    <w:p>
      <w:pPr>
        <w:spacing w:after="0" w:line="18" w:lineRule="exact"/>
        <w:rPr>
          <w:sz w:val="20"/>
          <w:szCs w:val="20"/>
          <w:color w:val="auto"/>
        </w:rPr>
      </w:pPr>
    </w:p>
    <w:p>
      <w:pPr>
        <w:ind w:left="20" w:right="40"/>
        <w:spacing w:after="0" w:line="227" w:lineRule="auto"/>
        <w:rPr>
          <w:sz w:val="20"/>
          <w:szCs w:val="20"/>
          <w:color w:val="auto"/>
        </w:rPr>
      </w:pPr>
      <w:r>
        <w:rPr>
          <w:rFonts w:ascii="Arial" w:cs="Arial" w:eastAsia="Arial" w:hAnsi="Arial"/>
          <w:sz w:val="18"/>
          <w:szCs w:val="18"/>
          <w:color w:val="auto"/>
        </w:rPr>
        <w:t>Balance at September 30, 2023</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9"/>
              </w:rPr>
              <w:t>Temporary Equity</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5"/>
          </w:tcPr>
          <w:p>
            <w:pPr>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80" w:type="dxa"/>
            <w:vAlign w:val="bottom"/>
            <w:tcBorders>
              <w:right w:val="single" w:sz="8" w:color="auto"/>
            </w:tcBorders>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80" w:type="dxa"/>
            <w:vAlign w:val="bottom"/>
            <w:tcBorders>
              <w:right w:val="single" w:sz="8" w:color="auto"/>
            </w:tcBorders>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Perpetual</w:t>
            </w:r>
          </w:p>
        </w:tc>
        <w:tc>
          <w:tcPr>
            <w:tcW w:w="60" w:type="dxa"/>
            <w:vAlign w:val="bottom"/>
          </w:tcPr>
          <w:p>
            <w:pPr>
              <w:spacing w:after="0"/>
              <w:rPr>
                <w:sz w:val="15"/>
                <w:szCs w:val="15"/>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Preferred Stock</w:t>
            </w:r>
          </w:p>
        </w:tc>
        <w:tc>
          <w:tcPr>
            <w:tcW w:w="164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6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60" w:type="dxa"/>
            <w:vAlign w:val="bottom"/>
          </w:tcPr>
          <w:p>
            <w:pPr>
              <w:spacing w:after="0"/>
              <w:rPr>
                <w:sz w:val="20"/>
                <w:szCs w:val="20"/>
                <w:color w:val="auto"/>
              </w:rPr>
            </w:pPr>
          </w:p>
        </w:tc>
        <w:tc>
          <w:tcPr>
            <w:tcW w:w="1560" w:type="dxa"/>
            <w:vAlign w:val="bottom"/>
            <w:gridSpan w:val="5"/>
            <w:vMerge w:val="continue"/>
          </w:tcPr>
          <w:p>
            <w:pPr>
              <w:spacing w:after="0"/>
              <w:rPr>
                <w:sz w:val="20"/>
                <w:szCs w:val="20"/>
                <w:color w:val="auto"/>
              </w:rPr>
            </w:pPr>
          </w:p>
        </w:tc>
        <w:tc>
          <w:tcPr>
            <w:tcW w:w="164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vMerge w:val="restart"/>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Comprehensive</w:t>
            </w:r>
          </w:p>
        </w:tc>
        <w:tc>
          <w:tcPr>
            <w:tcW w:w="124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6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Borders>
              <w:right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74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740" w:type="dxa"/>
            <w:vAlign w:val="bottom"/>
            <w:tcBorders>
              <w:bottom w:val="single" w:sz="8" w:color="auto"/>
            </w:tcBorders>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Income</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403"/>
        </w:trPr>
        <w:tc>
          <w:tcPr>
            <w:tcW w:w="640" w:type="dxa"/>
            <w:vAlign w:val="bottom"/>
          </w:tcPr>
          <w:p>
            <w:pPr>
              <w:jc w:val="right"/>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$324,838</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151,049</w:t>
            </w:r>
          </w:p>
        </w:tc>
        <w:tc>
          <w:tcPr>
            <w:tcW w:w="8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364,710</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(172,670)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46,209</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238,400</w:t>
            </w:r>
          </w:p>
        </w:tc>
        <w:tc>
          <w:tcPr>
            <w:tcW w:w="0" w:type="dxa"/>
            <w:vAlign w:val="bottom"/>
          </w:tcPr>
          <w:p>
            <w:pPr>
              <w:spacing w:after="0"/>
              <w:rPr>
                <w:sz w:val="1"/>
                <w:szCs w:val="1"/>
                <w:color w:val="auto"/>
              </w:rPr>
            </w:pPr>
          </w:p>
        </w:tc>
      </w:tr>
      <w:tr>
        <w:trPr>
          <w:trHeight w:val="418"/>
        </w:trPr>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760"/>
        </w:trPr>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13,091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(13,091)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(13,091)</w:t>
            </w:r>
          </w:p>
        </w:tc>
        <w:tc>
          <w:tcPr>
            <w:tcW w:w="0" w:type="dxa"/>
            <w:vAlign w:val="bottom"/>
          </w:tcPr>
          <w:p>
            <w:pPr>
              <w:spacing w:after="0"/>
              <w:rPr>
                <w:sz w:val="1"/>
                <w:szCs w:val="1"/>
                <w:color w:val="auto"/>
              </w:rPr>
            </w:pPr>
          </w:p>
        </w:tc>
      </w:tr>
      <w:tr>
        <w:trPr>
          <w:trHeight w:val="239"/>
        </w:trPr>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23,098</w:t>
            </w:r>
          </w:p>
        </w:tc>
        <w:tc>
          <w:tcPr>
            <w:tcW w:w="0" w:type="dxa"/>
            <w:vAlign w:val="bottom"/>
          </w:tcPr>
          <w:p>
            <w:pPr>
              <w:spacing w:after="0"/>
              <w:rPr>
                <w:sz w:val="1"/>
                <w:szCs w:val="1"/>
                <w:color w:val="auto"/>
              </w:rPr>
            </w:pPr>
          </w:p>
        </w:tc>
      </w:tr>
      <w:tr>
        <w:trPr>
          <w:trHeight w:val="590"/>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r>
        <w:trPr>
          <w:trHeight w:val="587"/>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337,929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151,071</w:t>
            </w:r>
          </w:p>
        </w:tc>
        <w:tc>
          <w:tcPr>
            <w:tcW w:w="80" w:type="dxa"/>
            <w:vAlign w:val="bottom"/>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355,002</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(149,572)</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23,714</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-1936750</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-1405255</wp:posOffset>
            </wp:positionV>
            <wp:extent cx="713232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-770890</wp:posOffset>
            </wp:positionV>
            <wp:extent cx="713232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40" w:space="40"/>
            <w:col w:w="9960"/>
          </w:cols>
          <w:pgMar w:left="320" w:top="6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type w:val="continuous"/>
        </w:sectPr>
      </w:pPr>
    </w:p>
    <w:bookmarkStart w:id="9" w:name="page10"/>
    <w:bookmarkEnd w:id="9"/>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i w:val="1"/>
          <w:iCs w:val="1"/>
          <w:color w:val="auto"/>
        </w:rPr>
        <w:t>(continued)</w:t>
      </w: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5"/>
          </w:tcPr>
          <w:p>
            <w:pPr>
              <w:ind w:left="540"/>
              <w:spacing w:after="0" w:line="211" w:lineRule="exact"/>
              <w:rPr>
                <w:sz w:val="20"/>
                <w:szCs w:val="20"/>
                <w:color w:val="auto"/>
              </w:rPr>
            </w:pPr>
            <w:r>
              <w:rPr>
                <w:rFonts w:ascii="Arial" w:cs="Arial" w:eastAsia="Arial" w:hAnsi="Arial"/>
                <w:sz w:val="20"/>
                <w:szCs w:val="20"/>
                <w:b w:val="1"/>
                <w:bCs w:val="1"/>
                <w:i w:val="1"/>
                <w:iCs w:val="1"/>
                <w:color w:val="auto"/>
              </w:rPr>
              <w:t>(unaudited)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00" w:type="dxa"/>
            <w:vAlign w:val="bottom"/>
            <w:gridSpan w:val="11"/>
            <w:vMerge w:val="restart"/>
          </w:tcPr>
          <w:p>
            <w:pPr>
              <w:spacing w:after="0"/>
              <w:rPr>
                <w:sz w:val="20"/>
                <w:szCs w:val="20"/>
                <w:color w:val="auto"/>
              </w:rPr>
            </w:pPr>
            <w:r>
              <w:rPr>
                <w:rFonts w:ascii="Arial" w:cs="Arial" w:eastAsia="Arial" w:hAnsi="Arial"/>
                <w:sz w:val="20"/>
                <w:szCs w:val="20"/>
                <w:b w:val="1"/>
                <w:bCs w:val="1"/>
                <w:i w:val="1"/>
                <w:iCs w:val="1"/>
                <w:color w:val="auto"/>
              </w:rPr>
              <w:t>Nine Months Ended September 30, 2024</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gridSpan w:val="6"/>
          </w:tcPr>
          <w:p>
            <w:pPr>
              <w:jc w:val="right"/>
              <w:spacing w:after="0"/>
              <w:rPr>
                <w:sz w:val="20"/>
                <w:szCs w:val="20"/>
                <w:color w:val="auto"/>
              </w:rPr>
            </w:pPr>
            <w:r>
              <w:rPr>
                <w:rFonts w:ascii="Arial" w:cs="Arial" w:eastAsia="Arial" w:hAnsi="Arial"/>
                <w:sz w:val="20"/>
                <w:szCs w:val="20"/>
                <w:i w:val="1"/>
                <w:iCs w:val="1"/>
                <w:color w:val="auto"/>
              </w:rPr>
              <w:t>(in thousands)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00" w:type="dxa"/>
            <w:vAlign w:val="bottom"/>
            <w:gridSpan w:val="11"/>
            <w:vMerge w:val="continue"/>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gridSpan w:val="4"/>
          </w:tcPr>
          <w:p>
            <w:pPr>
              <w:jc w:val="center"/>
              <w:ind w:right="80"/>
              <w:spacing w:after="0" w:line="183"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$351,260</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151,242</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344,517</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(130,230)</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259,248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6,896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Tax</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withholding</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related to</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vesting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dividends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41,332</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(41,332)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(41,332)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plus accretion</w:t>
            </w: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(113,491)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currency</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(45,100)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(45,100)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September</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392,592</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151,934</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308,347</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(243,721)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64,487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30, 2024</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0" w:name="page11"/>
    <w:bookmarkEnd w:id="10"/>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i w:val="1"/>
          <w:iCs w:val="1"/>
          <w:color w:val="auto"/>
        </w:rPr>
        <w:t>(continued)</w:t>
      </w:r>
    </w:p>
    <w:tbl>
      <w:tblPr>
        <w:tblLayout w:type="fixed"/>
        <w:tblInd w:w="0" w:type="dxa"/>
        <w:tblCellMar>
          <w:top w:w="0" w:type="dxa"/>
          <w:left w:w="0" w:type="dxa"/>
          <w:bottom w:w="0" w:type="dxa"/>
          <w:right w:w="0" w:type="dxa"/>
        </w:tblCellMar>
      </w:tblPr>
      <w:tr>
        <w:trPr>
          <w:trHeight w:val="211"/>
        </w:trPr>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5"/>
          </w:tcPr>
          <w:p>
            <w:pPr>
              <w:jc w:val="center"/>
              <w:ind w:left="408"/>
              <w:spacing w:after="0" w:line="211" w:lineRule="exact"/>
              <w:rPr>
                <w:sz w:val="20"/>
                <w:szCs w:val="20"/>
                <w:color w:val="auto"/>
              </w:rPr>
            </w:pPr>
            <w:r>
              <w:rPr>
                <w:rFonts w:ascii="Arial" w:cs="Arial" w:eastAsia="Arial" w:hAnsi="Arial"/>
                <w:sz w:val="20"/>
                <w:szCs w:val="20"/>
                <w:b w:val="1"/>
                <w:bCs w:val="1"/>
                <w:i w:val="1"/>
                <w:iCs w:val="1"/>
                <w:color w:val="auto"/>
                <w:w w:val="99"/>
              </w:rPr>
              <w:t>(unaudited)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00" w:type="dxa"/>
            <w:vAlign w:val="bottom"/>
            <w:gridSpan w:val="8"/>
            <w:vMerge w:val="restart"/>
          </w:tcPr>
          <w:p>
            <w:pPr>
              <w:spacing w:after="0"/>
              <w:rPr>
                <w:sz w:val="20"/>
                <w:szCs w:val="20"/>
                <w:color w:val="auto"/>
              </w:rPr>
            </w:pPr>
            <w:r>
              <w:rPr>
                <w:rFonts w:ascii="Arial" w:cs="Arial" w:eastAsia="Arial" w:hAnsi="Arial"/>
                <w:sz w:val="20"/>
                <w:szCs w:val="20"/>
                <w:b w:val="1"/>
                <w:bCs w:val="1"/>
                <w:i w:val="1"/>
                <w:iCs w:val="1"/>
                <w:color w:val="auto"/>
              </w:rPr>
              <w:t>Nine Months Ended September 30, 2023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6"/>
          </w:tcPr>
          <w:p>
            <w:pPr>
              <w:jc w:val="center"/>
              <w:ind w:left="308"/>
              <w:spacing w:after="0"/>
              <w:rPr>
                <w:sz w:val="20"/>
                <w:szCs w:val="20"/>
                <w:color w:val="auto"/>
              </w:rPr>
            </w:pPr>
            <w:r>
              <w:rPr>
                <w:rFonts w:ascii="Arial" w:cs="Arial" w:eastAsia="Arial" w:hAnsi="Arial"/>
                <w:sz w:val="20"/>
                <w:szCs w:val="20"/>
                <w:i w:val="1"/>
                <w:iCs w:val="1"/>
                <w:color w:val="auto"/>
                <w:w w:val="99"/>
              </w:rPr>
              <w:t>(in thousands)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00" w:type="dxa"/>
            <w:vAlign w:val="bottom"/>
            <w:gridSpan w:val="8"/>
            <w:vMerge w:val="continue"/>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17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9"/>
              </w:rPr>
              <w:t>Temporary Equity</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5"/>
          </w:tcPr>
          <w:p>
            <w:pPr>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60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1760" w:type="dxa"/>
            <w:vAlign w:val="bottom"/>
            <w:gridSpan w:val="4"/>
          </w:tcPr>
          <w:p>
            <w:pPr>
              <w:jc w:val="center"/>
              <w:ind w:right="1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1760" w:type="dxa"/>
            <w:vAlign w:val="bottom"/>
            <w:gridSpan w:val="4"/>
          </w:tcPr>
          <w:p>
            <w:pPr>
              <w:jc w:val="center"/>
              <w:ind w:right="180"/>
              <w:spacing w:after="0" w:line="183" w:lineRule="exact"/>
              <w:rPr>
                <w:sz w:val="20"/>
                <w:szCs w:val="20"/>
                <w:color w:val="auto"/>
              </w:rPr>
            </w:pPr>
            <w:r>
              <w:rPr>
                <w:rFonts w:ascii="Arial" w:cs="Arial" w:eastAsia="Arial" w:hAnsi="Arial"/>
                <w:sz w:val="18"/>
                <w:szCs w:val="18"/>
                <w:b w:val="1"/>
                <w:bCs w:val="1"/>
                <w:color w:val="auto"/>
                <w:w w:val="99"/>
              </w:rPr>
              <w:t>Perpetual</w:t>
            </w:r>
          </w:p>
        </w:tc>
        <w:tc>
          <w:tcPr>
            <w:tcW w:w="160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17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9"/>
              </w:rPr>
              <w:t>Preferred Stock</w:t>
            </w:r>
          </w:p>
        </w:tc>
        <w:tc>
          <w:tcPr>
            <w:tcW w:w="160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10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Amount</w:t>
            </w:r>
          </w:p>
        </w:tc>
        <w:tc>
          <w:tcPr>
            <w:tcW w:w="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Comprehensive</w:t>
            </w:r>
          </w:p>
        </w:tc>
        <w:tc>
          <w:tcPr>
            <w:tcW w:w="12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21"/>
                <w:szCs w:val="21"/>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69"/>
        </w:trPr>
        <w:tc>
          <w:tcPr>
            <w:tcW w:w="11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$299,570</w:t>
            </w:r>
          </w:p>
        </w:tc>
        <w:tc>
          <w:tcPr>
            <w:tcW w:w="1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150,513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383,176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(267,470)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124,281</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31, 2022</w:t>
            </w: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11,694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11,695</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dividends</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plus accretion</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and</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commitment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38,359</w:t>
            </w:r>
          </w:p>
        </w:tc>
        <w:tc>
          <w:tcPr>
            <w:tcW w:w="1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(39,868)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(39,868)</w:t>
            </w:r>
          </w:p>
        </w:tc>
        <w:tc>
          <w:tcPr>
            <w:tcW w:w="0" w:type="dxa"/>
            <w:vAlign w:val="bottom"/>
          </w:tcPr>
          <w:p>
            <w:pPr>
              <w:spacing w:after="0"/>
              <w:rPr>
                <w:sz w:val="1"/>
                <w:szCs w:val="1"/>
                <w:color w:val="auto"/>
              </w:rPr>
            </w:pPr>
          </w:p>
        </w:tc>
      </w:tr>
      <w:tr>
        <w:trPr>
          <w:trHeight w:val="235"/>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117,898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117,898</w:t>
            </w: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currency</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w:t>
            </w:r>
          </w:p>
        </w:tc>
        <w:tc>
          <w:tcPr>
            <w:tcW w:w="74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76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September</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337,929</w:t>
            </w:r>
          </w:p>
        </w:tc>
        <w:tc>
          <w:tcPr>
            <w:tcW w:w="160" w:type="dxa"/>
            <w:vAlign w:val="bottom"/>
          </w:tcPr>
          <w:p>
            <w:pPr>
              <w:spacing w:after="0"/>
              <w:rPr>
                <w:sz w:val="15"/>
                <w:szCs w:val="15"/>
                <w:color w:val="auto"/>
              </w:rPr>
            </w:pP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151,071</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355,002</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(149,572)</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23,714</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229,295</w:t>
            </w: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30, 2023</w:t>
            </w: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gridSpan w:val="2"/>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1" w:name="page12"/>
    <w:bookmarkEnd w:id="11"/>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19"/>
          <w:szCs w:val="19"/>
          <w:b w:val="1"/>
          <w:bCs w:val="1"/>
          <w:color w:val="auto"/>
        </w:rPr>
        <w:t xml:space="preserve">Condensed Consolidated Statements of Cash Flows </w:t>
      </w:r>
      <w:r>
        <w:rPr>
          <w:rFonts w:ascii="Arial" w:cs="Arial" w:eastAsia="Arial" w:hAnsi="Arial"/>
          <w:sz w:val="19"/>
          <w:szCs w:val="19"/>
          <w:b w:val="1"/>
          <w:bCs w:val="1"/>
          <w:i w:val="1"/>
          <w:i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w:t>
      </w:r>
    </w:p>
    <w:p>
      <w:pPr>
        <w:sectPr>
          <w:pgSz w:w="11900" w:h="16838" w:orient="portrait"/>
          <w:cols w:equalWidth="0" w:num="1">
            <w:col w:w="11200"/>
          </w:cols>
          <w:pgMar w:left="340" w:top="6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11517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6500" w:val="left"/>
        </w:tabs>
        <w:rPr>
          <w:sz w:val="20"/>
          <w:szCs w:val="20"/>
          <w:color w:val="auto"/>
        </w:rPr>
      </w:pPr>
      <w:r>
        <w:rPr>
          <w:rFonts w:ascii="Arial" w:cs="Arial" w:eastAsia="Arial" w:hAnsi="Arial"/>
          <w:sz w:val="20"/>
          <w:szCs w:val="20"/>
          <w:color w:val="auto"/>
        </w:rPr>
        <w:t>Net (loss) income</w:t>
      </w:r>
      <w:r>
        <w:rPr>
          <w:sz w:val="20"/>
          <w:szCs w:val="20"/>
          <w:color w:val="auto"/>
        </w:rPr>
        <w:tab/>
      </w:r>
      <w:r>
        <w:rPr>
          <w:rFonts w:ascii="Arial" w:cs="Arial" w:eastAsia="Arial" w:hAnsi="Arial"/>
          <w:sz w:val="20"/>
          <w:szCs w:val="20"/>
          <w:color w:val="auto"/>
        </w:rPr>
        <w: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Adjustments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1151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Provision for bad debts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Depreciation and amortization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Amortization of 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Amortization of debt discount and issuance costs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Equity-based compensation</w:t>
      </w:r>
    </w:p>
    <w:p>
      <w:pPr>
        <w:spacing w:after="0" w:line="31" w:lineRule="exact"/>
        <w:rPr>
          <w:sz w:val="20"/>
          <w:szCs w:val="20"/>
          <w:color w:val="auto"/>
        </w:rPr>
      </w:pPr>
    </w:p>
    <w:p>
      <w:pPr>
        <w:ind w:left="460" w:right="2000"/>
        <w:spacing w:after="0" w:line="286" w:lineRule="auto"/>
        <w:rPr>
          <w:sz w:val="20"/>
          <w:szCs w:val="20"/>
          <w:color w:val="auto"/>
        </w:rPr>
      </w:pPr>
      <w:r>
        <w:rPr>
          <w:rFonts w:ascii="Arial" w:cs="Arial" w:eastAsia="Arial" w:hAnsi="Arial"/>
          <w:sz w:val="20"/>
          <w:szCs w:val="20"/>
          <w:color w:val="auto"/>
        </w:rPr>
        <w:t>Change in fair value of contingent consideration Warranty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-345440</wp:posOffset>
            </wp:positionV>
            <wp:extent cx="711517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wp:posOffset>
            </wp:positionV>
            <wp:extent cx="711517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0"/>
          <w:szCs w:val="20"/>
          <w:color w:val="auto"/>
        </w:rPr>
        <w:t>Write-down of inventories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Changes in operating assets and liabilities, net of 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receivable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receivables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payable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Accrued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payable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revenue</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Investing activities</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Purchase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Retirement/disposal of property, plant and equipment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Sale of equity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Net cash provided by (used in) investing activities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20"/>
        <w:spacing w:after="0"/>
        <w:rPr>
          <w:sz w:val="20"/>
          <w:szCs w:val="20"/>
          <w:color w:val="auto"/>
        </w:rPr>
      </w:pPr>
      <w:r>
        <w:rPr>
          <w:rFonts w:ascii="Arial" w:cs="Arial" w:eastAsia="Arial" w:hAnsi="Arial"/>
          <w:sz w:val="19"/>
          <w:szCs w:val="19"/>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30480</wp:posOffset>
            </wp:positionV>
            <wp:extent cx="2983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5" w:lineRule="exact"/>
        <w:rPr>
          <w:sz w:val="20"/>
          <w:szCs w:val="20"/>
          <w:color w:val="auto"/>
        </w:rPr>
      </w:pPr>
    </w:p>
    <w:p>
      <w:pPr>
        <w:ind w:left="200"/>
        <w:spacing w:after="0"/>
        <w:tabs>
          <w:tab w:leader="none" w:pos="2580" w:val="left"/>
        </w:tabs>
        <w:rPr>
          <w:sz w:val="20"/>
          <w:szCs w:val="20"/>
          <w:color w:val="auto"/>
        </w:rPr>
      </w:pPr>
      <w:r>
        <w:rPr>
          <w:rFonts w:ascii="Arial" w:cs="Arial" w:eastAsia="Arial" w:hAnsi="Arial"/>
          <w:sz w:val="20"/>
          <w:szCs w:val="20"/>
          <w:b w:val="1"/>
          <w:bCs w:val="1"/>
          <w:color w:val="auto"/>
        </w:rPr>
        <w:t>2024</w:t>
      </w:r>
      <w:r>
        <w:rPr>
          <w:sz w:val="20"/>
          <w:szCs w:val="20"/>
          <w:color w:val="auto"/>
        </w:rPr>
        <w:tab/>
      </w:r>
      <w:r>
        <w:rPr>
          <w:rFonts w:ascii="Arial" w:cs="Arial" w:eastAsia="Arial" w:hAnsi="Arial"/>
          <w:sz w:val="20"/>
          <w:szCs w:val="20"/>
          <w:b w:val="1"/>
          <w:bCs w:val="1"/>
          <w:color w:val="auto"/>
        </w:rPr>
        <w:t>2023</w:t>
      </w:r>
    </w:p>
    <w:p>
      <w:pPr>
        <w:spacing w:after="0" w:line="309" w:lineRule="exact"/>
        <w:rPr>
          <w:sz w:val="20"/>
          <w:szCs w:val="20"/>
          <w:color w:val="auto"/>
        </w:rPr>
      </w:pPr>
    </w:p>
    <w:tbl>
      <w:tblPr>
        <w:tblLayout w:type="fixed"/>
        <w:tblInd w:w="720" w:type="dxa"/>
        <w:tblCellMar>
          <w:top w:w="0" w:type="dxa"/>
          <w:left w:w="0" w:type="dxa"/>
          <w:bottom w:w="0" w:type="dxa"/>
          <w:right w:w="0" w:type="dxa"/>
        </w:tblCellMar>
      </w:tblPr>
      <w:tr>
        <w:trPr>
          <w:trHeight w:val="261"/>
        </w:trPr>
        <w:tc>
          <w:tcPr>
            <w:tcW w:w="940" w:type="dxa"/>
            <w:vAlign w:val="bottom"/>
          </w:tcPr>
          <w:p>
            <w:pPr>
              <w:jc w:val="right"/>
              <w:ind w:right="1"/>
              <w:spacing w:after="0"/>
              <w:rPr>
                <w:sz w:val="20"/>
                <w:szCs w:val="20"/>
                <w:color w:val="auto"/>
              </w:rPr>
            </w:pPr>
            <w:r>
              <w:rPr>
                <w:rFonts w:ascii="Arial" w:cs="Arial" w:eastAsia="Arial" w:hAnsi="Arial"/>
                <w:sz w:val="20"/>
                <w:szCs w:val="20"/>
                <w:color w:val="auto"/>
                <w:w w:val="95"/>
              </w:rPr>
              <w:t>(113,491)</w:t>
            </w:r>
          </w:p>
        </w:tc>
        <w:tc>
          <w:tcPr>
            <w:tcW w:w="820" w:type="dxa"/>
            <w:vAlign w:val="bottom"/>
          </w:tcPr>
          <w:p>
            <w:pPr>
              <w:jc w:val="right"/>
              <w:ind w:right="601"/>
              <w:spacing w:after="0"/>
              <w:rPr>
                <w:sz w:val="20"/>
                <w:szCs w:val="20"/>
                <w:color w:val="auto"/>
              </w:rPr>
            </w:pPr>
            <w:r>
              <w:rPr>
                <w:rFonts w:ascii="Arial" w:cs="Arial" w:eastAsia="Arial" w:hAnsi="Arial"/>
                <w:sz w:val="20"/>
                <w:szCs w:val="20"/>
                <w:color w:val="auto"/>
                <w:w w:val="89"/>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117,898</w:t>
            </w:r>
          </w:p>
        </w:tc>
      </w:tr>
      <w:tr>
        <w:trPr>
          <w:trHeight w:val="540"/>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162,000</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3,415</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83"/>
        </w:trPr>
        <w:tc>
          <w:tcPr>
            <w:tcW w:w="940" w:type="dxa"/>
            <w:vAlign w:val="bottom"/>
          </w:tcPr>
          <w:p>
            <w:pPr>
              <w:jc w:val="right"/>
              <w:ind w:right="1"/>
              <w:spacing w:after="0"/>
              <w:rPr>
                <w:sz w:val="20"/>
                <w:szCs w:val="20"/>
                <w:color w:val="auto"/>
              </w:rPr>
            </w:pPr>
            <w:r>
              <w:rPr>
                <w:rFonts w:ascii="Arial" w:cs="Arial" w:eastAsia="Arial" w:hAnsi="Arial"/>
                <w:sz w:val="20"/>
                <w:szCs w:val="20"/>
                <w:color w:val="auto"/>
              </w:rPr>
              <w:t>(7,279)</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(2,328)</w:t>
            </w:r>
          </w:p>
        </w:tc>
      </w:tr>
      <w:tr>
        <w:trPr>
          <w:trHeight w:val="283"/>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29,015</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30,318</w:t>
            </w:r>
          </w:p>
        </w:tc>
      </w:tr>
      <w:tr>
        <w:trPr>
          <w:trHeight w:val="284"/>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10,918</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10,918</w:t>
            </w:r>
          </w:p>
        </w:tc>
      </w:tr>
      <w:tr>
        <w:trPr>
          <w:trHeight w:val="279"/>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4,652</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9,123</w:t>
            </w:r>
          </w:p>
        </w:tc>
      </w:tr>
      <w:tr>
        <w:trPr>
          <w:trHeight w:val="257"/>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6,851</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11,695</w:t>
            </w:r>
          </w:p>
        </w:tc>
      </w:tr>
      <w:tr>
        <w:trPr>
          <w:trHeight w:val="261"/>
        </w:trPr>
        <w:tc>
          <w:tcPr>
            <w:tcW w:w="940" w:type="dxa"/>
            <w:vAlign w:val="bottom"/>
          </w:tcPr>
          <w:p>
            <w:pPr>
              <w:jc w:val="right"/>
              <w:ind w:right="1"/>
              <w:spacing w:after="0"/>
              <w:rPr>
                <w:sz w:val="20"/>
                <w:szCs w:val="20"/>
                <w:color w:val="auto"/>
              </w:rPr>
            </w:pPr>
            <w:r>
              <w:rPr>
                <w:rFonts w:ascii="Arial" w:cs="Arial" w:eastAsia="Arial" w:hAnsi="Arial"/>
                <w:sz w:val="20"/>
                <w:szCs w:val="20"/>
                <w:color w:val="auto"/>
              </w:rPr>
              <w:t>(271)</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2,232</w:t>
            </w:r>
          </w:p>
        </w:tc>
      </w:tr>
      <w:tr>
        <w:trPr>
          <w:trHeight w:val="283"/>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36</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451</w:t>
            </w:r>
          </w:p>
        </w:tc>
      </w:tr>
      <w:tr>
        <w:trPr>
          <w:trHeight w:val="284"/>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2,481</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4,587</w:t>
            </w:r>
          </w:p>
        </w:tc>
      </w:tr>
      <w:tr>
        <w:trPr>
          <w:trHeight w:val="567"/>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41,865</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(6,364)</w:t>
            </w:r>
          </w:p>
        </w:tc>
      </w:tr>
      <w:tr>
        <w:trPr>
          <w:trHeight w:val="283"/>
        </w:trPr>
        <w:tc>
          <w:tcPr>
            <w:tcW w:w="940" w:type="dxa"/>
            <w:vAlign w:val="bottom"/>
          </w:tcPr>
          <w:p>
            <w:pPr>
              <w:jc w:val="right"/>
              <w:ind w:right="1"/>
              <w:spacing w:after="0"/>
              <w:rPr>
                <w:sz w:val="20"/>
                <w:szCs w:val="20"/>
                <w:color w:val="auto"/>
              </w:rPr>
            </w:pPr>
            <w:r>
              <w:rPr>
                <w:rFonts w:ascii="Arial" w:cs="Arial" w:eastAsia="Arial" w:hAnsi="Arial"/>
                <w:sz w:val="20"/>
                <w:szCs w:val="20"/>
                <w:color w:val="auto"/>
              </w:rPr>
              <w:t>(29,964)</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12,554</w:t>
            </w:r>
          </w:p>
        </w:tc>
      </w:tr>
      <w:tr>
        <w:trPr>
          <w:trHeight w:val="284"/>
        </w:trPr>
        <w:tc>
          <w:tcPr>
            <w:tcW w:w="940" w:type="dxa"/>
            <w:vAlign w:val="bottom"/>
          </w:tcPr>
          <w:p>
            <w:pPr>
              <w:jc w:val="right"/>
              <w:ind w:right="1"/>
              <w:spacing w:after="0"/>
              <w:rPr>
                <w:sz w:val="20"/>
                <w:szCs w:val="20"/>
                <w:color w:val="auto"/>
              </w:rPr>
            </w:pPr>
            <w:r>
              <w:rPr>
                <w:rFonts w:ascii="Arial" w:cs="Arial" w:eastAsia="Arial" w:hAnsi="Arial"/>
                <w:sz w:val="20"/>
                <w:szCs w:val="20"/>
                <w:color w:val="auto"/>
              </w:rPr>
              <w:t>(4,145)</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3,165</w:t>
            </w:r>
          </w:p>
        </w:tc>
      </w:tr>
      <w:tr>
        <w:trPr>
          <w:trHeight w:val="283"/>
        </w:trPr>
        <w:tc>
          <w:tcPr>
            <w:tcW w:w="940" w:type="dxa"/>
            <w:vAlign w:val="bottom"/>
          </w:tcPr>
          <w:p>
            <w:pPr>
              <w:jc w:val="right"/>
              <w:ind w:right="1"/>
              <w:spacing w:after="0"/>
              <w:rPr>
                <w:sz w:val="20"/>
                <w:szCs w:val="20"/>
                <w:color w:val="auto"/>
              </w:rPr>
            </w:pPr>
            <w:r>
              <w:rPr>
                <w:rFonts w:ascii="Arial" w:cs="Arial" w:eastAsia="Arial" w:hAnsi="Arial"/>
                <w:sz w:val="20"/>
                <w:szCs w:val="20"/>
                <w:color w:val="auto"/>
              </w:rPr>
              <w:t>(45,203)</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(2,140)</w:t>
            </w:r>
          </w:p>
        </w:tc>
      </w:tr>
      <w:tr>
        <w:trPr>
          <w:trHeight w:val="283"/>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33,705</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14,443</w:t>
            </w:r>
          </w:p>
        </w:tc>
      </w:tr>
      <w:tr>
        <w:trPr>
          <w:trHeight w:val="284"/>
        </w:trPr>
        <w:tc>
          <w:tcPr>
            <w:tcW w:w="940" w:type="dxa"/>
            <w:vAlign w:val="bottom"/>
          </w:tcPr>
          <w:p>
            <w:pPr>
              <w:jc w:val="right"/>
              <w:ind w:right="1"/>
              <w:spacing w:after="0"/>
              <w:rPr>
                <w:sz w:val="20"/>
                <w:szCs w:val="20"/>
                <w:color w:val="auto"/>
              </w:rPr>
            </w:pPr>
            <w:r>
              <w:rPr>
                <w:rFonts w:ascii="Arial" w:cs="Arial" w:eastAsia="Arial" w:hAnsi="Arial"/>
                <w:sz w:val="20"/>
                <w:szCs w:val="20"/>
                <w:color w:val="auto"/>
              </w:rPr>
              <w:t>(34,928)</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18,484</w:t>
            </w:r>
          </w:p>
        </w:tc>
      </w:tr>
      <w:tr>
        <w:trPr>
          <w:trHeight w:val="283"/>
        </w:trPr>
        <w:tc>
          <w:tcPr>
            <w:tcW w:w="940" w:type="dxa"/>
            <w:vAlign w:val="bottom"/>
          </w:tcPr>
          <w:p>
            <w:pPr>
              <w:jc w:val="right"/>
              <w:ind w:right="1"/>
              <w:spacing w:after="0"/>
              <w:rPr>
                <w:sz w:val="20"/>
                <w:szCs w:val="20"/>
                <w:color w:val="auto"/>
              </w:rPr>
            </w:pPr>
            <w:r>
              <w:rPr>
                <w:rFonts w:ascii="Arial" w:cs="Arial" w:eastAsia="Arial" w:hAnsi="Arial"/>
                <w:sz w:val="20"/>
                <w:szCs w:val="20"/>
                <w:color w:val="auto"/>
              </w:rPr>
              <w:t>(4,653)</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(730)</w:t>
            </w:r>
          </w:p>
        </w:tc>
      </w:tr>
      <w:tr>
        <w:trPr>
          <w:trHeight w:val="283"/>
        </w:trPr>
        <w:tc>
          <w:tcPr>
            <w:tcW w:w="940" w:type="dxa"/>
            <w:vAlign w:val="bottom"/>
          </w:tcPr>
          <w:p>
            <w:pPr>
              <w:jc w:val="right"/>
              <w:ind w:right="1"/>
              <w:spacing w:after="0"/>
              <w:rPr>
                <w:sz w:val="20"/>
                <w:szCs w:val="20"/>
                <w:color w:val="auto"/>
              </w:rPr>
            </w:pPr>
            <w:r>
              <w:rPr>
                <w:rFonts w:ascii="Arial" w:cs="Arial" w:eastAsia="Arial" w:hAnsi="Arial"/>
                <w:sz w:val="20"/>
                <w:szCs w:val="20"/>
                <w:color w:val="auto"/>
              </w:rPr>
              <w:t>(5,730)</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(8,050)</w:t>
            </w:r>
          </w:p>
        </w:tc>
      </w:tr>
      <w:tr>
        <w:trPr>
          <w:trHeight w:val="284"/>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47,120</w:t>
            </w: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(78,165)</w:t>
            </w:r>
          </w:p>
        </w:tc>
      </w:tr>
      <w:tr>
        <w:trPr>
          <w:trHeight w:val="265"/>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96,394</w:t>
            </w:r>
          </w:p>
        </w:tc>
        <w:tc>
          <w:tcPr>
            <w:tcW w:w="8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137,974</w:t>
            </w:r>
          </w:p>
        </w:tc>
      </w:tr>
      <w:tr>
        <w:trPr>
          <w:trHeight w:val="545"/>
        </w:trPr>
        <w:tc>
          <w:tcPr>
            <w:tcW w:w="940" w:type="dxa"/>
            <w:vAlign w:val="bottom"/>
          </w:tcPr>
          <w:p>
            <w:pPr>
              <w:jc w:val="right"/>
              <w:ind w:right="1"/>
              <w:spacing w:after="0"/>
              <w:rPr>
                <w:sz w:val="20"/>
                <w:szCs w:val="20"/>
                <w:color w:val="auto"/>
              </w:rPr>
            </w:pPr>
            <w:r>
              <w:rPr>
                <w:rFonts w:ascii="Arial" w:cs="Arial" w:eastAsia="Arial" w:hAnsi="Arial"/>
                <w:sz w:val="20"/>
                <w:szCs w:val="20"/>
                <w:color w:val="auto"/>
              </w:rPr>
              <w:t>(5,604)</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(11,615)</w:t>
            </w:r>
          </w:p>
        </w:tc>
      </w:tr>
      <w:tr>
        <w:trPr>
          <w:trHeight w:val="283"/>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38</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11,975</w:t>
            </w: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5"/>
        </w:trPr>
        <w:tc>
          <w:tcPr>
            <w:tcW w:w="940" w:type="dxa"/>
            <w:vAlign w:val="bottom"/>
          </w:tcPr>
          <w:p>
            <w:pPr>
              <w:jc w:val="right"/>
              <w:ind w:right="61"/>
              <w:spacing w:after="0"/>
              <w:rPr>
                <w:sz w:val="20"/>
                <w:szCs w:val="20"/>
                <w:color w:val="auto"/>
              </w:rPr>
            </w:pPr>
            <w:r>
              <w:rPr>
                <w:rFonts w:ascii="Arial" w:cs="Arial" w:eastAsia="Arial" w:hAnsi="Arial"/>
                <w:sz w:val="20"/>
                <w:szCs w:val="20"/>
                <w:color w:val="auto"/>
              </w:rPr>
              <w:t>6,409</w:t>
            </w:r>
          </w:p>
        </w:tc>
        <w:tc>
          <w:tcPr>
            <w:tcW w:w="8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-7620</wp:posOffset>
            </wp:positionV>
            <wp:extent cx="1465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-1087755</wp:posOffset>
            </wp:positionV>
            <wp:extent cx="1465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6640" w:space="600"/>
            <w:col w:w="3960"/>
          </w:cols>
          <w:pgMar w:left="340" w:top="602" w:right="35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Series A equity issuance costs</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(1,509)</w:t>
            </w: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Tax withholding related to vesting of equity-based compensation</w:t>
            </w:r>
          </w:p>
        </w:tc>
        <w:tc>
          <w:tcPr>
            <w:tcW w:w="2320" w:type="dxa"/>
            <w:vAlign w:val="bottom"/>
          </w:tcPr>
          <w:p>
            <w:pPr>
              <w:jc w:val="right"/>
              <w:spacing w:after="0"/>
              <w:rPr>
                <w:sz w:val="20"/>
                <w:szCs w:val="20"/>
                <w:color w:val="auto"/>
              </w:rPr>
            </w:pPr>
            <w:r>
              <w:rPr>
                <w:rFonts w:ascii="Arial" w:cs="Arial" w:eastAsia="Arial" w:hAnsi="Arial"/>
                <w:sz w:val="20"/>
                <w:szCs w:val="20"/>
                <w:color w:val="auto"/>
              </w:rPr>
              <w:t>(1,734)</w:t>
            </w:r>
          </w:p>
        </w:tc>
        <w:tc>
          <w:tcPr>
            <w:tcW w:w="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issuance of other debt</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19,024</w:t>
            </w:r>
          </w:p>
        </w:tc>
        <w:tc>
          <w:tcPr>
            <w:tcW w:w="80" w:type="dxa"/>
            <w:vAlign w:val="bottom"/>
            <w:shd w:val="clear" w:color="auto" w:fill="CCEEFF"/>
          </w:tcPr>
          <w:p>
            <w:pPr>
              <w:spacing w:after="0"/>
              <w:rPr>
                <w:sz w:val="24"/>
                <w:szCs w:val="2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60,516</w:t>
            </w: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Principal payments on other debt</w:t>
            </w:r>
          </w:p>
        </w:tc>
        <w:tc>
          <w:tcPr>
            <w:tcW w:w="2320" w:type="dxa"/>
            <w:vAlign w:val="bottom"/>
          </w:tcPr>
          <w:p>
            <w:pPr>
              <w:jc w:val="right"/>
              <w:spacing w:after="0"/>
              <w:rPr>
                <w:sz w:val="20"/>
                <w:szCs w:val="20"/>
                <w:color w:val="auto"/>
              </w:rPr>
            </w:pPr>
            <w:r>
              <w:rPr>
                <w:rFonts w:ascii="Arial" w:cs="Arial" w:eastAsia="Arial" w:hAnsi="Arial"/>
                <w:sz w:val="20"/>
                <w:szCs w:val="20"/>
                <w:color w:val="auto"/>
              </w:rPr>
              <w:t>(24,879)</w:t>
            </w:r>
          </w:p>
        </w:tc>
        <w:tc>
          <w:tcPr>
            <w:tcW w:w="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(69,024)</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Principal payments on term loan facility</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(3,225)</w:t>
            </w:r>
          </w:p>
        </w:tc>
        <w:tc>
          <w:tcPr>
            <w:tcW w:w="80" w:type="dxa"/>
            <w:vAlign w:val="bottom"/>
            <w:shd w:val="clear" w:color="auto" w:fill="CCEEFF"/>
          </w:tcPr>
          <w:p>
            <w:pPr>
              <w:spacing w:after="0"/>
              <w:rPr>
                <w:sz w:val="24"/>
                <w:szCs w:val="2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(73,225)</w:t>
            </w:r>
          </w:p>
        </w:tc>
      </w:tr>
      <w:tr>
        <w:trPr>
          <w:trHeight w:val="282"/>
        </w:trPr>
        <w:tc>
          <w:tcPr>
            <w:tcW w:w="65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Contingent consideration payments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(1,427)</w:t>
            </w:r>
          </w:p>
        </w:tc>
        <w:tc>
          <w:tcPr>
            <w:tcW w:w="80" w:type="dxa"/>
            <w:vAlign w:val="bottom"/>
            <w:tcBorders>
              <w:bottom w:val="single" w:sz="8" w:color="CCEEFF"/>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(1,200)</w:t>
            </w:r>
          </w:p>
        </w:tc>
      </w:tr>
      <w:tr>
        <w:trPr>
          <w:trHeight w:val="263"/>
        </w:trPr>
        <w:tc>
          <w:tcPr>
            <w:tcW w:w="6500" w:type="dxa"/>
            <w:vAlign w:val="bottom"/>
            <w:shd w:val="clear" w:color="auto" w:fill="CCEEFF"/>
          </w:tcPr>
          <w:p>
            <w:pPr>
              <w:ind w:left="660"/>
              <w:spacing w:after="0"/>
              <w:rPr>
                <w:sz w:val="20"/>
                <w:szCs w:val="20"/>
                <w:color w:val="auto"/>
              </w:rPr>
            </w:pPr>
            <w:r>
              <w:rPr>
                <w:rFonts w:ascii="Arial" w:cs="Arial" w:eastAsia="Arial" w:hAnsi="Arial"/>
                <w:sz w:val="20"/>
                <w:szCs w:val="20"/>
                <w:color w:val="auto"/>
              </w:rPr>
              <w:t>Net cash used in financing activities</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(12,241)</w:t>
            </w:r>
          </w:p>
        </w:tc>
        <w:tc>
          <w:tcPr>
            <w:tcW w:w="80" w:type="dxa"/>
            <w:vAlign w:val="bottom"/>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(84,442)</w:t>
            </w:r>
          </w:p>
        </w:tc>
      </w:tr>
    </w:tbl>
    <w:p>
      <w:pPr>
        <w:spacing w:after="0" w:line="200" w:lineRule="exact"/>
        <w:rPr>
          <w:sz w:val="20"/>
          <w:szCs w:val="20"/>
          <w:color w:val="auto"/>
        </w:rPr>
      </w:pPr>
    </w:p>
    <w:p>
      <w:pPr>
        <w:sectPr>
          <w:pgSz w:w="11900" w:h="16838" w:orient="portrait"/>
          <w:cols w:equalWidth="0" w:num="1">
            <w:col w:w="11200"/>
          </w:cols>
          <w:pgMar w:left="340" w:top="6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78105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type w:val="continuous"/>
        </w:sectPr>
      </w:pPr>
    </w:p>
    <w:bookmarkStart w:id="12" w:name="page13"/>
    <w:bookmarkEnd w:id="12"/>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52" w:lineRule="exact"/>
        <w:rPr>
          <w:sz w:val="20"/>
          <w:szCs w:val="20"/>
          <w:color w:val="auto"/>
        </w:rPr>
      </w:pPr>
    </w:p>
    <w:p>
      <w:pPr>
        <w:jc w:val="center"/>
        <w:ind w:left="6500"/>
        <w:spacing w:after="0"/>
        <w:rPr>
          <w:sz w:val="20"/>
          <w:szCs w:val="20"/>
          <w:color w:val="auto"/>
        </w:rPr>
      </w:pPr>
      <w:r>
        <w:rPr>
          <w:rFonts w:ascii="Arial" w:cs="Arial" w:eastAsia="Arial" w:hAnsi="Arial"/>
          <w:sz w:val="19"/>
          <w:szCs w:val="19"/>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30480</wp:posOffset>
            </wp:positionV>
            <wp:extent cx="29832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5" w:lineRule="exact"/>
        <w:rPr>
          <w:sz w:val="20"/>
          <w:szCs w:val="20"/>
          <w:color w:val="auto"/>
        </w:rPr>
      </w:pPr>
    </w:p>
    <w:p>
      <w:pPr>
        <w:ind w:left="7440"/>
        <w:spacing w:after="0"/>
        <w:tabs>
          <w:tab w:leader="none" w:pos="9820" w:val="left"/>
        </w:tabs>
        <w:rPr>
          <w:sz w:val="20"/>
          <w:szCs w:val="20"/>
          <w:color w:val="auto"/>
        </w:rPr>
      </w:pPr>
      <w:r>
        <w:rPr>
          <w:rFonts w:ascii="Arial" w:cs="Arial" w:eastAsia="Arial" w:hAnsi="Arial"/>
          <w:sz w:val="20"/>
          <w:szCs w:val="20"/>
          <w:b w:val="1"/>
          <w:bCs w:val="1"/>
          <w:color w:val="auto"/>
        </w:rPr>
        <w:t>2024</w:t>
      </w:r>
      <w:r>
        <w:rPr>
          <w:sz w:val="20"/>
          <w:szCs w:val="20"/>
          <w:color w:val="auto"/>
        </w:rPr>
        <w:tab/>
      </w:r>
      <w:r>
        <w:rPr>
          <w:rFonts w:ascii="Arial" w:cs="Arial" w:eastAsia="Arial" w:hAnsi="Arial"/>
          <w:sz w:val="20"/>
          <w:szCs w:val="2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21590</wp:posOffset>
            </wp:positionV>
            <wp:extent cx="29832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115175"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change in cash and cash equivalents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6500" w:val="left"/>
        </w:tabs>
        <w:rPr>
          <w:sz w:val="20"/>
          <w:szCs w:val="20"/>
          <w:color w:val="auto"/>
        </w:rPr>
      </w:pPr>
      <w:r>
        <w:rPr>
          <w:rFonts w:ascii="Arial" w:cs="Arial" w:eastAsia="Arial" w:hAnsi="Arial"/>
          <w:sz w:val="20"/>
          <w:szCs w:val="20"/>
          <w:color w:val="auto"/>
        </w:rPr>
        <w:t>Cash and cash equivalents, end of period</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210820</wp:posOffset>
            </wp:positionV>
            <wp:extent cx="711517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(7,270)</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(1,808)</w:t>
            </w:r>
          </w:p>
        </w:tc>
      </w:tr>
      <w:tr>
        <w:trPr>
          <w:trHeight w:val="283"/>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83,292</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40,109</w:t>
            </w:r>
          </w:p>
        </w:tc>
      </w:tr>
      <w:tr>
        <w:trPr>
          <w:trHeight w:val="283"/>
        </w:trPr>
        <w:tc>
          <w:tcPr>
            <w:tcW w:w="880" w:type="dxa"/>
            <w:vAlign w:val="bottom"/>
          </w:tcPr>
          <w:p>
            <w:pPr>
              <w:jc w:val="right"/>
              <w:ind w:right="61"/>
              <w:spacing w:after="0"/>
              <w:rPr>
                <w:sz w:val="20"/>
                <w:szCs w:val="20"/>
                <w:color w:val="auto"/>
              </w:rPr>
            </w:pPr>
            <w:r>
              <w:rPr>
                <w:rFonts w:ascii="Arial" w:cs="Arial" w:eastAsia="Arial" w:hAnsi="Arial"/>
                <w:sz w:val="20"/>
                <w:szCs w:val="20"/>
                <w:color w:val="auto"/>
                <w:w w:val="96"/>
              </w:rPr>
              <w:t>249,080</w:t>
            </w: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133,901</w:t>
            </w:r>
          </w:p>
        </w:tc>
      </w:tr>
      <w:tr>
        <w:trPr>
          <w:trHeight w:val="253"/>
        </w:trPr>
        <w:tc>
          <w:tcPr>
            <w:tcW w:w="880" w:type="dxa"/>
            <w:vAlign w:val="bottom"/>
          </w:tcPr>
          <w:p>
            <w:pPr>
              <w:jc w:val="right"/>
              <w:ind w:right="61"/>
              <w:spacing w:after="0"/>
              <w:rPr>
                <w:sz w:val="20"/>
                <w:szCs w:val="20"/>
                <w:color w:val="auto"/>
              </w:rPr>
            </w:pPr>
            <w:r>
              <w:rPr>
                <w:rFonts w:ascii="Arial" w:cs="Arial" w:eastAsia="Arial" w:hAnsi="Arial"/>
                <w:sz w:val="20"/>
                <w:szCs w:val="20"/>
                <w:color w:val="auto"/>
                <w:w w:val="96"/>
              </w:rPr>
              <w:t>332,372</w:t>
            </w:r>
          </w:p>
        </w:tc>
        <w:tc>
          <w:tcPr>
            <w:tcW w:w="82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174,010</w:t>
            </w:r>
          </w:p>
        </w:tc>
      </w:tr>
      <w:tr>
        <w:trPr>
          <w:trHeight w:val="21"/>
        </w:trPr>
        <w:tc>
          <w:tcPr>
            <w:tcW w:w="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-7620</wp:posOffset>
            </wp:positionV>
            <wp:extent cx="1465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180"/>
          </w:cols>
          <w:pgMar w:left="340" w:top="602" w:right="359" w:bottom="1440" w:gutter="0" w:footer="0" w:header="0"/>
          <w:type w:val="continuous"/>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Supplemental 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300" w:type="dxa"/>
            <w:vAlign w:val="bottom"/>
          </w:tcPr>
          <w:p>
            <w:pPr>
              <w:ind w:left="260"/>
              <w:spacing w:after="0"/>
              <w:rPr>
                <w:sz w:val="20"/>
                <w:szCs w:val="20"/>
                <w:color w:val="auto"/>
              </w:rPr>
            </w:pPr>
            <w:r>
              <w:rPr>
                <w:rFonts w:ascii="Arial" w:cs="Arial" w:eastAsia="Arial" w:hAnsi="Arial"/>
                <w:sz w:val="20"/>
                <w:szCs w:val="20"/>
                <w:color w:val="auto"/>
              </w:rPr>
              <w:t>Cash paid for interest</w:t>
            </w:r>
          </w:p>
        </w:tc>
        <w:tc>
          <w:tcPr>
            <w:tcW w:w="20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29,666</w:t>
            </w:r>
          </w:p>
        </w:tc>
        <w:tc>
          <w:tcPr>
            <w:tcW w:w="960" w:type="dxa"/>
            <w:vAlign w:val="bottom"/>
          </w:tcPr>
          <w:p>
            <w:pPr>
              <w:jc w:val="right"/>
              <w:ind w:right="661"/>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36,136</w:t>
            </w:r>
          </w:p>
        </w:tc>
      </w:tr>
      <w:tr>
        <w:trPr>
          <w:trHeight w:val="285"/>
        </w:trPr>
        <w:tc>
          <w:tcPr>
            <w:tcW w:w="53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Cash paid for income taxes (net of refunds)</w:t>
            </w:r>
          </w:p>
        </w:tc>
        <w:tc>
          <w:tcPr>
            <w:tcW w:w="2080" w:type="dxa"/>
            <w:vAlign w:val="bottom"/>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25,220</w:t>
            </w:r>
          </w:p>
        </w:tc>
        <w:tc>
          <w:tcPr>
            <w:tcW w:w="960" w:type="dxa"/>
            <w:vAlign w:val="bottom"/>
            <w:shd w:val="clear" w:color="auto" w:fill="CCEEFF"/>
          </w:tcPr>
          <w:p>
            <w:pPr>
              <w:jc w:val="right"/>
              <w:ind w:right="66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36,797</w:t>
            </w:r>
          </w:p>
        </w:tc>
      </w:tr>
      <w:tr>
        <w:trPr>
          <w:trHeight w:val="270"/>
        </w:trPr>
        <w:tc>
          <w:tcPr>
            <w:tcW w:w="53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83"/>
        </w:trPr>
        <w:tc>
          <w:tcPr>
            <w:tcW w:w="53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Non-cash investing and financing activities</w:t>
            </w:r>
          </w:p>
        </w:tc>
        <w:tc>
          <w:tcPr>
            <w:tcW w:w="20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80"/>
        </w:trPr>
        <w:tc>
          <w:tcPr>
            <w:tcW w:w="5300" w:type="dxa"/>
            <w:vAlign w:val="bottom"/>
          </w:tcPr>
          <w:p>
            <w:pPr>
              <w:ind w:left="260"/>
              <w:spacing w:after="0"/>
              <w:rPr>
                <w:sz w:val="20"/>
                <w:szCs w:val="20"/>
                <w:color w:val="auto"/>
              </w:rPr>
            </w:pPr>
            <w:r>
              <w:rPr>
                <w:rFonts w:ascii="Arial" w:cs="Arial" w:eastAsia="Arial" w:hAnsi="Arial"/>
                <w:sz w:val="20"/>
                <w:szCs w:val="20"/>
                <w:color w:val="auto"/>
              </w:rPr>
              <w:t>Dividends accrued on Series A Preferred</w:t>
            </w:r>
          </w:p>
        </w:tc>
        <w:tc>
          <w:tcPr>
            <w:tcW w:w="20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20,914</w:t>
            </w:r>
          </w:p>
        </w:tc>
        <w:tc>
          <w:tcPr>
            <w:tcW w:w="960" w:type="dxa"/>
            <w:vAlign w:val="bottom"/>
          </w:tcPr>
          <w:p>
            <w:pPr>
              <w:jc w:val="right"/>
              <w:ind w:right="661"/>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19,567</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Business and Out-of-Period Adjustments</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Headquartered in Albuquerque, New Mexico, the Company is a leading global manufacturer and supplier of utility-scale solar tracking systems and technologies.</w:t>
      </w:r>
    </w:p>
    <w:p>
      <w:pPr>
        <w:spacing w:after="0" w:line="17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accompanying unaudited condensed consolidated financial statements have been prepared on the accrual basis of accounting in accordance with accounting principles generally accepted in the United States of America (“U.S. GAAP”), pursuant to the rules and regulations of the SEC. The unaudited interim financial statements have been prepared on the same basis as the audited annual financial statements and, in the opinion of management, reflect all adjustments, which include only normal recurring adjustments, necessary for the fair statement of results for the interim periods reported. The results for the three and nine months ended September 30, 2024, are not necessarily indicative of results to be expected for the year ending December 31, 2024, or any other interim periods, or any future year or period. The balance sheet as of December 31, 2023, included herein was derived from the audited financial statements as of that date. Certain disclosures have been condensed or omitted from the interim financial statements. These condensed consolidated financial statements should be read in conjunction with the Company’s audited consolidated financial statements included in our Annual Report on Form 10-K for the year ended December 31, 2023, filed with the SEC on February 28, 2024. The preparation of these condensed consolidated financial statements and accompanying notes requires management to make estimates and assumptions that affect the amounts reported. Actual results could differ materially from those estimates.</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Unless expressly stated or the context otherwise requires, the terms “the Company”, “we”, “us”, “our”, “Array”, and “Array Technologies” refer to Array Technologies, Inc. and its consolidated subsidiaries, and the term “condensed consolidated financial statements” refers to the accompanying unaudited condensed consolidated financial statements contained in this Quarterly Report.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Reclassifications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Software Implementation Costs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the first quarter of 2024, the Company reclassified capitalized software costs recorded as Property, plant and equipment, net to Intangible assets, net on the condensed consolidated balance sheets. The reclassification was recorded retrospectively and resulted in a $4.0 million increase to Intangible assets, net at December 31, 2023, with a corresponding decrease in the same amount to Property, plant and equipment, net.</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These reclassifications did not impact the Company’s operating income (loss), net income (loss), earnings (loss) per share, or statements of cash flows for any current or historical periods.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line="3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Brazil Value-Added Tax Benefit</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in 2023, excludes a Brazil value-added tax benefit, Imposto sobre Circulação de Mercadorias e Servicos (“ICMS”), that has been reclassified and included in cost of product and service revenue for all periods presented. For the nine months ended September 30, 2023, the Brazil ICMS value-added tax benefit was $19.9 million, which has been included in cost of product and service revenue.</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This reclassification had no impact on the Company’s gross profit, income (loss) from operations, net income or income (loss) per common share in the current period. This reclassification also did not impact the condensed consolidated balance sheets or condensed consolidated statements of cash flows.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Divestiture of Investment in Equity Securities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 June 2024, we divested 100% of our equity investment in preferred stock of a private company we purchased in 2021. We received $12.0 million in proceeds for the divestiture in July 2024. No gain or loss resulted from this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and Indefinite-Lived Intangible Assets</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The Company does not amortize goodwill but instead tests goodwill for impairment annually, or more frequently if events or changes in circumstances indicate that it is more likely than not that the asset is impaired. Such triggering events potentially warranting an annual or interim goodwill impairment assessment include, among other factors, declines in historical or projected revenue, operating income or cash flows, and sustained decreases in the Company’s stock price or market capitalization.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Goodwill is assessed for impairment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 legal and regulatory environments, and historical performance. If the Company cannot determine if it is more likely than not that the fair value of a reporting unit is greater than its carrying value, a quantitative assessment is performed. The quantitative approach compares the estimated fair value of the reporting unit to its carrying amount, including goodwill. Impairment is indicated if the estimated fair value or the reporting unit is less than the carrying amount of the reporting unit, and an impairment charge is recognized for the differential.</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When determining the fair value of a reporting unit using the quantitative approach, we determine the fair value of the reporting unit using an income approach based on discounted cash flows. The fair value determined under the income approach is then compared to guideline publicly-traded companies (“GPC”) market place EBITDA multiples to corroborate the fair value of the reporting unit determined under the income approach.</w:t>
      </w:r>
    </w:p>
    <w:p>
      <w:pPr>
        <w:spacing w:after="0" w:line="197"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color w:val="auto"/>
        </w:rPr>
        <w:t xml:space="preserve">During the three months ended September 30, 2024, the Company identified certain indicators of impairment, and as a result, performed an interim quantitative goodwill impairment test, which resulted in an impairment of goodwill of $162.0 million. See </w:t>
      </w:r>
      <w:r>
        <w:rPr>
          <w:rFonts w:ascii="Arial" w:cs="Arial" w:eastAsia="Arial" w:hAnsi="Arial"/>
          <w:sz w:val="20"/>
          <w:szCs w:val="20"/>
          <w:u w:val="single" w:color="auto"/>
          <w:color w:val="0000FF"/>
        </w:rPr>
        <w:t>Note 5 – Goodwill and Other Intangibles</w:t>
      </w:r>
      <w:r>
        <w:rPr>
          <w:rFonts w:ascii="Arial" w:cs="Arial" w:eastAsia="Arial" w:hAnsi="Arial"/>
          <w:sz w:val="20"/>
          <w:szCs w:val="20"/>
          <w:color w:val="0000FF"/>
        </w:rPr>
        <w:t xml:space="preserve"> </w:t>
      </w:r>
      <w:r>
        <w:rPr>
          <w:rFonts w:ascii="Arial" w:cs="Arial" w:eastAsia="Arial" w:hAnsi="Arial"/>
          <w:sz w:val="20"/>
          <w:szCs w:val="20"/>
          <w:color w:val="000000"/>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one indefinite-lived intangible asset for a Trade name it acquired as part of a past acquisition. The Company performs an annual impairment test on its Trade name indefinite-lived intangible asset, utilizing a qualitative or quantitative impairment analysis during the fourth quarter of each year. There were no indicators of impairment associated with this Trade name.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When events, circumstances or operating results indicate that the carrying values of long-lived assets, including our finite lived intangible assets, might not be recoverable through future operations, the Company prepares projections of the undiscounted future cash flows expected to be generated from the underlying asset group and the cash flows resulting from the asset groupings eventual disposition. If the projections indicate that the underlying asset grouping is not expected to be recoverable, the asset group is reduced to its estimated fair value.</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During the three months ended September 30, 2024, the Company identified indicators of impairment associated with certain asset groups, and as a result, performed an undiscounted cash flow test, which resulted in no impairment. Refer to Note 5 for further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incurs research and development costs during its process of researching and developing new products and significant enhancements to existing products. Research and development costs consist primarily of personnel-related costs associated with our team of internal engineers, third-party consultants, materials and overhead. The Company expenses these costs as incurred prior to a respective product being ready for commercial production. Research and development expense was $1.6 million and $2.0 million during the three months ended September 30, 2024 and 2023, respectively, and $5.3 million and $6.4 million during the nine months ended September 30, 2024 and 2023,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Reduction Act Vendor Rebates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16, 2022, the Inflation Reduction Act of 2022 (“IRA”) was enacted into law, which includes numerous green energy credits. The 45X Advanced Manufacturing Production Tax Credit (“45X Credit”) was established as part of the IRA. The 45X Credit is a per-unit tax credit that is earned over time for each clean energy component domestically produced and sold by a manufacturer. The Company has, and will continue to enter into, arrangements with manufacturing vendors that produce 45X Credit eligible parts, in which the vendors agree to share a portion of the benefit received related to Array purchases, in the form of “Vendor Rebates.”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accounts for these Vendor Rebates as a reduction of the purchase prices of the vendors’ products and therefore a reduction in the cost of inventory until the inventory is sold, at which time the Company recognizes such rebates as a reduction of cost of product and service revenue on the consolidated statements of operations. As of September 30, 2024, the Company had outstanding Vendor Rebate receivable of $91.6 million, of which $54.3 million was included in Prepaid expenses and other (current) and $37.3 million was included in Other assets (non-current) on the condensed consolidated balance sheets. As of December 31, 2023, the Company had outstanding Vendor Rebate receivable of $48.4 million included in Prepaid expenses and other.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Reduction Act 45X Credits</w:t>
      </w:r>
    </w:p>
    <w:p>
      <w:pPr>
        <w:spacing w:after="0" w:line="13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accounts for the 45X Advanced Manufacturing Production Credit established by the IRA, under IAS 20, Accounting for Government Grants and Disclosure of Government Assistance, as a reduction to production costs. The reduction to production costs, from the 45X Advanced Manufacturing Tax credit, is excluded from federal and state income taxes. The tax credit is included in Prepaid and other assets on the condensed consolidated balance sheet dated September 30, 2024.</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During the second quarter of 2024, the Company concluded that certain parts manufactured by the Company qualify for the 45X Advanced Manufacturing Production Credits.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Our foreign subsidiaries have functional currencies that are different than our reporting currency. When translating balances from the functional currency to the reporting currency, assets and liabilities are translated into U.S. dollars at period end exchange rates, retained earnings is translated at historical rates, and income, expenses, and cash flow items are translated at average exchange rates prevailing during the period. Translation adjustments for these subsidiaries are accumulated within accumulated other comprehensive income. In situations when a foreign subsidiary has a local currency that is different than the functional currency, monetary assets and liabilities are translated into the functional currency at the period end exchange rates, and non-monetary assets and the related income statement effects are translated into the functional currency using historical rates. Gains and losses that result from remeasurement from a local currency to the functional currency are included in earnings.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3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December 2023, the FASB issued ASU 2023-09, Income Taxes (Topic 740): Improvements to Income Tax Disclosures, which requires disclosure of disaggregated income taxes paid, prescribes standard categories for the components of the effective tax rate reconciliation, and modifies other income tax-related disclosures. The standard will become effective for the Company’s fiscal year ended December 31, 2025, with early adoption permitted. The Company does not expect to early adopt this reporting standard and expects no material impacts upon adoption.</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November 2023, the Financial Accounting Standards Board (the “FASB”) issued ASU 2023-07, Segment Reporting (Topic 280): Improvements to Reportable Segment Disclosures. The amendments in this ASU will require public entities to disclose significant segment expenses and other segment items and to provide in interim periods all disclosures about a reportable segment’s profit or loss and assets that are currently required annually. Public entities with a single reportable segment will also be required to provide the new disclosures and all the disclosures required under ASC 280. The guidance is effective for fiscal years beginning after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December 15, 2023, and for interim periods within fiscal years beginning after December 15, 2024, with early adoption permitted. The amendments in this ASU should be applied retrospectively to all periods presented unless it is impracticable. The Company is assessing the effect on our consolidated financial statement disclosures; however, adoption will not impact our consolidated balance sheets or statements of operations.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March 2024, the U.S. Securities and Exchange Commission (“SEC”) adopted the final rule under SEC Release No. 33-11275, The Enhancement and Standardization of Climate-Related Disclosures for Investors. The rule would require registrants to disclose certain climate-related information in registration statements and annual reports. In April 2024, the SEC voluntarily stayed the final rule as a result of pending legal challenges. The disclosure requirements would apply to the Company’s fiscal year beginning January 1, 2025, pending resolution of the stay. The Company is currently evaluating the final rule to determine its impact on the Company’s disclosures.</w:t>
      </w:r>
    </w:p>
    <w:p>
      <w:pPr>
        <w:spacing w:after="0" w:line="202" w:lineRule="exact"/>
        <w:rPr>
          <w:sz w:val="20"/>
          <w:szCs w:val="20"/>
          <w:color w:val="auto"/>
        </w:rPr>
      </w:pPr>
    </w:p>
    <w:p>
      <w:pPr>
        <w:ind w:right="2600"/>
        <w:spacing w:after="0" w:line="374" w:lineRule="auto"/>
        <w:rPr>
          <w:sz w:val="20"/>
          <w:szCs w:val="20"/>
          <w:color w:val="auto"/>
        </w:rPr>
      </w:pPr>
      <w:r>
        <w:rPr>
          <w:rFonts w:ascii="Arial" w:cs="Arial" w:eastAsia="Arial" w:hAnsi="Arial"/>
          <w:sz w:val="20"/>
          <w:szCs w:val="20"/>
          <w:b w:val="1"/>
          <w:bCs w:val="1"/>
          <w:color w:val="auto"/>
        </w:rPr>
        <w:t xml:space="preserve">Immaterial Correction of 2023 Interim Period Condensed Consolidated Financial Statements </w:t>
      </w:r>
      <w:r>
        <w:rPr>
          <w:rFonts w:ascii="Arial" w:cs="Arial" w:eastAsia="Arial" w:hAnsi="Arial"/>
          <w:sz w:val="20"/>
          <w:szCs w:val="20"/>
          <w:u w:val="single" w:color="auto"/>
          <w:color w:val="auto"/>
        </w:rPr>
        <w:t>Capped Calls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connection with the pricing of the Convertible Notes, we entered into capped call transactions with the Option Counterparties. At issuance the Company concluded that the Capped Calls met the criteria for equity classification because they are indexed to the Company’s common stock and the Company has discretion to settle the Capped Calls in shares or cash. As a result, the amount paid for the Capped Calls was recorded as a reduction to additional paid-in capital. When the Company entered into the Capped Calls, the Company executed certain side letters (the “Side Letters”) with the counterparties that replaced some of the terms described in the primary contract including the volatility inputs used to value the Capped Calls under certain circumstances. Upon further evaluation of the accounting during the three months ended March 31, 2023, the Company concluded that the modification to the volatility inputs in the side letters precluded the Capped Calls from being accounted for as an equity instrument indexed to its own stock and should be accounted for as a freestanding derivative instrument asset recognized at fair value, with subsequent changes in fair value recognized in earnings. During the three months ended March 31, 2023, the Company began to account for the Capped Calls as derivative assets, with subsequent changes in fair value being recorded through earnings. During the three months ended December 31, 2023, after consultation with the staff of the Office of the Chief Accountant of the SEC, the Company concluded that the original equity classification accounting treatment was acceptable. As a result, the Company reclassified the derivative asset recognized at September 30, 2023, as a reduction to equity and reversed the related mark to market adjustments recognized during the nine months ended September 30, 2023.</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Redeemable Perpetual Preferred Stock</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At issuance, the Company evaluated the accounting for the instruments issued pursuant to the SPA and determined the Series A Shares and common stock issued in the Initial Closing, as well as the Prepaid Forward Contract, and Put Option are freestanding instruments that are classified in equity. During the first quarter of 2023, the Company reconsidered the provisions of the Put Option and concluded that it should be accounted for as a freestanding derivative instrument asset accounted for at fair value with subsequent fair value adjustments recognized in earnings. During the fourth quarter of 2023, after consultation with the staff of the Office of the Chief Accountant of the SEC, the Company concluded that the original equity accounting classification was correct. As a result, the Company reclassified the derivative asset recognized during the nine months ended September 30, 2023, as a reduction of equity and also reversed the related fair value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1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Management evaluated the above misstatements and concluded they were not material to the nine months ended September 30, 2023, individually or in aggregate.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following tables reflect the effects of the correction on all affected line items of the Company’s previously reported condensed consolidated financial statements to be presented as comparative in the Form 10-Q for the nine months ended September 30,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020" w:type="dxa"/>
            <w:vAlign w:val="bottom"/>
            <w:gridSpan w:val="9"/>
          </w:tcPr>
          <w:p>
            <w:pPr>
              <w:spacing w:after="0"/>
              <w:rPr>
                <w:sz w:val="20"/>
                <w:szCs w:val="20"/>
                <w:color w:val="auto"/>
              </w:rPr>
            </w:pPr>
            <w:r>
              <w:rPr>
                <w:rFonts w:ascii="Arial" w:cs="Arial" w:eastAsia="Arial" w:hAnsi="Arial"/>
                <w:sz w:val="20"/>
                <w:szCs w:val="20"/>
                <w:b w:val="1"/>
                <w:bCs w:val="1"/>
                <w:color w:val="auto"/>
                <w:w w:val="99"/>
              </w:rPr>
              <w:t>Condensed Consolidated Statements of Operations (unaudited)</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1"/>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7"/>
          </w:tcPr>
          <w:p>
            <w:pPr>
              <w:ind w:left="80"/>
              <w:spacing w:after="0"/>
              <w:rPr>
                <w:sz w:val="20"/>
                <w:szCs w:val="20"/>
                <w:color w:val="auto"/>
              </w:rPr>
            </w:pPr>
            <w:r>
              <w:rPr>
                <w:rFonts w:ascii="Arial" w:cs="Arial" w:eastAsia="Arial" w:hAnsi="Arial"/>
                <w:sz w:val="20"/>
                <w:szCs w:val="20"/>
                <w:b w:val="1"/>
                <w:bCs w:val="1"/>
                <w:color w:val="auto"/>
              </w:rPr>
              <w:t>Three Months Ended September 30, 2023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7"/>
          </w:tcPr>
          <w:p>
            <w:pPr>
              <w:jc w:val="right"/>
              <w:ind w:right="241"/>
              <w:spacing w:after="0"/>
              <w:rPr>
                <w:sz w:val="20"/>
                <w:szCs w:val="20"/>
                <w:color w:val="auto"/>
              </w:rPr>
            </w:pPr>
            <w:r>
              <w:rPr>
                <w:rFonts w:ascii="Arial" w:cs="Arial" w:eastAsia="Arial" w:hAnsi="Arial"/>
                <w:sz w:val="20"/>
                <w:szCs w:val="20"/>
                <w:b w:val="1"/>
                <w:bCs w:val="1"/>
                <w:color w:val="auto"/>
              </w:rPr>
              <w:t>Nine Months Ended September 30, 2023</w:t>
            </w:r>
          </w:p>
        </w:tc>
        <w:tc>
          <w:tcPr>
            <w:tcW w:w="0" w:type="dxa"/>
            <w:vAlign w:val="bottom"/>
          </w:tcPr>
          <w:p>
            <w:pPr>
              <w:spacing w:after="0"/>
              <w:rPr>
                <w:sz w:val="1"/>
                <w:szCs w:val="1"/>
                <w:color w:val="auto"/>
              </w:rPr>
            </w:pPr>
          </w:p>
        </w:tc>
      </w:tr>
      <w:tr>
        <w:trPr>
          <w:trHeight w:val="186"/>
        </w:trPr>
        <w:tc>
          <w:tcPr>
            <w:tcW w:w="214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w:t>
            </w:r>
          </w:p>
        </w:tc>
        <w:tc>
          <w:tcPr>
            <w:tcW w:w="120" w:type="dxa"/>
            <w:vAlign w:val="bottom"/>
          </w:tcPr>
          <w:p>
            <w:pPr>
              <w:spacing w:after="0"/>
              <w:rPr>
                <w:sz w:val="16"/>
                <w:szCs w:val="16"/>
                <w:color w:val="auto"/>
              </w:rPr>
            </w:pPr>
          </w:p>
        </w:tc>
        <w:tc>
          <w:tcPr>
            <w:tcW w:w="1560" w:type="dxa"/>
            <w:vAlign w:val="bottom"/>
            <w:gridSpan w:val="3"/>
          </w:tcPr>
          <w:p>
            <w:pPr>
              <w:ind w:left="80"/>
              <w:spacing w:after="0" w:line="185" w:lineRule="exact"/>
              <w:rPr>
                <w:sz w:val="20"/>
                <w:szCs w:val="20"/>
                <w:color w:val="auto"/>
              </w:rPr>
            </w:pPr>
            <w:r>
              <w:rPr>
                <w:rFonts w:ascii="Arial" w:cs="Arial" w:eastAsia="Arial" w:hAnsi="Arial"/>
                <w:sz w:val="20"/>
                <w:szCs w:val="20"/>
                <w:b w:val="1"/>
                <w:bCs w:val="1"/>
                <w:color w:val="auto"/>
              </w:rPr>
              <w:t>As Previously</w:t>
            </w:r>
          </w:p>
        </w:tc>
        <w:tc>
          <w:tcPr>
            <w:tcW w:w="140" w:type="dxa"/>
            <w:vAlign w:val="bottom"/>
          </w:tcPr>
          <w:p>
            <w:pPr>
              <w:spacing w:after="0"/>
              <w:rPr>
                <w:sz w:val="16"/>
                <w:szCs w:val="16"/>
                <w:color w:val="auto"/>
              </w:rPr>
            </w:pPr>
          </w:p>
        </w:tc>
        <w:tc>
          <w:tcPr>
            <w:tcW w:w="13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w w:val="99"/>
              </w:rPr>
              <w:t>Adjustments</w:t>
            </w:r>
          </w:p>
        </w:tc>
        <w:tc>
          <w:tcPr>
            <w:tcW w:w="80" w:type="dxa"/>
            <w:vAlign w:val="bottom"/>
          </w:tcPr>
          <w:p>
            <w:pPr>
              <w:spacing w:after="0"/>
              <w:rPr>
                <w:sz w:val="16"/>
                <w:szCs w:val="16"/>
                <w:color w:val="auto"/>
              </w:rPr>
            </w:pPr>
          </w:p>
        </w:tc>
        <w:tc>
          <w:tcPr>
            <w:tcW w:w="1400" w:type="dxa"/>
            <w:vAlign w:val="bottom"/>
            <w:gridSpan w:val="3"/>
            <w:vMerge w:val="restart"/>
          </w:tcPr>
          <w:p>
            <w:pPr>
              <w:jc w:val="right"/>
              <w:ind w:right="120"/>
              <w:spacing w:after="0"/>
              <w:rPr>
                <w:sz w:val="20"/>
                <w:szCs w:val="20"/>
                <w:color w:val="auto"/>
              </w:rPr>
            </w:pPr>
            <w:r>
              <w:rPr>
                <w:rFonts w:ascii="Arial" w:cs="Arial" w:eastAsia="Arial" w:hAnsi="Arial"/>
                <w:sz w:val="20"/>
                <w:szCs w:val="20"/>
                <w:b w:val="1"/>
                <w:bCs w:val="1"/>
                <w:color w:val="auto"/>
              </w:rPr>
              <w:t>As Corrected</w:t>
            </w:r>
          </w:p>
        </w:tc>
        <w:tc>
          <w:tcPr>
            <w:tcW w:w="1400" w:type="dxa"/>
            <w:vAlign w:val="bottom"/>
            <w:gridSpan w:val="2"/>
          </w:tcPr>
          <w:p>
            <w:pPr>
              <w:jc w:val="right"/>
              <w:spacing w:after="0" w:line="185" w:lineRule="exact"/>
              <w:rPr>
                <w:sz w:val="20"/>
                <w:szCs w:val="20"/>
                <w:color w:val="auto"/>
              </w:rPr>
            </w:pPr>
            <w:r>
              <w:rPr>
                <w:rFonts w:ascii="Arial" w:cs="Arial" w:eastAsia="Arial" w:hAnsi="Arial"/>
                <w:sz w:val="20"/>
                <w:szCs w:val="20"/>
                <w:b w:val="1"/>
                <w:bCs w:val="1"/>
                <w:color w:val="auto"/>
              </w:rPr>
              <w:t>As Previously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Adjustments</w:t>
            </w:r>
          </w:p>
        </w:tc>
        <w:tc>
          <w:tcPr>
            <w:tcW w:w="13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As Corrected</w:t>
            </w:r>
          </w:p>
        </w:tc>
        <w:tc>
          <w:tcPr>
            <w:tcW w:w="0" w:type="dxa"/>
            <w:vAlign w:val="bottom"/>
          </w:tcPr>
          <w:p>
            <w:pPr>
              <w:spacing w:after="0"/>
              <w:rPr>
                <w:sz w:val="1"/>
                <w:szCs w:val="1"/>
                <w:color w:val="auto"/>
              </w:rPr>
            </w:pPr>
          </w:p>
        </w:tc>
      </w:tr>
      <w:tr>
        <w:trPr>
          <w:trHeight w:val="253"/>
        </w:trPr>
        <w:tc>
          <w:tcPr>
            <w:tcW w:w="21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ind w:left="80"/>
              <w:spacing w:after="0"/>
              <w:rPr>
                <w:sz w:val="20"/>
                <w:szCs w:val="20"/>
                <w:color w:val="auto"/>
              </w:rPr>
            </w:pPr>
            <w:r>
              <w:rPr>
                <w:rFonts w:ascii="Arial" w:cs="Arial" w:eastAsia="Arial" w:hAnsi="Arial"/>
                <w:sz w:val="20"/>
                <w:szCs w:val="20"/>
                <w:b w:val="1"/>
                <w:bCs w:val="1"/>
                <w:color w:val="auto"/>
              </w:rPr>
              <w:t>Reported</w:t>
            </w:r>
          </w:p>
        </w:tc>
        <w:tc>
          <w:tcPr>
            <w:tcW w:w="14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ind w:right="161"/>
              <w:spacing w:after="0"/>
              <w:rPr>
                <w:sz w:val="20"/>
                <w:szCs w:val="20"/>
                <w:color w:val="auto"/>
              </w:rPr>
            </w:pPr>
            <w:r>
              <w:rPr>
                <w:rFonts w:ascii="Arial" w:cs="Arial" w:eastAsia="Arial" w:hAnsi="Arial"/>
                <w:sz w:val="20"/>
                <w:szCs w:val="20"/>
                <w:b w:val="1"/>
                <w:bCs w:val="1"/>
                <w:color w:val="auto"/>
              </w:rPr>
              <w:t>Reported</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140" w:type="dxa"/>
            <w:vAlign w:val="bottom"/>
            <w:tcBorders>
              <w:top w:val="single" w:sz="8" w:color="CCEEFF"/>
            </w:tcBorders>
            <w:shd w:val="clear" w:color="auto" w:fill="CCEEFF"/>
          </w:tcPr>
          <w:p>
            <w:pPr>
              <w:ind w:left="20"/>
              <w:spacing w:after="0" w:line="215" w:lineRule="exact"/>
              <w:rPr>
                <w:sz w:val="20"/>
                <w:szCs w:val="20"/>
                <w:color w:val="auto"/>
              </w:rPr>
            </w:pPr>
            <w:r>
              <w:rPr>
                <w:rFonts w:ascii="Arial" w:cs="Arial" w:eastAsia="Arial" w:hAnsi="Arial"/>
                <w:sz w:val="20"/>
                <w:szCs w:val="20"/>
                <w:color w:val="auto"/>
              </w:rPr>
              <w:t>Change in fair value of</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derivative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w:t>
            </w:r>
          </w:p>
        </w:tc>
        <w:tc>
          <w:tcPr>
            <w:tcW w:w="680" w:type="dxa"/>
            <w:vAlign w:val="bottom"/>
            <w:gridSpan w:val="2"/>
            <w:shd w:val="clear" w:color="auto" w:fill="CCEEFF"/>
          </w:tcPr>
          <w:p>
            <w:pPr>
              <w:jc w:val="right"/>
              <w:ind w:right="381"/>
              <w:spacing w:after="0"/>
              <w:rPr>
                <w:sz w:val="20"/>
                <w:szCs w:val="20"/>
                <w:color w:val="auto"/>
              </w:rPr>
            </w:pPr>
            <w:r>
              <w:rPr>
                <w:rFonts w:ascii="Arial" w:cs="Arial" w:eastAsia="Arial" w:hAnsi="Arial"/>
                <w:sz w:val="20"/>
                <w:szCs w:val="20"/>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1,140</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2140" w:type="dxa"/>
            <w:vAlign w:val="bottom"/>
          </w:tcPr>
          <w:p>
            <w:pPr>
              <w:ind w:left="20"/>
              <w:spacing w:after="0"/>
              <w:rPr>
                <w:sz w:val="20"/>
                <w:szCs w:val="20"/>
                <w:color w:val="auto"/>
              </w:rPr>
            </w:pPr>
            <w:r>
              <w:rPr>
                <w:rFonts w:ascii="Arial" w:cs="Arial" w:eastAsia="Arial" w:hAnsi="Arial"/>
                <w:sz w:val="20"/>
                <w:szCs w:val="20"/>
                <w:color w:val="auto"/>
              </w:rPr>
              <w:t>Total other income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140" w:type="dxa"/>
            <w:vAlign w:val="bottom"/>
          </w:tcPr>
          <w:p>
            <w:pPr>
              <w:ind w:left="20"/>
              <w:spacing w:after="0"/>
              <w:rPr>
                <w:sz w:val="20"/>
                <w:szCs w:val="20"/>
                <w:color w:val="auto"/>
              </w:rPr>
            </w:pPr>
            <w:r>
              <w:rPr>
                <w:rFonts w:ascii="Arial" w:cs="Arial" w:eastAsia="Arial" w:hAnsi="Arial"/>
                <w:sz w:val="20"/>
                <w:szCs w:val="20"/>
                <w:color w:val="auto"/>
              </w:rPr>
              <w:t>(expense)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(9,762)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(9,878)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(30,242)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(29,102)</w:t>
            </w:r>
          </w:p>
        </w:tc>
        <w:tc>
          <w:tcPr>
            <w:tcW w:w="0" w:type="dxa"/>
            <w:vAlign w:val="bottom"/>
          </w:tcPr>
          <w:p>
            <w:pPr>
              <w:spacing w:after="0"/>
              <w:rPr>
                <w:sz w:val="1"/>
                <w:szCs w:val="1"/>
                <w:color w:val="auto"/>
              </w:rPr>
            </w:pPr>
          </w:p>
        </w:tc>
      </w:tr>
      <w:tr>
        <w:trPr>
          <w:trHeight w:val="237"/>
        </w:trPr>
        <w:tc>
          <w:tcPr>
            <w:tcW w:w="2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before</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30,443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98"/>
              </w:rPr>
              <w:t>30,327</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153,662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1,140</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154,802</w:t>
            </w:r>
          </w:p>
        </w:tc>
        <w:tc>
          <w:tcPr>
            <w:tcW w:w="0" w:type="dxa"/>
            <w:vAlign w:val="bottom"/>
          </w:tcPr>
          <w:p>
            <w:pPr>
              <w:spacing w:after="0"/>
              <w:rPr>
                <w:sz w:val="1"/>
                <w:szCs w:val="1"/>
                <w:color w:val="auto"/>
              </w:rPr>
            </w:pPr>
          </w:p>
        </w:tc>
      </w:tr>
      <w:tr>
        <w:trPr>
          <w:trHeight w:val="235"/>
        </w:trPr>
        <w:tc>
          <w:tcPr>
            <w:tcW w:w="2140" w:type="dxa"/>
            <w:vAlign w:val="bottom"/>
          </w:tcPr>
          <w:p>
            <w:pPr>
              <w:ind w:left="20"/>
              <w:spacing w:after="0"/>
              <w:rPr>
                <w:sz w:val="20"/>
                <w:szCs w:val="20"/>
                <w:color w:val="auto"/>
              </w:rPr>
            </w:pPr>
            <w:r>
              <w:rPr>
                <w:rFonts w:ascii="Arial" w:cs="Arial" w:eastAsia="Arial" w:hAnsi="Arial"/>
                <w:sz w:val="20"/>
                <w:szCs w:val="20"/>
                <w:color w:val="auto"/>
              </w:rPr>
              <w:t>Income tax expense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140" w:type="dxa"/>
            <w:vAlign w:val="bottom"/>
          </w:tcPr>
          <w:p>
            <w:pPr>
              <w:ind w:left="20"/>
              <w:spacing w:after="0"/>
              <w:rPr>
                <w:sz w:val="20"/>
                <w:szCs w:val="20"/>
                <w:color w:val="auto"/>
              </w:rPr>
            </w:pPr>
            <w:r>
              <w:rPr>
                <w:rFonts w:ascii="Arial" w:cs="Arial" w:eastAsia="Arial" w:hAnsi="Arial"/>
                <w:sz w:val="20"/>
                <w:szCs w:val="20"/>
                <w:color w:val="auto"/>
              </w:rPr>
              <w:t>(benefit)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7,229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20"/>
                <w:szCs w:val="20"/>
                <w:color w:val="auto"/>
              </w:rPr>
              <w:t>7,229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39,508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(2,604)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36,904</w:t>
            </w:r>
          </w:p>
        </w:tc>
        <w:tc>
          <w:tcPr>
            <w:tcW w:w="0" w:type="dxa"/>
            <w:vAlign w:val="bottom"/>
          </w:tcPr>
          <w:p>
            <w:pPr>
              <w:spacing w:after="0"/>
              <w:rPr>
                <w:sz w:val="1"/>
                <w:szCs w:val="1"/>
                <w:color w:val="auto"/>
              </w:rPr>
            </w:pPr>
          </w:p>
        </w:tc>
      </w:tr>
      <w:tr>
        <w:trPr>
          <w:trHeight w:val="285"/>
        </w:trPr>
        <w:tc>
          <w:tcPr>
            <w:tcW w:w="2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23,214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98"/>
              </w:rPr>
              <w:t>23,098</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114,154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3,744</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117,898</w:t>
            </w:r>
          </w:p>
        </w:tc>
        <w:tc>
          <w:tcPr>
            <w:tcW w:w="0" w:type="dxa"/>
            <w:vAlign w:val="bottom"/>
          </w:tcPr>
          <w:p>
            <w:pPr>
              <w:spacing w:after="0"/>
              <w:rPr>
                <w:sz w:val="1"/>
                <w:szCs w:val="1"/>
                <w:color w:val="auto"/>
              </w:rPr>
            </w:pPr>
          </w:p>
        </w:tc>
      </w:tr>
      <w:tr>
        <w:trPr>
          <w:trHeight w:val="235"/>
        </w:trPr>
        <w:tc>
          <w:tcPr>
            <w:tcW w:w="2140" w:type="dxa"/>
            <w:vAlign w:val="bottom"/>
          </w:tcPr>
          <w:p>
            <w:pPr>
              <w:ind w:left="20"/>
              <w:spacing w:after="0"/>
              <w:rPr>
                <w:sz w:val="20"/>
                <w:szCs w:val="20"/>
                <w:color w:val="auto"/>
              </w:rPr>
            </w:pPr>
            <w:r>
              <w:rPr>
                <w:rFonts w:ascii="Arial" w:cs="Arial" w:eastAsia="Arial" w:hAnsi="Arial"/>
                <w:sz w:val="20"/>
                <w:szCs w:val="20"/>
                <w:color w:val="auto"/>
              </w:rPr>
              <w:t>Net income (loss) to</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140" w:type="dxa"/>
            <w:vAlign w:val="bottom"/>
          </w:tcPr>
          <w:p>
            <w:pPr>
              <w:ind w:left="20"/>
              <w:spacing w:after="0"/>
              <w:rPr>
                <w:sz w:val="20"/>
                <w:szCs w:val="20"/>
                <w:color w:val="auto"/>
              </w:rPr>
            </w:pPr>
            <w:r>
              <w:rPr>
                <w:rFonts w:ascii="Arial" w:cs="Arial" w:eastAsia="Arial" w:hAnsi="Arial"/>
                <w:sz w:val="20"/>
                <w:szCs w:val="20"/>
                <w:color w:val="auto"/>
              </w:rPr>
              <w:t>common shareholders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10,123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20"/>
                <w:szCs w:val="20"/>
                <w:color w:val="auto"/>
                <w:w w:val="98"/>
              </w:rPr>
              <w:t>10,007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75,795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3,744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79,539</w:t>
            </w:r>
          </w:p>
        </w:tc>
        <w:tc>
          <w:tcPr>
            <w:tcW w:w="0" w:type="dxa"/>
            <w:vAlign w:val="bottom"/>
          </w:tcPr>
          <w:p>
            <w:pPr>
              <w:spacing w:after="0"/>
              <w:rPr>
                <w:sz w:val="1"/>
                <w:szCs w:val="1"/>
                <w:color w:val="auto"/>
              </w:rPr>
            </w:pPr>
          </w:p>
        </w:tc>
      </w:tr>
      <w:tr>
        <w:trPr>
          <w:trHeight w:val="237"/>
        </w:trPr>
        <w:tc>
          <w:tcPr>
            <w:tcW w:w="2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per common</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share</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140" w:type="dxa"/>
            <w:vAlign w:val="bottom"/>
          </w:tcPr>
          <w:p>
            <w:pPr>
              <w:ind w:left="240"/>
              <w:spacing w:after="0"/>
              <w:rPr>
                <w:sz w:val="20"/>
                <w:szCs w:val="20"/>
                <w:color w:val="auto"/>
              </w:rPr>
            </w:pPr>
            <w:r>
              <w:rPr>
                <w:rFonts w:ascii="Arial" w:cs="Arial" w:eastAsia="Arial" w:hAnsi="Arial"/>
                <w:sz w:val="20"/>
                <w:szCs w:val="20"/>
                <w:color w:val="auto"/>
              </w:rPr>
              <w:t>Basic</w:t>
            </w:r>
          </w:p>
        </w:tc>
        <w:tc>
          <w:tcPr>
            <w:tcW w:w="34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0.07</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gridSpan w:val="2"/>
          </w:tcPr>
          <w:p>
            <w:pPr>
              <w:jc w:val="right"/>
              <w:ind w:right="38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
              <w:spacing w:after="0"/>
              <w:rPr>
                <w:sz w:val="20"/>
                <w:szCs w:val="20"/>
                <w:color w:val="auto"/>
              </w:rPr>
            </w:pPr>
            <w:r>
              <w:rPr>
                <w:rFonts w:ascii="Arial" w:cs="Arial" w:eastAsia="Arial" w:hAnsi="Arial"/>
                <w:sz w:val="20"/>
                <w:szCs w:val="20"/>
                <w:color w:val="auto"/>
              </w:rPr>
              <w:t>0.07</w:t>
            </w:r>
          </w:p>
        </w:tc>
        <w:tc>
          <w:tcPr>
            <w:tcW w:w="80" w:type="dxa"/>
            <w:vAlign w:val="bottom"/>
          </w:tcPr>
          <w:p>
            <w:pPr>
              <w:spacing w:after="0"/>
              <w:rPr>
                <w:sz w:val="23"/>
                <w:szCs w:val="23"/>
                <w:color w:val="auto"/>
              </w:rPr>
            </w:pP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0.50</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0.02</w:t>
            </w:r>
          </w:p>
        </w:tc>
        <w:tc>
          <w:tcPr>
            <w:tcW w:w="80" w:type="dxa"/>
            <w:vAlign w:val="bottom"/>
          </w:tcPr>
          <w:p>
            <w:pPr>
              <w:spacing w:after="0"/>
              <w:rPr>
                <w:sz w:val="23"/>
                <w:szCs w:val="23"/>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0.52</w:t>
            </w:r>
          </w:p>
        </w:tc>
        <w:tc>
          <w:tcPr>
            <w:tcW w:w="0" w:type="dxa"/>
            <w:vAlign w:val="bottom"/>
          </w:tcPr>
          <w:p>
            <w:pPr>
              <w:spacing w:after="0"/>
              <w:rPr>
                <w:sz w:val="1"/>
                <w:szCs w:val="1"/>
                <w:color w:val="auto"/>
              </w:rPr>
            </w:pPr>
          </w:p>
        </w:tc>
      </w:tr>
      <w:tr>
        <w:trPr>
          <w:trHeight w:val="292"/>
        </w:trPr>
        <w:tc>
          <w:tcPr>
            <w:tcW w:w="21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Diluted</w:t>
            </w:r>
          </w:p>
        </w:tc>
        <w:tc>
          <w:tcPr>
            <w:tcW w:w="34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80" w:type="dxa"/>
            <w:vAlign w:val="bottom"/>
            <w:gridSpan w:val="2"/>
            <w:shd w:val="clear" w:color="auto" w:fill="CCEEFF"/>
          </w:tcPr>
          <w:p>
            <w:pPr>
              <w:jc w:val="right"/>
              <w:ind w:right="381"/>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0.07</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0.02</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0.52</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240" w:type="dxa"/>
            <w:vAlign w:val="bottom"/>
            <w:tcBorders>
              <w:bottom w:val="single" w:sz="8" w:color="auto"/>
            </w:tcBorders>
            <w:gridSpan w:val="7"/>
          </w:tcPr>
          <w:p>
            <w:pPr>
              <w:ind w:left="80"/>
              <w:spacing w:after="0"/>
              <w:rPr>
                <w:sz w:val="20"/>
                <w:szCs w:val="20"/>
                <w:color w:val="auto"/>
              </w:rPr>
            </w:pPr>
            <w:r>
              <w:rPr>
                <w:rFonts w:ascii="Arial" w:cs="Arial" w:eastAsia="Arial" w:hAnsi="Arial"/>
                <w:sz w:val="20"/>
                <w:szCs w:val="20"/>
                <w:b w:val="1"/>
                <w:bCs w:val="1"/>
                <w:color w:val="auto"/>
              </w:rPr>
              <w:t>Three Months Ended September 30, 2023</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20" w:type="dxa"/>
            <w:vAlign w:val="bottom"/>
            <w:tcBorders>
              <w:bottom w:val="single" w:sz="8" w:color="auto"/>
            </w:tcBorders>
            <w:gridSpan w:val="7"/>
          </w:tcPr>
          <w:p>
            <w:pPr>
              <w:jc w:val="right"/>
              <w:ind w:right="241"/>
              <w:spacing w:after="0"/>
              <w:rPr>
                <w:sz w:val="20"/>
                <w:szCs w:val="20"/>
                <w:color w:val="auto"/>
              </w:rPr>
            </w:pPr>
            <w:r>
              <w:rPr>
                <w:rFonts w:ascii="Arial" w:cs="Arial" w:eastAsia="Arial" w:hAnsi="Arial"/>
                <w:sz w:val="20"/>
                <w:szCs w:val="20"/>
                <w:b w:val="1"/>
                <w:bCs w:val="1"/>
                <w:color w:val="auto"/>
              </w:rPr>
              <w:t>Nine Months Ended September 30, 2023</w:t>
            </w:r>
          </w:p>
        </w:tc>
        <w:tc>
          <w:tcPr>
            <w:tcW w:w="0" w:type="dxa"/>
            <w:vAlign w:val="bottom"/>
          </w:tcPr>
          <w:p>
            <w:pPr>
              <w:spacing w:after="0"/>
              <w:rPr>
                <w:sz w:val="1"/>
                <w:szCs w:val="1"/>
                <w:color w:val="auto"/>
              </w:rPr>
            </w:pPr>
          </w:p>
        </w:tc>
      </w:tr>
      <w:tr>
        <w:trPr>
          <w:trHeight w:val="183"/>
        </w:trPr>
        <w:tc>
          <w:tcPr>
            <w:tcW w:w="228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w:t>
            </w:r>
          </w:p>
        </w:tc>
        <w:tc>
          <w:tcPr>
            <w:tcW w:w="1540" w:type="dxa"/>
            <w:vAlign w:val="bottom"/>
            <w:gridSpan w:val="3"/>
          </w:tcPr>
          <w:p>
            <w:pPr>
              <w:ind w:left="80"/>
              <w:spacing w:after="0" w:line="183" w:lineRule="exact"/>
              <w:rPr>
                <w:sz w:val="20"/>
                <w:szCs w:val="20"/>
                <w:color w:val="auto"/>
              </w:rPr>
            </w:pPr>
            <w:r>
              <w:rPr>
                <w:rFonts w:ascii="Arial" w:cs="Arial" w:eastAsia="Arial" w:hAnsi="Arial"/>
                <w:sz w:val="20"/>
                <w:szCs w:val="20"/>
                <w:b w:val="1"/>
                <w:bCs w:val="1"/>
                <w:color w:val="auto"/>
              </w:rPr>
              <w:t>As Previously</w:t>
            </w:r>
          </w:p>
        </w:tc>
        <w:tc>
          <w:tcPr>
            <w:tcW w:w="16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Adjustments</w:t>
            </w:r>
          </w:p>
        </w:tc>
        <w:tc>
          <w:tcPr>
            <w:tcW w:w="1380" w:type="dxa"/>
            <w:vAlign w:val="bottom"/>
            <w:gridSpan w:val="3"/>
            <w:vMerge w:val="restart"/>
          </w:tcPr>
          <w:p>
            <w:pPr>
              <w:ind w:left="20"/>
              <w:spacing w:after="0"/>
              <w:rPr>
                <w:sz w:val="20"/>
                <w:szCs w:val="20"/>
                <w:color w:val="auto"/>
              </w:rPr>
            </w:pPr>
            <w:r>
              <w:rPr>
                <w:rFonts w:ascii="Arial" w:cs="Arial" w:eastAsia="Arial" w:hAnsi="Arial"/>
                <w:sz w:val="20"/>
                <w:szCs w:val="20"/>
                <w:b w:val="1"/>
                <w:bCs w:val="1"/>
                <w:color w:val="auto"/>
              </w:rPr>
              <w:t>As Corrected</w:t>
            </w:r>
          </w:p>
        </w:tc>
        <w:tc>
          <w:tcPr>
            <w:tcW w:w="1500" w:type="dxa"/>
            <w:vAlign w:val="bottom"/>
            <w:gridSpan w:val="3"/>
          </w:tcPr>
          <w:p>
            <w:pPr>
              <w:jc w:val="center"/>
              <w:ind w:right="80"/>
              <w:spacing w:after="0" w:line="183" w:lineRule="exact"/>
              <w:rPr>
                <w:sz w:val="20"/>
                <w:szCs w:val="20"/>
                <w:color w:val="auto"/>
              </w:rPr>
            </w:pPr>
            <w:r>
              <w:rPr>
                <w:rFonts w:ascii="Arial" w:cs="Arial" w:eastAsia="Arial" w:hAnsi="Arial"/>
                <w:sz w:val="20"/>
                <w:szCs w:val="20"/>
                <w:b w:val="1"/>
                <w:bCs w:val="1"/>
                <w:color w:val="auto"/>
                <w:w w:val="98"/>
              </w:rPr>
              <w:t>As Previously</w:t>
            </w:r>
          </w:p>
        </w:tc>
        <w:tc>
          <w:tcPr>
            <w:tcW w:w="140" w:type="dxa"/>
            <w:vAlign w:val="bottom"/>
          </w:tcPr>
          <w:p>
            <w:pPr>
              <w:spacing w:after="0"/>
              <w:rPr>
                <w:sz w:val="15"/>
                <w:szCs w:val="15"/>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Adjustments</w:t>
            </w:r>
          </w:p>
        </w:tc>
        <w:tc>
          <w:tcPr>
            <w:tcW w:w="130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As Corrected</w:t>
            </w:r>
          </w:p>
        </w:tc>
        <w:tc>
          <w:tcPr>
            <w:tcW w:w="0" w:type="dxa"/>
            <w:vAlign w:val="bottom"/>
          </w:tcPr>
          <w:p>
            <w:pPr>
              <w:spacing w:after="0"/>
              <w:rPr>
                <w:sz w:val="1"/>
                <w:szCs w:val="1"/>
                <w:color w:val="auto"/>
              </w:rPr>
            </w:pPr>
          </w:p>
        </w:tc>
      </w:tr>
      <w:tr>
        <w:trPr>
          <w:trHeight w:val="257"/>
        </w:trPr>
        <w:tc>
          <w:tcPr>
            <w:tcW w:w="22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20"/>
                <w:szCs w:val="20"/>
                <w:b w:val="1"/>
                <w:bCs w:val="1"/>
                <w:color w:val="auto"/>
              </w:rPr>
              <w:t>Reported</w:t>
            </w:r>
          </w:p>
        </w:tc>
        <w:tc>
          <w:tcPr>
            <w:tcW w:w="16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38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7"/>
              </w:rPr>
              <w:t>Reported</w:t>
            </w:r>
          </w:p>
        </w:tc>
        <w:tc>
          <w:tcPr>
            <w:tcW w:w="14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23,214</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w:t>
            </w:r>
          </w:p>
        </w:tc>
        <w:tc>
          <w:tcPr>
            <w:tcW w:w="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23,098</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114,154</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3,744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117,898</w:t>
            </w:r>
          </w:p>
        </w:tc>
        <w:tc>
          <w:tcPr>
            <w:tcW w:w="0" w:type="dxa"/>
            <w:vAlign w:val="bottom"/>
          </w:tcPr>
          <w:p>
            <w:pPr>
              <w:spacing w:after="0"/>
              <w:rPr>
                <w:sz w:val="1"/>
                <w:szCs w:val="1"/>
                <w:color w:val="auto"/>
              </w:rPr>
            </w:pPr>
          </w:p>
        </w:tc>
      </w:tr>
      <w:tr>
        <w:trPr>
          <w:trHeight w:val="221"/>
        </w:trPr>
        <w:tc>
          <w:tcPr>
            <w:tcW w:w="2280" w:type="dxa"/>
            <w:vAlign w:val="bottom"/>
          </w:tcPr>
          <w:p>
            <w:pPr>
              <w:ind w:left="20"/>
              <w:spacing w:after="0" w:line="222" w:lineRule="exact"/>
              <w:rPr>
                <w:sz w:val="20"/>
                <w:szCs w:val="20"/>
                <w:color w:val="auto"/>
              </w:rPr>
            </w:pPr>
            <w:r>
              <w:rPr>
                <w:rFonts w:ascii="Arial" w:cs="Arial" w:eastAsia="Arial" w:hAnsi="Arial"/>
                <w:sz w:val="20"/>
                <w:szCs w:val="20"/>
                <w:color w:val="auto"/>
              </w:rPr>
              <w:t>Comprehensive income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280" w:type="dxa"/>
            <w:vAlign w:val="bottom"/>
          </w:tcPr>
          <w:p>
            <w:pPr>
              <w:ind w:left="20"/>
              <w:spacing w:after="0"/>
              <w:rPr>
                <w:sz w:val="20"/>
                <w:szCs w:val="20"/>
                <w:color w:val="auto"/>
              </w:rPr>
            </w:pPr>
            <w:r>
              <w:rPr>
                <w:rFonts w:ascii="Arial" w:cs="Arial" w:eastAsia="Arial" w:hAnsi="Arial"/>
                <w:sz w:val="20"/>
                <w:szCs w:val="20"/>
                <w:color w:val="auto"/>
              </w:rPr>
              <w:t>(loss)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719</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(116)</w:t>
            </w:r>
          </w:p>
        </w:tc>
        <w:tc>
          <w:tcPr>
            <w:tcW w:w="8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603</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129,443</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3,744</w:t>
            </w:r>
          </w:p>
        </w:tc>
        <w:tc>
          <w:tcPr>
            <w:tcW w:w="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133,187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96" w:lineRule="exact"/>
        <w:rPr>
          <w:sz w:val="20"/>
          <w:szCs w:val="20"/>
          <w:color w:val="auto"/>
        </w:rPr>
      </w:pPr>
    </w:p>
    <w:p>
      <w:pPr>
        <w:ind w:right="220"/>
        <w:spacing w:after="0" w:line="284" w:lineRule="auto"/>
        <w:rPr>
          <w:sz w:val="20"/>
          <w:szCs w:val="20"/>
          <w:color w:val="auto"/>
        </w:rPr>
      </w:pPr>
      <w:r>
        <w:rPr>
          <w:rFonts w:ascii="Arial" w:cs="Arial" w:eastAsia="Arial" w:hAnsi="Arial"/>
          <w:sz w:val="20"/>
          <w:szCs w:val="20"/>
          <w:b w:val="1"/>
          <w:bCs w:val="1"/>
          <w:color w:val="auto"/>
        </w:rPr>
        <w:t>Condensed Consolidated Statements of Changes in Redeemable Perpetual Preferred Stock and Stockholders’ Equity (unaudited)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20" w:type="dxa"/>
            <w:vAlign w:val="bottom"/>
            <w:tcBorders>
              <w:bottom w:val="single" w:sz="8" w:color="auto"/>
            </w:tcBorders>
            <w:gridSpan w:val="7"/>
          </w:tcPr>
          <w:p>
            <w:pPr>
              <w:jc w:val="center"/>
              <w:ind w:right="61"/>
              <w:spacing w:after="0"/>
              <w:rPr>
                <w:sz w:val="20"/>
                <w:szCs w:val="20"/>
                <w:color w:val="auto"/>
              </w:rPr>
            </w:pPr>
            <w:r>
              <w:rPr>
                <w:rFonts w:ascii="Arial" w:cs="Arial" w:eastAsia="Arial" w:hAnsi="Arial"/>
                <w:sz w:val="20"/>
                <w:szCs w:val="20"/>
                <w:b w:val="1"/>
                <w:bCs w:val="1"/>
                <w:color w:val="auto"/>
                <w:w w:val="98"/>
              </w:rPr>
              <w:t>Three Months Ended September 30, 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3"/>
            <w:vMerge w:val="restart"/>
          </w:tcPr>
          <w:p>
            <w:pPr>
              <w:spacing w:after="0"/>
              <w:rPr>
                <w:sz w:val="20"/>
                <w:szCs w:val="20"/>
                <w:color w:val="auto"/>
              </w:rPr>
            </w:pPr>
            <w:r>
              <w:rPr>
                <w:rFonts w:ascii="Arial" w:cs="Arial" w:eastAsia="Arial" w:hAnsi="Arial"/>
                <w:sz w:val="20"/>
                <w:szCs w:val="20"/>
                <w:i w:val="1"/>
                <w:iCs w:val="1"/>
                <w:color w:val="auto"/>
              </w:rPr>
              <w:t>(in thousands)</w:t>
            </w:r>
          </w:p>
        </w:tc>
        <w:tc>
          <w:tcPr>
            <w:tcW w:w="140" w:type="dxa"/>
            <w:vAlign w:val="bottom"/>
          </w:tcPr>
          <w:p>
            <w:pPr>
              <w:spacing w:after="0"/>
              <w:rPr>
                <w:sz w:val="15"/>
                <w:szCs w:val="15"/>
                <w:color w:val="auto"/>
              </w:rPr>
            </w:pPr>
          </w:p>
        </w:tc>
        <w:tc>
          <w:tcPr>
            <w:tcW w:w="1920" w:type="dxa"/>
            <w:vAlign w:val="bottom"/>
            <w:gridSpan w:val="2"/>
          </w:tcPr>
          <w:p>
            <w:pPr>
              <w:jc w:val="center"/>
              <w:ind w:right="220"/>
              <w:spacing w:after="0" w:line="183" w:lineRule="exact"/>
              <w:rPr>
                <w:sz w:val="20"/>
                <w:szCs w:val="20"/>
                <w:color w:val="auto"/>
              </w:rPr>
            </w:pPr>
            <w:r>
              <w:rPr>
                <w:rFonts w:ascii="Arial" w:cs="Arial" w:eastAsia="Arial" w:hAnsi="Arial"/>
                <w:sz w:val="20"/>
                <w:szCs w:val="20"/>
                <w:b w:val="1"/>
                <w:bCs w:val="1"/>
                <w:color w:val="auto"/>
                <w:w w:val="99"/>
              </w:rPr>
              <w:t>Additional Paid-In</w:t>
            </w:r>
          </w:p>
        </w:tc>
        <w:tc>
          <w:tcPr>
            <w:tcW w:w="2080" w:type="dxa"/>
            <w:vAlign w:val="bottom"/>
            <w:gridSpan w:val="3"/>
            <w:vMerge w:val="restart"/>
          </w:tcPr>
          <w:p>
            <w:pPr>
              <w:jc w:val="center"/>
              <w:ind w:right="60"/>
              <w:spacing w:after="0"/>
              <w:rPr>
                <w:sz w:val="20"/>
                <w:szCs w:val="20"/>
                <w:color w:val="auto"/>
              </w:rPr>
            </w:pPr>
            <w:r>
              <w:rPr>
                <w:rFonts w:ascii="Arial" w:cs="Arial" w:eastAsia="Arial" w:hAnsi="Arial"/>
                <w:sz w:val="20"/>
                <w:szCs w:val="20"/>
                <w:b w:val="1"/>
                <w:bCs w:val="1"/>
                <w:color w:val="auto"/>
                <w:w w:val="98"/>
              </w:rPr>
              <w:t>Accumulated Deficit</w:t>
            </w:r>
          </w:p>
        </w:tc>
        <w:tc>
          <w:tcPr>
            <w:tcW w:w="2020" w:type="dxa"/>
            <w:vAlign w:val="bottom"/>
            <w:gridSpan w:val="2"/>
          </w:tcPr>
          <w:p>
            <w:pPr>
              <w:jc w:val="right"/>
              <w:ind w:right="1"/>
              <w:spacing w:after="0" w:line="183" w:lineRule="exact"/>
              <w:rPr>
                <w:sz w:val="20"/>
                <w:szCs w:val="20"/>
                <w:color w:val="auto"/>
              </w:rPr>
            </w:pPr>
            <w:r>
              <w:rPr>
                <w:rFonts w:ascii="Arial" w:cs="Arial" w:eastAsia="Arial" w:hAnsi="Arial"/>
                <w:sz w:val="20"/>
                <w:szCs w:val="20"/>
                <w:b w:val="1"/>
                <w:bCs w:val="1"/>
                <w:color w:val="auto"/>
              </w:rPr>
              <w:t>Total Stockholders’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gridSpan w:val="3"/>
            <w:vMerge w:val="continue"/>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8"/>
              </w:rPr>
              <w:t>Capital</w:t>
            </w:r>
          </w:p>
        </w:tc>
        <w:tc>
          <w:tcPr>
            <w:tcW w:w="2080" w:type="dxa"/>
            <w:vAlign w:val="bottom"/>
            <w:gridSpan w:val="3"/>
            <w:vMerge w:val="continue"/>
          </w:tcPr>
          <w:p>
            <w:pPr>
              <w:spacing w:after="0"/>
              <w:rPr>
                <w:sz w:val="22"/>
                <w:szCs w:val="22"/>
                <w:color w:val="auto"/>
              </w:rPr>
            </w:pPr>
          </w:p>
        </w:tc>
        <w:tc>
          <w:tcPr>
            <w:tcW w:w="420" w:type="dxa"/>
            <w:vAlign w:val="bottom"/>
          </w:tcPr>
          <w:p>
            <w:pPr>
              <w:spacing w:after="0"/>
              <w:rPr>
                <w:sz w:val="22"/>
                <w:szCs w:val="22"/>
                <w:color w:val="auto"/>
              </w:rPr>
            </w:pPr>
          </w:p>
        </w:tc>
        <w:tc>
          <w:tcPr>
            <w:tcW w:w="1600" w:type="dxa"/>
            <w:vAlign w:val="bottom"/>
          </w:tcPr>
          <w:p>
            <w:pPr>
              <w:jc w:val="right"/>
              <w:ind w:right="601"/>
              <w:spacing w:after="0"/>
              <w:rPr>
                <w:sz w:val="20"/>
                <w:szCs w:val="20"/>
                <w:color w:val="auto"/>
              </w:rPr>
            </w:pPr>
            <w:r>
              <w:rPr>
                <w:rFonts w:ascii="Arial" w:cs="Arial" w:eastAsia="Arial" w:hAnsi="Arial"/>
                <w:sz w:val="20"/>
                <w:szCs w:val="20"/>
                <w:b w:val="1"/>
                <w:bCs w:val="1"/>
                <w:color w:val="auto"/>
              </w:rPr>
              <w:t>Equity</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CCEEFF"/>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20"/>
                <w:szCs w:val="20"/>
                <w:b w:val="1"/>
                <w:bCs w:val="1"/>
                <w:color w:val="auto"/>
                <w:w w:val="98"/>
              </w:rPr>
              <w:t>As Previously Reported</w:t>
            </w:r>
          </w:p>
        </w:tc>
        <w:tc>
          <w:tcPr>
            <w:tcW w:w="28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0"/>
                <w:szCs w:val="20"/>
                <w:color w:val="auto"/>
              </w:rPr>
              <w:t>Balance at June 30, 2023</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40" w:type="dxa"/>
            <w:vAlign w:val="bottom"/>
          </w:tcPr>
          <w:p>
            <w:pPr>
              <w:jc w:val="right"/>
              <w:spacing w:after="0"/>
              <w:rPr>
                <w:sz w:val="20"/>
                <w:szCs w:val="20"/>
                <w:color w:val="auto"/>
              </w:rPr>
            </w:pPr>
            <w:r>
              <w:rPr>
                <w:rFonts w:ascii="Arial" w:cs="Arial" w:eastAsia="Arial" w:hAnsi="Arial"/>
                <w:sz w:val="20"/>
                <w:szCs w:val="20"/>
                <w:color w:val="auto"/>
              </w:rPr>
              <w:t>417,624</w:t>
            </w:r>
          </w:p>
        </w:tc>
        <w:tc>
          <w:tcPr>
            <w:tcW w:w="80" w:type="dxa"/>
            <w:vAlign w:val="bottom"/>
          </w:tcPr>
          <w:p>
            <w:pPr>
              <w:spacing w:after="0"/>
              <w:rPr>
                <w:sz w:val="24"/>
                <w:szCs w:val="24"/>
                <w:color w:val="auto"/>
              </w:rPr>
            </w:pPr>
          </w:p>
        </w:tc>
        <w:tc>
          <w:tcPr>
            <w:tcW w:w="64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(176,530)</w:t>
            </w:r>
          </w:p>
        </w:tc>
        <w:tc>
          <w:tcPr>
            <w:tcW w:w="80" w:type="dxa"/>
            <w:vAlign w:val="bottom"/>
          </w:tcPr>
          <w:p>
            <w:pPr>
              <w:spacing w:after="0"/>
              <w:rPr>
                <w:sz w:val="24"/>
                <w:szCs w:val="24"/>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287,454</w:t>
            </w:r>
          </w:p>
        </w:tc>
        <w:tc>
          <w:tcPr>
            <w:tcW w:w="0" w:type="dxa"/>
            <w:vAlign w:val="bottom"/>
          </w:tcPr>
          <w:p>
            <w:pPr>
              <w:spacing w:after="0"/>
              <w:rPr>
                <w:sz w:val="1"/>
                <w:szCs w:val="1"/>
                <w:color w:val="auto"/>
              </w:rPr>
            </w:pPr>
          </w:p>
        </w:tc>
      </w:tr>
      <w:tr>
        <w:trPr>
          <w:trHeight w:val="285"/>
        </w:trPr>
        <w:tc>
          <w:tcPr>
            <w:tcW w:w="20" w:type="dxa"/>
            <w:vAlign w:val="bottom"/>
            <w:shd w:val="clear" w:color="auto" w:fill="CCEEFF"/>
          </w:tcPr>
          <w:p>
            <w:pPr>
              <w:spacing w:after="0"/>
              <w:rPr>
                <w:sz w:val="24"/>
                <w:szCs w:val="24"/>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Net income</w:t>
            </w:r>
          </w:p>
        </w:tc>
        <w:tc>
          <w:tcPr>
            <w:tcW w:w="14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23,214</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23,214</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0"/>
                <w:szCs w:val="20"/>
                <w:color w:val="auto"/>
              </w:rPr>
              <w:t>Balance at September 30, 2023</w:t>
            </w:r>
          </w:p>
        </w:tc>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407,916</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(153,316)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278,465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spacing w:after="0" w:line="218" w:lineRule="exact"/>
              <w:rPr>
                <w:sz w:val="20"/>
                <w:szCs w:val="20"/>
                <w:color w:val="auto"/>
              </w:rPr>
            </w:pPr>
            <w:r>
              <w:rPr>
                <w:rFonts w:ascii="Arial" w:cs="Arial" w:eastAsia="Arial" w:hAnsi="Arial"/>
                <w:sz w:val="20"/>
                <w:szCs w:val="20"/>
                <w:b w:val="1"/>
                <w:bCs w:val="1"/>
                <w:color w:val="auto"/>
              </w:rPr>
              <w:t>Adjustments</w:t>
            </w: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Arial" w:cs="Arial" w:eastAsia="Arial" w:hAnsi="Arial"/>
          <w:sz w:val="20"/>
          <w:szCs w:val="20"/>
          <w:color w:val="auto"/>
        </w:rPr>
        <w:t>Balance at June 30, 2023</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loss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As Corrected</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Balance at June 30, 2023</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income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Balance at September 30, 2023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(in thousands)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As Previously Reported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4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(52,914)</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3,860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(49,054)</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(116)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567"/>
        </w:trPr>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364,710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(172,670)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238,400</w:t>
            </w:r>
          </w:p>
        </w:tc>
        <w:tc>
          <w:tcPr>
            <w:tcW w:w="0" w:type="dxa"/>
            <w:vAlign w:val="bottom"/>
          </w:tcPr>
          <w:p>
            <w:pPr>
              <w:spacing w:after="0"/>
              <w:rPr>
                <w:sz w:val="1"/>
                <w:szCs w:val="1"/>
                <w:color w:val="auto"/>
              </w:rPr>
            </w:pPr>
          </w:p>
        </w:tc>
      </w:tr>
      <w:tr>
        <w:trPr>
          <w:trHeight w:val="284"/>
        </w:trPr>
        <w:tc>
          <w:tcPr>
            <w:tcW w:w="140" w:type="dxa"/>
            <w:vAlign w:val="bottom"/>
          </w:tcPr>
          <w:p>
            <w:pPr>
              <w:spacing w:after="0"/>
              <w:rPr>
                <w:sz w:val="24"/>
                <w:szCs w:val="24"/>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23,098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23,098</w:t>
            </w:r>
          </w:p>
        </w:tc>
        <w:tc>
          <w:tcPr>
            <w:tcW w:w="0" w:type="dxa"/>
            <w:vAlign w:val="bottom"/>
          </w:tcPr>
          <w:p>
            <w:pPr>
              <w:spacing w:after="0"/>
              <w:rPr>
                <w:sz w:val="1"/>
                <w:szCs w:val="1"/>
                <w:color w:val="auto"/>
              </w:rPr>
            </w:pPr>
          </w:p>
        </w:tc>
      </w:tr>
      <w:tr>
        <w:trPr>
          <w:trHeight w:val="283"/>
        </w:trPr>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40" w:type="dxa"/>
            <w:vAlign w:val="bottom"/>
          </w:tcPr>
          <w:p>
            <w:pPr>
              <w:jc w:val="right"/>
              <w:spacing w:after="0"/>
              <w:rPr>
                <w:sz w:val="20"/>
                <w:szCs w:val="20"/>
                <w:color w:val="auto"/>
              </w:rPr>
            </w:pPr>
            <w:r>
              <w:rPr>
                <w:rFonts w:ascii="Arial" w:cs="Arial" w:eastAsia="Arial" w:hAnsi="Arial"/>
                <w:sz w:val="20"/>
                <w:szCs w:val="20"/>
                <w:color w:val="auto"/>
              </w:rPr>
              <w:t>355,002</w:t>
            </w:r>
          </w:p>
        </w:tc>
        <w:tc>
          <w:tcPr>
            <w:tcW w:w="80" w:type="dxa"/>
            <w:vAlign w:val="bottom"/>
          </w:tcPr>
          <w:p>
            <w:pPr>
              <w:spacing w:after="0"/>
              <w:rPr>
                <w:sz w:val="24"/>
                <w:szCs w:val="24"/>
                <w:color w:val="auto"/>
              </w:rPr>
            </w:pPr>
          </w:p>
        </w:tc>
        <w:tc>
          <w:tcPr>
            <w:tcW w:w="64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(149,572)</w:t>
            </w:r>
          </w:p>
        </w:tc>
        <w:tc>
          <w:tcPr>
            <w:tcW w:w="80" w:type="dxa"/>
            <w:vAlign w:val="bottom"/>
          </w:tcPr>
          <w:p>
            <w:pPr>
              <w:spacing w:after="0"/>
              <w:rPr>
                <w:sz w:val="24"/>
                <w:szCs w:val="24"/>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229,295</w:t>
            </w:r>
          </w:p>
        </w:tc>
        <w:tc>
          <w:tcPr>
            <w:tcW w:w="0" w:type="dxa"/>
            <w:vAlign w:val="bottom"/>
          </w:tcPr>
          <w:p>
            <w:pPr>
              <w:spacing w:after="0"/>
              <w:rPr>
                <w:sz w:val="1"/>
                <w:szCs w:val="1"/>
                <w:color w:val="auto"/>
              </w:rPr>
            </w:pPr>
          </w:p>
        </w:tc>
      </w:tr>
      <w:tr>
        <w:trPr>
          <w:trHeight w:val="476"/>
        </w:trPr>
        <w:tc>
          <w:tcPr>
            <w:tcW w:w="1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7"/>
          </w:tcPr>
          <w:p>
            <w:pPr>
              <w:jc w:val="right"/>
              <w:ind w:right="1101"/>
              <w:spacing w:after="0"/>
              <w:rPr>
                <w:sz w:val="20"/>
                <w:szCs w:val="20"/>
                <w:color w:val="auto"/>
              </w:rPr>
            </w:pPr>
            <w:r>
              <w:rPr>
                <w:rFonts w:ascii="Arial" w:cs="Arial" w:eastAsia="Arial" w:hAnsi="Arial"/>
                <w:sz w:val="20"/>
                <w:szCs w:val="20"/>
                <w:b w:val="1"/>
                <w:bCs w:val="1"/>
                <w:color w:val="auto"/>
              </w:rPr>
              <w:t>Nine Months Ended September 30, 2023</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20"/>
                <w:szCs w:val="20"/>
                <w:b w:val="1"/>
                <w:bCs w:val="1"/>
                <w:color w:val="auto"/>
              </w:rPr>
              <w:t>Additional Paid-In</w:t>
            </w:r>
          </w:p>
        </w:tc>
        <w:tc>
          <w:tcPr>
            <w:tcW w:w="20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Accumulated Deficit</w:t>
            </w:r>
          </w:p>
        </w:tc>
        <w:tc>
          <w:tcPr>
            <w:tcW w:w="80" w:type="dxa"/>
            <w:vAlign w:val="bottom"/>
            <w:vMerge w:val="restart"/>
          </w:tcPr>
          <w:p>
            <w:pPr>
              <w:spacing w:after="0"/>
              <w:rPr>
                <w:sz w:val="16"/>
                <w:szCs w:val="16"/>
                <w:color w:val="auto"/>
              </w:rPr>
            </w:pPr>
          </w:p>
        </w:tc>
        <w:tc>
          <w:tcPr>
            <w:tcW w:w="2020" w:type="dxa"/>
            <w:vAlign w:val="bottom"/>
            <w:gridSpan w:val="2"/>
          </w:tcPr>
          <w:p>
            <w:pPr>
              <w:jc w:val="right"/>
              <w:ind w:right="1"/>
              <w:spacing w:after="0" w:line="185" w:lineRule="exact"/>
              <w:rPr>
                <w:sz w:val="20"/>
                <w:szCs w:val="20"/>
                <w:color w:val="auto"/>
              </w:rPr>
            </w:pPr>
            <w:r>
              <w:rPr>
                <w:rFonts w:ascii="Arial" w:cs="Arial" w:eastAsia="Arial" w:hAnsi="Arial"/>
                <w:sz w:val="20"/>
                <w:szCs w:val="20"/>
                <w:b w:val="1"/>
                <w:bCs w:val="1"/>
                <w:color w:val="auto"/>
              </w:rPr>
              <w:t>Total Stockholders’</w:t>
            </w:r>
          </w:p>
        </w:tc>
        <w:tc>
          <w:tcPr>
            <w:tcW w:w="0" w:type="dxa"/>
            <w:vAlign w:val="bottom"/>
          </w:tcPr>
          <w:p>
            <w:pPr>
              <w:spacing w:after="0"/>
              <w:rPr>
                <w:sz w:val="1"/>
                <w:szCs w:val="1"/>
                <w:color w:val="auto"/>
              </w:rPr>
            </w:pPr>
          </w:p>
        </w:tc>
      </w:tr>
      <w:tr>
        <w:trPr>
          <w:trHeight w:val="253"/>
        </w:trPr>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Capital</w:t>
            </w:r>
          </w:p>
        </w:tc>
        <w:tc>
          <w:tcPr>
            <w:tcW w:w="80" w:type="dxa"/>
            <w:vAlign w:val="bottom"/>
          </w:tcPr>
          <w:p>
            <w:pPr>
              <w:spacing w:after="0"/>
              <w:rPr>
                <w:sz w:val="22"/>
                <w:szCs w:val="22"/>
                <w:color w:val="auto"/>
              </w:rPr>
            </w:pPr>
          </w:p>
        </w:tc>
        <w:tc>
          <w:tcPr>
            <w:tcW w:w="2000" w:type="dxa"/>
            <w:vAlign w:val="bottom"/>
            <w:tcBorders>
              <w:bottom w:val="single" w:sz="8" w:color="auto"/>
            </w:tcBorders>
            <w:gridSpan w:val="2"/>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-1499235</wp:posOffset>
            </wp:positionV>
            <wp:extent cx="713232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-1139190</wp:posOffset>
            </wp:positionV>
            <wp:extent cx="713232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-779145</wp:posOffset>
            </wp:positionV>
            <wp:extent cx="713232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-7620</wp:posOffset>
            </wp:positionV>
            <wp:extent cx="713232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4360" w:space="720"/>
            <w:col w:w="61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2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20"/>
                <w:szCs w:val="20"/>
                <w:color w:val="auto"/>
              </w:rPr>
              <w:t>Balance at December 31, 2022</w:t>
            </w:r>
          </w:p>
        </w:tc>
        <w:tc>
          <w:tcPr>
            <w:tcW w:w="90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383,176</w:t>
            </w:r>
          </w:p>
        </w:tc>
        <w:tc>
          <w:tcPr>
            <w:tcW w:w="68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(267,470)</w:t>
            </w:r>
          </w:p>
        </w:tc>
        <w:tc>
          <w:tcPr>
            <w:tcW w:w="72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124,281</w:t>
            </w:r>
          </w:p>
        </w:tc>
      </w:tr>
      <w:tr>
        <w:trPr>
          <w:trHeight w:val="285"/>
        </w:trPr>
        <w:tc>
          <w:tcPr>
            <w:tcW w:w="20" w:type="dxa"/>
            <w:vAlign w:val="bottom"/>
            <w:shd w:val="clear" w:color="auto" w:fill="CCEEFF"/>
          </w:tcPr>
          <w:p>
            <w:pPr>
              <w:spacing w:after="0"/>
              <w:rPr>
                <w:sz w:val="24"/>
                <w:szCs w:val="24"/>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Correction of the Capped Call and Put Option errors</w:t>
            </w:r>
          </w:p>
        </w:tc>
        <w:tc>
          <w:tcPr>
            <w:tcW w:w="9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52,914</w:t>
            </w:r>
          </w:p>
        </w:tc>
        <w:tc>
          <w:tcPr>
            <w:tcW w:w="6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52,914</w:t>
            </w:r>
          </w:p>
        </w:tc>
      </w:tr>
      <w:tr>
        <w:trPr>
          <w:trHeight w:val="282"/>
        </w:trPr>
        <w:tc>
          <w:tcPr>
            <w:tcW w:w="2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20"/>
                <w:szCs w:val="20"/>
                <w:color w:val="auto"/>
              </w:rPr>
              <w:t>Net income</w:t>
            </w:r>
          </w:p>
        </w:tc>
        <w:tc>
          <w:tcPr>
            <w:tcW w:w="900" w:type="dxa"/>
            <w:vAlign w:val="bottom"/>
          </w:tcPr>
          <w:p>
            <w:pPr>
              <w:spacing w:after="0"/>
              <w:rPr>
                <w:sz w:val="24"/>
                <w:szCs w:val="24"/>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680" w:type="dxa"/>
            <w:vAlign w:val="bottom"/>
          </w:tcPr>
          <w:p>
            <w:pPr>
              <w:spacing w:after="0"/>
              <w:rPr>
                <w:sz w:val="24"/>
                <w:szCs w:val="24"/>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114,154</w:t>
            </w:r>
          </w:p>
        </w:tc>
        <w:tc>
          <w:tcPr>
            <w:tcW w:w="7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114,154</w:t>
            </w:r>
          </w:p>
        </w:tc>
      </w:tr>
      <w:tr>
        <w:trPr>
          <w:trHeight w:val="285"/>
        </w:trPr>
        <w:tc>
          <w:tcPr>
            <w:tcW w:w="20" w:type="dxa"/>
            <w:vAlign w:val="bottom"/>
            <w:shd w:val="clear" w:color="auto" w:fill="CCEEFF"/>
          </w:tcPr>
          <w:p>
            <w:pPr>
              <w:spacing w:after="0"/>
              <w:rPr>
                <w:sz w:val="24"/>
                <w:szCs w:val="24"/>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Balance at September 30, 2023</w:t>
            </w:r>
          </w:p>
        </w:tc>
        <w:tc>
          <w:tcPr>
            <w:tcW w:w="9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407,916</w:t>
            </w:r>
          </w:p>
        </w:tc>
        <w:tc>
          <w:tcPr>
            <w:tcW w:w="6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(153,316)</w:t>
            </w:r>
          </w:p>
        </w:tc>
        <w:tc>
          <w:tcPr>
            <w:tcW w:w="7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278,465</w:t>
            </w: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line="216" w:lineRule="exact"/>
              <w:rPr>
                <w:sz w:val="20"/>
                <w:szCs w:val="20"/>
                <w:color w:val="auto"/>
              </w:rPr>
            </w:pPr>
            <w:r>
              <w:rPr>
                <w:rFonts w:ascii="Arial" w:cs="Arial" w:eastAsia="Arial" w:hAnsi="Arial"/>
                <w:sz w:val="20"/>
                <w:szCs w:val="20"/>
                <w:b w:val="1"/>
                <w:bCs w:val="1"/>
                <w:color w:val="auto"/>
              </w:rPr>
              <w:t>Adjustments</w:t>
            </w: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83"/>
        </w:trPr>
        <w:tc>
          <w:tcPr>
            <w:tcW w:w="20" w:type="dxa"/>
            <w:vAlign w:val="bottom"/>
            <w:shd w:val="clear" w:color="auto" w:fill="CCEEFF"/>
          </w:tcPr>
          <w:p>
            <w:pPr>
              <w:spacing w:after="0"/>
              <w:rPr>
                <w:sz w:val="24"/>
                <w:szCs w:val="24"/>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Correction of the Capped Call and Put Option errors</w:t>
            </w:r>
          </w:p>
        </w:tc>
        <w:tc>
          <w:tcPr>
            <w:tcW w:w="9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(52,914)</w:t>
            </w:r>
          </w:p>
        </w:tc>
        <w:tc>
          <w:tcPr>
            <w:tcW w:w="6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(52,914)</w:t>
            </w:r>
          </w:p>
        </w:tc>
      </w:tr>
      <w:tr>
        <w:trPr>
          <w:trHeight w:val="282"/>
        </w:trPr>
        <w:tc>
          <w:tcPr>
            <w:tcW w:w="2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20"/>
                <w:szCs w:val="20"/>
                <w:color w:val="auto"/>
              </w:rPr>
              <w:t>Net income</w:t>
            </w:r>
          </w:p>
        </w:tc>
        <w:tc>
          <w:tcPr>
            <w:tcW w:w="900" w:type="dxa"/>
            <w:vAlign w:val="bottom"/>
          </w:tcPr>
          <w:p>
            <w:pPr>
              <w:spacing w:after="0"/>
              <w:rPr>
                <w:sz w:val="24"/>
                <w:szCs w:val="24"/>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680" w:type="dxa"/>
            <w:vAlign w:val="bottom"/>
          </w:tcPr>
          <w:p>
            <w:pPr>
              <w:spacing w:after="0"/>
              <w:rPr>
                <w:sz w:val="24"/>
                <w:szCs w:val="24"/>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3,744</w:t>
            </w:r>
          </w:p>
        </w:tc>
        <w:tc>
          <w:tcPr>
            <w:tcW w:w="7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3,744</w:t>
            </w:r>
          </w:p>
        </w:tc>
      </w:tr>
      <w:tr>
        <w:trPr>
          <w:trHeight w:val="218"/>
        </w:trPr>
        <w:tc>
          <w:tcPr>
            <w:tcW w:w="2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spacing w:after="0" w:line="218" w:lineRule="exact"/>
              <w:rPr>
                <w:sz w:val="20"/>
                <w:szCs w:val="20"/>
                <w:color w:val="auto"/>
              </w:rPr>
            </w:pPr>
            <w:r>
              <w:rPr>
                <w:rFonts w:ascii="Arial" w:cs="Arial" w:eastAsia="Arial" w:hAnsi="Arial"/>
                <w:sz w:val="20"/>
                <w:szCs w:val="20"/>
                <w:b w:val="1"/>
                <w:bCs w:val="1"/>
                <w:color w:val="auto"/>
              </w:rPr>
              <w:t>As Corrected</w:t>
            </w: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5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r>
      <w:tr>
        <w:trPr>
          <w:trHeight w:val="282"/>
        </w:trPr>
        <w:tc>
          <w:tcPr>
            <w:tcW w:w="2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20"/>
                <w:szCs w:val="20"/>
                <w:color w:val="auto"/>
              </w:rPr>
              <w:t>Balance at December 31, 2022</w:t>
            </w:r>
          </w:p>
        </w:tc>
        <w:tc>
          <w:tcPr>
            <w:tcW w:w="900" w:type="dxa"/>
            <w:vAlign w:val="bottom"/>
          </w:tcPr>
          <w:p>
            <w:pPr>
              <w:spacing w:after="0"/>
              <w:rPr>
                <w:sz w:val="24"/>
                <w:szCs w:val="24"/>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383,176</w:t>
            </w:r>
          </w:p>
        </w:tc>
        <w:tc>
          <w:tcPr>
            <w:tcW w:w="6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(267,470)</w:t>
            </w:r>
          </w:p>
        </w:tc>
        <w:tc>
          <w:tcPr>
            <w:tcW w:w="7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124,281</w:t>
            </w:r>
          </w:p>
        </w:tc>
      </w:tr>
      <w:tr>
        <w:trPr>
          <w:trHeight w:val="285"/>
        </w:trPr>
        <w:tc>
          <w:tcPr>
            <w:tcW w:w="20" w:type="dxa"/>
            <w:vAlign w:val="bottom"/>
            <w:shd w:val="clear" w:color="auto" w:fill="CCEEFF"/>
          </w:tcPr>
          <w:p>
            <w:pPr>
              <w:spacing w:after="0"/>
              <w:rPr>
                <w:sz w:val="24"/>
                <w:szCs w:val="24"/>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Correction of the Capped Call and Put Option errors</w:t>
            </w:r>
          </w:p>
        </w:tc>
        <w:tc>
          <w:tcPr>
            <w:tcW w:w="9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2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20"/>
                <w:szCs w:val="20"/>
                <w:color w:val="auto"/>
              </w:rPr>
              <w:t>Net income</w:t>
            </w:r>
          </w:p>
        </w:tc>
        <w:tc>
          <w:tcPr>
            <w:tcW w:w="900" w:type="dxa"/>
            <w:vAlign w:val="bottom"/>
          </w:tcPr>
          <w:p>
            <w:pPr>
              <w:spacing w:after="0"/>
              <w:rPr>
                <w:sz w:val="24"/>
                <w:szCs w:val="24"/>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680" w:type="dxa"/>
            <w:vAlign w:val="bottom"/>
          </w:tcPr>
          <w:p>
            <w:pPr>
              <w:spacing w:after="0"/>
              <w:rPr>
                <w:sz w:val="24"/>
                <w:szCs w:val="24"/>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117,898</w:t>
            </w:r>
          </w:p>
        </w:tc>
        <w:tc>
          <w:tcPr>
            <w:tcW w:w="7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117,898</w:t>
            </w:r>
          </w:p>
        </w:tc>
      </w:tr>
      <w:tr>
        <w:trPr>
          <w:trHeight w:val="285"/>
        </w:trPr>
        <w:tc>
          <w:tcPr>
            <w:tcW w:w="20" w:type="dxa"/>
            <w:vAlign w:val="bottom"/>
            <w:shd w:val="clear" w:color="auto" w:fill="CCEEFF"/>
          </w:tcPr>
          <w:p>
            <w:pPr>
              <w:spacing w:after="0"/>
              <w:rPr>
                <w:sz w:val="24"/>
                <w:szCs w:val="24"/>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Balance at September 30, 2023</w:t>
            </w:r>
          </w:p>
        </w:tc>
        <w:tc>
          <w:tcPr>
            <w:tcW w:w="90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355,002</w:t>
            </w:r>
          </w:p>
        </w:tc>
        <w:tc>
          <w:tcPr>
            <w:tcW w:w="680" w:type="dxa"/>
            <w:vAlign w:val="bottom"/>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(149,572)</w:t>
            </w:r>
          </w:p>
        </w:tc>
        <w:tc>
          <w:tcPr>
            <w:tcW w:w="72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229,295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148" w:lineRule="exact"/>
        <w:rPr>
          <w:sz w:val="20"/>
          <w:szCs w:val="20"/>
          <w:color w:val="auto"/>
        </w:rPr>
      </w:pPr>
    </w:p>
    <w:p>
      <w:pPr>
        <w:jc w:val="right"/>
        <w:ind w:right="1200"/>
        <w:spacing w:after="0"/>
        <w:rPr>
          <w:sz w:val="20"/>
          <w:szCs w:val="20"/>
          <w:color w:val="auto"/>
        </w:rPr>
      </w:pPr>
      <w:r>
        <w:rPr>
          <w:rFonts w:ascii="Arial" w:cs="Arial" w:eastAsia="Arial" w:hAnsi="Arial"/>
          <w:sz w:val="20"/>
          <w:szCs w:val="20"/>
          <w:b w:val="1"/>
          <w:bCs w:val="1"/>
          <w:color w:val="auto"/>
        </w:rPr>
        <w:t>Nine Months Ended September 30, 2023</w:t>
      </w:r>
    </w:p>
    <w:p>
      <w:pPr>
        <w:sectPr>
          <w:pgSz w:w="11900" w:h="16838" w:orient="portrait"/>
          <w:cols w:equalWidth="0" w:num="1">
            <w:col w:w="11240"/>
          </w:cols>
          <w:pgMar w:left="320" w:top="1440" w:right="339" w:bottom="1440" w:gutter="0" w:footer="0" w:header="0"/>
        </w:sect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(in thousands)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income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Deferred tax expense (benefit)</w:t>
      </w:r>
    </w:p>
    <w:p>
      <w:pPr>
        <w:spacing w:after="0" w:line="54" w:lineRule="exact"/>
        <w:rPr>
          <w:sz w:val="20"/>
          <w:szCs w:val="20"/>
          <w:color w:val="auto"/>
        </w:rPr>
      </w:pPr>
    </w:p>
    <w:p>
      <w:pPr>
        <w:ind w:left="20" w:right="820"/>
        <w:spacing w:after="0" w:line="328" w:lineRule="auto"/>
        <w:rPr>
          <w:sz w:val="20"/>
          <w:szCs w:val="20"/>
          <w:color w:val="auto"/>
        </w:rPr>
      </w:pPr>
      <w:r>
        <w:rPr>
          <w:rFonts w:ascii="Arial" w:cs="Arial" w:eastAsia="Arial" w:hAnsi="Arial"/>
          <w:sz w:val="20"/>
          <w:szCs w:val="20"/>
          <w:color w:val="auto"/>
        </w:rPr>
        <w:t>Change in fair value of derivative assets Income tax payable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jc w:val="center"/>
              <w:ind w:right="320"/>
              <w:spacing w:after="0" w:line="185" w:lineRule="exact"/>
              <w:rPr>
                <w:sz w:val="20"/>
                <w:szCs w:val="20"/>
                <w:color w:val="auto"/>
              </w:rPr>
            </w:pPr>
            <w:r>
              <w:rPr>
                <w:rFonts w:ascii="Arial" w:cs="Arial" w:eastAsia="Arial" w:hAnsi="Arial"/>
                <w:sz w:val="20"/>
                <w:szCs w:val="20"/>
                <w:b w:val="1"/>
                <w:bCs w:val="1"/>
                <w:color w:val="auto"/>
                <w:w w:val="99"/>
              </w:rPr>
              <w:t>As Previously</w:t>
            </w:r>
          </w:p>
        </w:tc>
        <w:tc>
          <w:tcPr>
            <w:tcW w:w="2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20"/>
                <w:szCs w:val="20"/>
                <w:b w:val="1"/>
                <w:bCs w:val="1"/>
                <w:color w:val="auto"/>
              </w:rPr>
              <w:t>Adjustments</w:t>
            </w:r>
          </w:p>
        </w:tc>
        <w:tc>
          <w:tcPr>
            <w:tcW w:w="2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vMerge w:val="restart"/>
          </w:tcPr>
          <w:p>
            <w:pPr>
              <w:jc w:val="right"/>
              <w:ind w:right="281"/>
              <w:spacing w:after="0"/>
              <w:rPr>
                <w:sz w:val="20"/>
                <w:szCs w:val="20"/>
                <w:color w:val="auto"/>
              </w:rPr>
            </w:pPr>
            <w:r>
              <w:rPr>
                <w:rFonts w:ascii="Arial" w:cs="Arial" w:eastAsia="Arial" w:hAnsi="Arial"/>
                <w:sz w:val="20"/>
                <w:szCs w:val="20"/>
                <w:b w:val="1"/>
                <w:bCs w:val="1"/>
                <w:color w:val="auto"/>
              </w:rPr>
              <w:t>As Corrected</w:t>
            </w: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rPr>
              <w:t>Reported</w:t>
            </w:r>
          </w:p>
        </w:tc>
        <w:tc>
          <w:tcPr>
            <w:tcW w:w="260" w:type="dxa"/>
            <w:vAlign w:val="bottom"/>
          </w:tcPr>
          <w:p>
            <w:pPr>
              <w:spacing w:after="0"/>
              <w:rPr>
                <w:sz w:val="22"/>
                <w:szCs w:val="22"/>
                <w:color w:val="auto"/>
              </w:rPr>
            </w:pPr>
          </w:p>
        </w:tc>
        <w:tc>
          <w:tcPr>
            <w:tcW w:w="18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114,154</w:t>
            </w:r>
          </w:p>
        </w:tc>
        <w:tc>
          <w:tcPr>
            <w:tcW w:w="80" w:type="dxa"/>
            <w:vAlign w:val="bottom"/>
          </w:tcPr>
          <w:p>
            <w:pPr>
              <w:spacing w:after="0"/>
              <w:rPr>
                <w:sz w:val="22"/>
                <w:szCs w:val="22"/>
                <w:color w:val="auto"/>
              </w:rPr>
            </w:pPr>
          </w:p>
        </w:tc>
        <w:tc>
          <w:tcPr>
            <w:tcW w:w="2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3,744</w:t>
            </w:r>
          </w:p>
        </w:tc>
        <w:tc>
          <w:tcPr>
            <w:tcW w:w="80" w:type="dxa"/>
            <w:vAlign w:val="bottom"/>
          </w:tcPr>
          <w:p>
            <w:pPr>
              <w:spacing w:after="0"/>
              <w:rPr>
                <w:sz w:val="22"/>
                <w:szCs w:val="22"/>
                <w:color w:val="auto"/>
              </w:rPr>
            </w:pPr>
          </w:p>
        </w:tc>
        <w:tc>
          <w:tcPr>
            <w:tcW w:w="2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117,898</w:t>
            </w:r>
          </w:p>
        </w:tc>
        <w:tc>
          <w:tcPr>
            <w:tcW w:w="0" w:type="dxa"/>
            <w:vAlign w:val="bottom"/>
          </w:tcPr>
          <w:p>
            <w:pPr>
              <w:spacing w:after="0"/>
              <w:rPr>
                <w:sz w:val="1"/>
                <w:szCs w:val="1"/>
                <w:color w:val="auto"/>
              </w:rPr>
            </w:pPr>
          </w:p>
        </w:tc>
      </w:tr>
      <w:tr>
        <w:trPr>
          <w:trHeight w:val="283"/>
        </w:trPr>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284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(2,612)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(2,328)</w:t>
            </w:r>
          </w:p>
        </w:tc>
        <w:tc>
          <w:tcPr>
            <w:tcW w:w="0" w:type="dxa"/>
            <w:vAlign w:val="bottom"/>
          </w:tcPr>
          <w:p>
            <w:pPr>
              <w:spacing w:after="0"/>
              <w:rPr>
                <w:sz w:val="1"/>
                <w:szCs w:val="1"/>
                <w:color w:val="auto"/>
              </w:rPr>
            </w:pPr>
          </w:p>
        </w:tc>
      </w:tr>
      <w:tr>
        <w:trPr>
          <w:trHeight w:val="283"/>
        </w:trPr>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1,140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(1,140)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(738)</w:t>
            </w:r>
          </w:p>
        </w:tc>
        <w:tc>
          <w:tcPr>
            <w:tcW w:w="80" w:type="dxa"/>
            <w:vAlign w:val="bottom"/>
          </w:tcPr>
          <w:p>
            <w:pPr>
              <w:spacing w:after="0"/>
              <w:rPr>
                <w:sz w:val="24"/>
                <w:szCs w:val="24"/>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(730)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-716915</wp:posOffset>
            </wp:positionV>
            <wp:extent cx="713232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-356870</wp:posOffset>
            </wp:positionV>
            <wp:extent cx="713232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4360" w:space="720"/>
            <w:col w:w="6160"/>
          </w:cols>
          <w:pgMar w:left="320" w:top="1440" w:right="33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400" w:type="dxa"/>
            <w:vAlign w:val="bottom"/>
          </w:tcPr>
          <w:p>
            <w:pPr>
              <w:spacing w:after="0"/>
              <w:rPr>
                <w:sz w:val="20"/>
                <w:szCs w:val="20"/>
                <w:color w:val="auto"/>
              </w:rPr>
            </w:pPr>
            <w:r>
              <w:rPr>
                <w:rFonts w:ascii="Arial" w:cs="Arial" w:eastAsia="Arial" w:hAnsi="Arial"/>
                <w:sz w:val="20"/>
                <w:szCs w:val="20"/>
                <w:b w:val="1"/>
                <w:bCs w:val="1"/>
                <w:color w:val="auto"/>
              </w:rPr>
              <w:t>3.  Inventories</w:t>
            </w:r>
          </w:p>
        </w:tc>
        <w:tc>
          <w:tcPr>
            <w:tcW w:w="2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476"/>
        </w:trPr>
        <w:tc>
          <w:tcPr>
            <w:tcW w:w="6400" w:type="dxa"/>
            <w:vAlign w:val="bottom"/>
          </w:tcPr>
          <w:p>
            <w:pPr>
              <w:spacing w:after="0"/>
              <w:rPr>
                <w:sz w:val="20"/>
                <w:szCs w:val="20"/>
                <w:color w:val="auto"/>
              </w:rPr>
            </w:pPr>
            <w:r>
              <w:rPr>
                <w:rFonts w:ascii="Arial" w:cs="Arial" w:eastAsia="Arial" w:hAnsi="Arial"/>
                <w:sz w:val="20"/>
                <w:szCs w:val="20"/>
                <w:color w:val="auto"/>
              </w:rPr>
              <w:t>Inventories consisted of the following (in thousands):</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2"/>
          </w:tcPr>
          <w:p>
            <w:pPr>
              <w:ind w:left="20"/>
              <w:spacing w:after="0"/>
              <w:rPr>
                <w:sz w:val="20"/>
                <w:szCs w:val="20"/>
                <w:color w:val="auto"/>
              </w:rPr>
            </w:pPr>
            <w:r>
              <w:rPr>
                <w:rFonts w:ascii="Arial" w:cs="Arial" w:eastAsia="Arial" w:hAnsi="Arial"/>
                <w:sz w:val="20"/>
                <w:szCs w:val="20"/>
                <w:b w:val="1"/>
                <w:bCs w:val="1"/>
                <w:color w:val="auto"/>
              </w:rPr>
              <w:t>September 30, 2024</w:t>
            </w:r>
          </w:p>
        </w:tc>
        <w:tc>
          <w:tcPr>
            <w:tcW w:w="260" w:type="dxa"/>
            <w:vAlign w:val="bottom"/>
          </w:tcPr>
          <w:p>
            <w:pPr>
              <w:spacing w:after="0"/>
              <w:rPr>
                <w:sz w:val="24"/>
                <w:szCs w:val="24"/>
                <w:color w:val="auto"/>
              </w:rPr>
            </w:pPr>
          </w:p>
        </w:tc>
        <w:tc>
          <w:tcPr>
            <w:tcW w:w="2120" w:type="dxa"/>
            <w:vAlign w:val="bottom"/>
          </w:tcPr>
          <w:p>
            <w:pPr>
              <w:jc w:val="right"/>
              <w:ind w:right="201"/>
              <w:spacing w:after="0"/>
              <w:rPr>
                <w:sz w:val="20"/>
                <w:szCs w:val="20"/>
                <w:color w:val="auto"/>
              </w:rPr>
            </w:pPr>
            <w:r>
              <w:rPr>
                <w:rFonts w:ascii="Arial" w:cs="Arial" w:eastAsia="Arial" w:hAnsi="Arial"/>
                <w:sz w:val="20"/>
                <w:szCs w:val="20"/>
                <w:b w:val="1"/>
                <w:bCs w:val="1"/>
                <w:color w:val="auto"/>
                <w:w w:val="99"/>
              </w:rPr>
              <w:t>December 31, 2023</w:t>
            </w:r>
          </w:p>
        </w:tc>
      </w:tr>
      <w:tr>
        <w:trPr>
          <w:trHeight w:val="28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47,389</w:t>
            </w:r>
          </w:p>
        </w:tc>
        <w:tc>
          <w:tcPr>
            <w:tcW w:w="8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86,614</w:t>
            </w:r>
          </w:p>
        </w:tc>
      </w:tr>
      <w:tr>
        <w:trPr>
          <w:trHeight w:val="27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Finished goods</w:t>
            </w: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148,308</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75,350</w:t>
            </w:r>
          </w:p>
        </w:tc>
      </w:tr>
      <w:tr>
        <w:trPr>
          <w:trHeight w:val="302"/>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Inventories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195,697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161,964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values a portion of its inventory using the moving average cost method that approximates the first-in, first-out method (“FIFO”). As of September 30, 2024, inventory valued using moving average cost and FIFO was $154.6 million and $41.1 million, respectively. As of December 31, 2023, inventory valued using moving average cost and FIFO, was $129.5 million and $32.5 million, respectively.</w:t>
      </w:r>
    </w:p>
    <w:p>
      <w:pPr>
        <w:spacing w:after="0" w:line="209"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 Net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consisted of the following (in thousands, except useful lives):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2760" w:type="dxa"/>
            <w:vAlign w:val="bottom"/>
          </w:tcPr>
          <w:p>
            <w:pPr>
              <w:jc w:val="center"/>
              <w:ind w:left="301"/>
              <w:spacing w:after="0"/>
              <w:rPr>
                <w:sz w:val="20"/>
                <w:szCs w:val="20"/>
                <w:color w:val="auto"/>
              </w:rPr>
            </w:pPr>
            <w:r>
              <w:rPr>
                <w:rFonts w:ascii="Arial" w:cs="Arial" w:eastAsia="Arial" w:hAnsi="Arial"/>
                <w:sz w:val="20"/>
                <w:szCs w:val="20"/>
                <w:b w:val="1"/>
                <w:bCs w:val="1"/>
                <w:color w:val="auto"/>
                <w:w w:val="98"/>
              </w:rPr>
              <w:t>Estimated Useful Lives</w:t>
            </w:r>
          </w:p>
        </w:tc>
        <w:tc>
          <w:tcPr>
            <w:tcW w:w="2500" w:type="dxa"/>
            <w:vAlign w:val="bottom"/>
            <w:gridSpan w:val="3"/>
            <w:vMerge w:val="restart"/>
          </w:tcPr>
          <w:p>
            <w:pPr>
              <w:ind w:left="300"/>
              <w:spacing w:after="0"/>
              <w:rPr>
                <w:sz w:val="20"/>
                <w:szCs w:val="20"/>
                <w:color w:val="auto"/>
              </w:rPr>
            </w:pPr>
            <w:r>
              <w:rPr>
                <w:rFonts w:ascii="Arial" w:cs="Arial" w:eastAsia="Arial" w:hAnsi="Arial"/>
                <w:sz w:val="20"/>
                <w:szCs w:val="20"/>
                <w:b w:val="1"/>
                <w:bCs w:val="1"/>
                <w:color w:val="auto"/>
              </w:rPr>
              <w:t>September 30, 2024</w:t>
            </w:r>
          </w:p>
        </w:tc>
        <w:tc>
          <w:tcPr>
            <w:tcW w:w="300" w:type="dxa"/>
            <w:vAlign w:val="bottom"/>
          </w:tcPr>
          <w:p>
            <w:pPr>
              <w:spacing w:after="0"/>
              <w:rPr>
                <w:sz w:val="19"/>
                <w:szCs w:val="19"/>
                <w:color w:val="auto"/>
              </w:rPr>
            </w:pPr>
          </w:p>
        </w:tc>
        <w:tc>
          <w:tcPr>
            <w:tcW w:w="212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w w:val="98"/>
              </w:rPr>
              <w:t>December 31, 2023</w:t>
            </w:r>
          </w:p>
        </w:tc>
        <w:tc>
          <w:tcPr>
            <w:tcW w:w="0" w:type="dxa"/>
            <w:vAlign w:val="bottom"/>
          </w:tcPr>
          <w:p>
            <w:pPr>
              <w:spacing w:after="0"/>
              <w:rPr>
                <w:sz w:val="1"/>
                <w:szCs w:val="1"/>
                <w:color w:val="auto"/>
              </w:rPr>
            </w:pPr>
          </w:p>
        </w:tc>
      </w:tr>
      <w:tr>
        <w:trPr>
          <w:trHeight w:val="267"/>
        </w:trPr>
        <w:tc>
          <w:tcPr>
            <w:tcW w:w="3560" w:type="dxa"/>
            <w:vAlign w:val="bottom"/>
          </w:tcPr>
          <w:p>
            <w:pPr>
              <w:spacing w:after="0"/>
              <w:rPr>
                <w:sz w:val="23"/>
                <w:szCs w:val="23"/>
                <w:color w:val="auto"/>
              </w:rPr>
            </w:pPr>
          </w:p>
        </w:tc>
        <w:tc>
          <w:tcPr>
            <w:tcW w:w="2760" w:type="dxa"/>
            <w:vAlign w:val="bottom"/>
          </w:tcPr>
          <w:p>
            <w:pPr>
              <w:jc w:val="center"/>
              <w:ind w:left="281"/>
              <w:spacing w:after="0"/>
              <w:rPr>
                <w:sz w:val="20"/>
                <w:szCs w:val="20"/>
                <w:color w:val="auto"/>
              </w:rPr>
            </w:pPr>
            <w:r>
              <w:rPr>
                <w:rFonts w:ascii="Arial" w:cs="Arial" w:eastAsia="Arial" w:hAnsi="Arial"/>
                <w:sz w:val="20"/>
                <w:szCs w:val="20"/>
                <w:b w:val="1"/>
                <w:bCs w:val="1"/>
                <w:color w:val="auto"/>
                <w:w w:val="97"/>
              </w:rPr>
              <w:t>(Years)</w:t>
            </w:r>
          </w:p>
        </w:tc>
        <w:tc>
          <w:tcPr>
            <w:tcW w:w="2500" w:type="dxa"/>
            <w:vAlign w:val="bottom"/>
            <w:gridSpan w:val="3"/>
            <w:vMerge w:val="continue"/>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2760" w:type="dxa"/>
            <w:vAlign w:val="bottom"/>
            <w:tcBorders>
              <w:top w:val="single" w:sz="8" w:color="CCEEFF"/>
            </w:tcBorders>
            <w:shd w:val="clear" w:color="auto" w:fill="CCEEFF"/>
          </w:tcPr>
          <w:p>
            <w:pPr>
              <w:jc w:val="center"/>
              <w:ind w:left="301"/>
              <w:spacing w:after="0"/>
              <w:rPr>
                <w:sz w:val="20"/>
                <w:szCs w:val="20"/>
                <w:color w:val="auto"/>
              </w:rPr>
            </w:pPr>
            <w:r>
              <w:rPr>
                <w:rFonts w:ascii="Arial" w:cs="Arial" w:eastAsia="Arial" w:hAnsi="Arial"/>
                <w:sz w:val="20"/>
                <w:szCs w:val="20"/>
                <w:color w:val="auto"/>
                <w:w w:val="95"/>
              </w:rPr>
              <w:t>N/A</w:t>
            </w:r>
          </w:p>
        </w:tc>
        <w:tc>
          <w:tcPr>
            <w:tcW w:w="98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20"/>
                <w:szCs w:val="20"/>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1,647</w:t>
            </w:r>
          </w:p>
        </w:tc>
        <w:tc>
          <w:tcPr>
            <w:tcW w:w="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1,634</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2760" w:type="dxa"/>
            <w:vAlign w:val="bottom"/>
          </w:tcPr>
          <w:p>
            <w:pPr>
              <w:jc w:val="center"/>
              <w:ind w:left="301"/>
              <w:spacing w:after="0"/>
              <w:rPr>
                <w:sz w:val="20"/>
                <w:szCs w:val="20"/>
                <w:color w:val="auto"/>
              </w:rPr>
            </w:pPr>
            <w:r>
              <w:rPr>
                <w:rFonts w:ascii="Arial" w:cs="Arial" w:eastAsia="Arial" w:hAnsi="Arial"/>
                <w:sz w:val="20"/>
                <w:szCs w:val="20"/>
                <w:color w:val="auto"/>
              </w:rPr>
              <w:t>15-39</w:t>
            </w:r>
          </w:p>
        </w:tc>
        <w:tc>
          <w:tcPr>
            <w:tcW w:w="9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9,504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9,344</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2760" w:type="dxa"/>
            <w:vAlign w:val="bottom"/>
            <w:shd w:val="clear" w:color="auto" w:fill="CCEEFF"/>
          </w:tcPr>
          <w:p>
            <w:pPr>
              <w:jc w:val="center"/>
              <w:ind w:left="301"/>
              <w:spacing w:after="0"/>
              <w:rPr>
                <w:sz w:val="20"/>
                <w:szCs w:val="20"/>
                <w:color w:val="auto"/>
              </w:rPr>
            </w:pPr>
            <w:r>
              <w:rPr>
                <w:rFonts w:ascii="Arial" w:cs="Arial" w:eastAsia="Arial" w:hAnsi="Arial"/>
                <w:sz w:val="20"/>
                <w:szCs w:val="20"/>
                <w:color w:val="auto"/>
              </w:rPr>
              <w:t>7</w:t>
            </w:r>
          </w:p>
        </w:tc>
        <w:tc>
          <w:tcPr>
            <w:tcW w:w="9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28,099</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22,962</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2760" w:type="dxa"/>
            <w:vAlign w:val="bottom"/>
          </w:tcPr>
          <w:p>
            <w:pPr>
              <w:jc w:val="center"/>
              <w:ind w:left="301"/>
              <w:spacing w:after="0"/>
              <w:rPr>
                <w:sz w:val="20"/>
                <w:szCs w:val="20"/>
                <w:color w:val="auto"/>
              </w:rPr>
            </w:pPr>
            <w:r>
              <w:rPr>
                <w:rFonts w:ascii="Arial" w:cs="Arial" w:eastAsia="Arial" w:hAnsi="Arial"/>
                <w:sz w:val="20"/>
                <w:szCs w:val="20"/>
                <w:color w:val="auto"/>
                <w:w w:val="96"/>
              </w:rPr>
              <w:t>5-7</w:t>
            </w:r>
          </w:p>
        </w:tc>
        <w:tc>
          <w:tcPr>
            <w:tcW w:w="9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4,900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4,770</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2760" w:type="dxa"/>
            <w:vAlign w:val="bottom"/>
            <w:shd w:val="clear" w:color="auto" w:fill="CCEEFF"/>
          </w:tcPr>
          <w:p>
            <w:pPr>
              <w:jc w:val="center"/>
              <w:ind w:left="301"/>
              <w:spacing w:after="0"/>
              <w:rPr>
                <w:sz w:val="20"/>
                <w:szCs w:val="20"/>
                <w:color w:val="auto"/>
              </w:rPr>
            </w:pPr>
            <w:r>
              <w:rPr>
                <w:rFonts w:ascii="Arial" w:cs="Arial" w:eastAsia="Arial" w:hAnsi="Arial"/>
                <w:sz w:val="20"/>
                <w:szCs w:val="20"/>
                <w:color w:val="auto"/>
              </w:rPr>
              <w:t>5</w:t>
            </w:r>
          </w:p>
        </w:tc>
        <w:tc>
          <w:tcPr>
            <w:tcW w:w="9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625</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688</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Hardware</w:t>
            </w:r>
          </w:p>
        </w:tc>
        <w:tc>
          <w:tcPr>
            <w:tcW w:w="2760" w:type="dxa"/>
            <w:vAlign w:val="bottom"/>
          </w:tcPr>
          <w:p>
            <w:pPr>
              <w:jc w:val="center"/>
              <w:ind w:left="301"/>
              <w:spacing w:after="0"/>
              <w:rPr>
                <w:sz w:val="20"/>
                <w:szCs w:val="20"/>
                <w:color w:val="auto"/>
              </w:rPr>
            </w:pPr>
            <w:r>
              <w:rPr>
                <w:rFonts w:ascii="Arial" w:cs="Arial" w:eastAsia="Arial" w:hAnsi="Arial"/>
                <w:sz w:val="20"/>
                <w:szCs w:val="20"/>
                <w:color w:val="auto"/>
                <w:w w:val="96"/>
              </w:rPr>
              <w:t>3-5</w:t>
            </w:r>
          </w:p>
        </w:tc>
        <w:tc>
          <w:tcPr>
            <w:tcW w:w="9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3,879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3,114</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Construction in progress</w:t>
            </w:r>
          </w:p>
        </w:tc>
        <w:tc>
          <w:tcPr>
            <w:tcW w:w="2760" w:type="dxa"/>
            <w:vAlign w:val="bottom"/>
            <w:shd w:val="clear" w:color="auto" w:fill="CCEEFF"/>
          </w:tcPr>
          <w:p>
            <w:pPr>
              <w:jc w:val="center"/>
              <w:ind w:left="301"/>
              <w:spacing w:after="0"/>
              <w:rPr>
                <w:sz w:val="20"/>
                <w:szCs w:val="20"/>
                <w:color w:val="auto"/>
              </w:rPr>
            </w:pPr>
            <w:r>
              <w:rPr>
                <w:rFonts w:ascii="Arial" w:cs="Arial" w:eastAsia="Arial" w:hAnsi="Arial"/>
                <w:sz w:val="20"/>
                <w:szCs w:val="20"/>
                <w:color w:val="auto"/>
                <w:w w:val="95"/>
              </w:rPr>
              <w:t>N/A</w:t>
            </w:r>
          </w:p>
        </w:tc>
        <w:tc>
          <w:tcPr>
            <w:tcW w:w="9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2,941</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6,199</w:t>
            </w:r>
          </w:p>
        </w:tc>
        <w:tc>
          <w:tcPr>
            <w:tcW w:w="0" w:type="dxa"/>
            <w:vAlign w:val="bottom"/>
          </w:tcPr>
          <w:p>
            <w:pPr>
              <w:spacing w:after="0"/>
              <w:rPr>
                <w:sz w:val="1"/>
                <w:szCs w:val="1"/>
                <w:color w:val="auto"/>
              </w:rPr>
            </w:pPr>
          </w:p>
        </w:tc>
      </w:tr>
      <w:tr>
        <w:trPr>
          <w:trHeight w:val="262"/>
        </w:trPr>
        <w:tc>
          <w:tcPr>
            <w:tcW w:w="3560" w:type="dxa"/>
            <w:vAlign w:val="bottom"/>
          </w:tcPr>
          <w:p>
            <w:pPr>
              <w:ind w:left="240"/>
              <w:spacing w:after="0"/>
              <w:rPr>
                <w:sz w:val="20"/>
                <w:szCs w:val="20"/>
                <w:color w:val="auto"/>
              </w:rPr>
            </w:pPr>
            <w:r>
              <w:rPr>
                <w:rFonts w:ascii="Arial" w:cs="Arial" w:eastAsia="Arial" w:hAnsi="Arial"/>
                <w:sz w:val="20"/>
                <w:szCs w:val="20"/>
                <w:color w:val="auto"/>
              </w:rPr>
              <w:t>Total</w:t>
            </w:r>
          </w:p>
        </w:tc>
        <w:tc>
          <w:tcPr>
            <w:tcW w:w="2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51,595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48,711</w:t>
            </w:r>
          </w:p>
        </w:tc>
        <w:tc>
          <w:tcPr>
            <w:tcW w:w="0" w:type="dxa"/>
            <w:vAlign w:val="bottom"/>
          </w:tcPr>
          <w:p>
            <w:pPr>
              <w:spacing w:after="0"/>
              <w:rPr>
                <w:sz w:val="1"/>
                <w:szCs w:val="1"/>
                <w:color w:val="auto"/>
              </w:rPr>
            </w:pPr>
          </w:p>
        </w:tc>
      </w:tr>
      <w:tr>
        <w:trPr>
          <w:trHeight w:val="285"/>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276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(23,966)</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(20,818)</w:t>
            </w:r>
          </w:p>
        </w:tc>
        <w:tc>
          <w:tcPr>
            <w:tcW w:w="0" w:type="dxa"/>
            <w:vAlign w:val="bottom"/>
          </w:tcPr>
          <w:p>
            <w:pPr>
              <w:spacing w:after="0"/>
              <w:rPr>
                <w:sz w:val="1"/>
                <w:szCs w:val="1"/>
                <w:color w:val="auto"/>
              </w:rPr>
            </w:pPr>
          </w:p>
        </w:tc>
      </w:tr>
      <w:tr>
        <w:trPr>
          <w:trHeight w:val="271"/>
        </w:trPr>
        <w:tc>
          <w:tcPr>
            <w:tcW w:w="356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2760" w:type="dxa"/>
            <w:vAlign w:val="bottom"/>
          </w:tcPr>
          <w:p>
            <w:pPr>
              <w:spacing w:after="0"/>
              <w:rPr>
                <w:sz w:val="23"/>
                <w:szCs w:val="23"/>
                <w:color w:val="auto"/>
              </w:rPr>
            </w:pPr>
          </w:p>
        </w:tc>
        <w:tc>
          <w:tcPr>
            <w:tcW w:w="98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27,629</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27,893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expense was $1.3 million and $0.7 million for the three months ended September 30, 2024 and 2023, respectively, of which $0.7 million and $0.4 million, respectively, was included in cost of product and service revenue and $0.6 million and $0.3 million, respectively, was included in depreciation and amortization on the accompanying condensed consolidated statements of operations.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expense was $3.3 million and $1.9 million for the nine months ended September 30, 2024 and 2023, respectively, of which $1.6 million and $1.0 million, respectively, was included in cost of product and service revenue and $1.7 million and $0.9 million, respectively, was included in depreciation and amortization on the accompanying condensed consolidated statements of operations.</w:t>
      </w:r>
    </w:p>
    <w:p>
      <w:pPr>
        <w:spacing w:after="0" w:line="195"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 Net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23"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Changes in the carrying amount of goodwill by operating segment during the nine months ended September 30, 2024, consisted of the following (in thousands):</w:t>
      </w:r>
    </w:p>
    <w:tbl>
      <w:tblPr>
        <w:tblLayout w:type="fixed"/>
        <w:tblInd w:w="0" w:type="dxa"/>
        <w:tblCellMar>
          <w:top w:w="0" w:type="dxa"/>
          <w:left w:w="0" w:type="dxa"/>
          <w:bottom w:w="0" w:type="dxa"/>
          <w:right w:w="0" w:type="dxa"/>
        </w:tblCellMar>
      </w:tblPr>
      <w:tr>
        <w:trPr>
          <w:trHeight w:val="217"/>
        </w:trPr>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400"/>
              <w:spacing w:after="0" w:line="217" w:lineRule="exact"/>
              <w:rPr>
                <w:sz w:val="20"/>
                <w:szCs w:val="20"/>
                <w:color w:val="auto"/>
              </w:rPr>
            </w:pPr>
            <w:r>
              <w:rPr>
                <w:rFonts w:ascii="Arial" w:cs="Arial" w:eastAsia="Arial" w:hAnsi="Arial"/>
                <w:sz w:val="20"/>
                <w:szCs w:val="20"/>
                <w:b w:val="1"/>
                <w:bCs w:val="1"/>
                <w:color w:val="auto"/>
                <w:w w:val="99"/>
              </w:rPr>
              <w:t>Array Legacy</w:t>
            </w: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80"/>
        </w:trPr>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20"/>
                <w:szCs w:val="20"/>
                <w:b w:val="1"/>
                <w:bCs w:val="1"/>
                <w:color w:val="auto"/>
                <w:w w:val="98"/>
              </w:rPr>
              <w:t>Operations</w:t>
            </w: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STI Operations</w:t>
            </w:r>
          </w:p>
        </w:tc>
        <w:tc>
          <w:tcPr>
            <w:tcW w:w="520" w:type="dxa"/>
            <w:vAlign w:val="bottom"/>
          </w:tcPr>
          <w:p>
            <w:pPr>
              <w:spacing w:after="0"/>
              <w:rPr>
                <w:sz w:val="24"/>
                <w:szCs w:val="24"/>
                <w:color w:val="auto"/>
              </w:rPr>
            </w:pPr>
          </w:p>
        </w:tc>
        <w:tc>
          <w:tcPr>
            <w:tcW w:w="1780" w:type="dxa"/>
            <w:vAlign w:val="bottom"/>
          </w:tcPr>
          <w:p>
            <w:pPr>
              <w:jc w:val="right"/>
              <w:ind w:right="821"/>
              <w:spacing w:after="0"/>
              <w:rPr>
                <w:sz w:val="20"/>
                <w:szCs w:val="20"/>
                <w:color w:val="auto"/>
              </w:rPr>
            </w:pPr>
            <w:r>
              <w:rPr>
                <w:rFonts w:ascii="Arial" w:cs="Arial" w:eastAsia="Arial" w:hAnsi="Arial"/>
                <w:sz w:val="20"/>
                <w:szCs w:val="20"/>
                <w:b w:val="1"/>
                <w:bCs w:val="1"/>
                <w:color w:val="auto"/>
              </w:rPr>
              <w:t>Total</w:t>
            </w:r>
          </w:p>
        </w:tc>
      </w:tr>
      <w:tr>
        <w:trPr>
          <w:trHeight w:val="26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365,864</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435,591</w:t>
            </w:r>
          </w:p>
        </w:tc>
      </w:tr>
      <w:tr>
        <w:trPr>
          <w:trHeight w:val="268"/>
        </w:trPr>
        <w:tc>
          <w:tcPr>
            <w:tcW w:w="4160" w:type="dxa"/>
            <w:vAlign w:val="bottom"/>
          </w:tcPr>
          <w:p>
            <w:pPr>
              <w:ind w:left="20"/>
              <w:spacing w:after="0"/>
              <w:rPr>
                <w:sz w:val="20"/>
                <w:szCs w:val="20"/>
                <w:color w:val="auto"/>
              </w:rPr>
            </w:pPr>
            <w:r>
              <w:rPr>
                <w:rFonts w:ascii="Arial" w:cs="Arial" w:eastAsia="Arial" w:hAnsi="Arial"/>
                <w:sz w:val="20"/>
                <w:szCs w:val="20"/>
                <w:color w:val="auto"/>
              </w:rPr>
              <w:t>Foreign currency translation</w:t>
            </w:r>
          </w:p>
        </w:tc>
        <w:tc>
          <w:tcPr>
            <w:tcW w:w="320" w:type="dxa"/>
            <w:vAlign w:val="bottom"/>
          </w:tcPr>
          <w:p>
            <w:pPr>
              <w:spacing w:after="0"/>
              <w:rPr>
                <w:sz w:val="23"/>
                <w:szCs w:val="23"/>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(22,718)</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(22,718)</w:t>
            </w:r>
          </w:p>
        </w:tc>
      </w:tr>
      <w:tr>
        <w:trPr>
          <w:trHeight w:val="272"/>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Impairment charge</w:t>
            </w:r>
          </w:p>
        </w:tc>
        <w:tc>
          <w:tcPr>
            <w:tcW w:w="32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(162,000)</w:t>
            </w:r>
          </w:p>
        </w:tc>
        <w:tc>
          <w:tcPr>
            <w:tcW w:w="80" w:type="dxa"/>
            <w:vAlign w:val="bottom"/>
            <w:shd w:val="clear" w:color="auto" w:fill="CCEEFF"/>
          </w:tcPr>
          <w:p>
            <w:pPr>
              <w:spacing w:after="0"/>
              <w:rPr>
                <w:sz w:val="23"/>
                <w:szCs w:val="23"/>
                <w:color w:val="auto"/>
              </w:rPr>
            </w:pPr>
          </w:p>
        </w:tc>
        <w:tc>
          <w:tcPr>
            <w:tcW w:w="520" w:type="dxa"/>
            <w:vAlign w:val="bottom"/>
            <w:shd w:val="clear" w:color="auto" w:fill="BFE4FF"/>
          </w:tcPr>
          <w:p>
            <w:pPr>
              <w:spacing w:after="0"/>
              <w:rPr>
                <w:sz w:val="23"/>
                <w:szCs w:val="23"/>
                <w:color w:val="auto"/>
              </w:rPr>
            </w:pPr>
          </w:p>
        </w:tc>
        <w:tc>
          <w:tcPr>
            <w:tcW w:w="1780" w:type="dxa"/>
            <w:vAlign w:val="bottom"/>
            <w:shd w:val="clear" w:color="auto" w:fill="BFE4FF"/>
          </w:tcPr>
          <w:p>
            <w:pPr>
              <w:jc w:val="right"/>
              <w:spacing w:after="0"/>
              <w:rPr>
                <w:sz w:val="20"/>
                <w:szCs w:val="20"/>
                <w:color w:val="auto"/>
              </w:rPr>
            </w:pPr>
            <w:r>
              <w:rPr>
                <w:rFonts w:ascii="Arial" w:cs="Arial" w:eastAsia="Arial" w:hAnsi="Arial"/>
                <w:sz w:val="20"/>
                <w:szCs w:val="20"/>
                <w:color w:val="auto"/>
              </w:rPr>
              <w:t>(162,000)</w:t>
            </w:r>
          </w:p>
        </w:tc>
      </w:tr>
      <w:tr>
        <w:trPr>
          <w:trHeight w:val="264"/>
        </w:trPr>
        <w:tc>
          <w:tcPr>
            <w:tcW w:w="4160" w:type="dxa"/>
            <w:vAlign w:val="bottom"/>
          </w:tcPr>
          <w:p>
            <w:pPr>
              <w:ind w:left="20"/>
              <w:spacing w:after="0" w:line="263" w:lineRule="exact"/>
              <w:rPr>
                <w:sz w:val="20"/>
                <w:szCs w:val="20"/>
                <w:color w:val="auto"/>
              </w:rPr>
            </w:pPr>
            <w:r>
              <w:rPr>
                <w:rFonts w:ascii="Arial" w:cs="Arial" w:eastAsia="Arial" w:hAnsi="Arial"/>
                <w:sz w:val="20"/>
                <w:szCs w:val="20"/>
                <w:color w:val="auto"/>
              </w:rPr>
              <w:t xml:space="preserve">Ending balance </w:t>
            </w:r>
            <w:r>
              <w:rPr>
                <w:rFonts w:ascii="Arial" w:cs="Arial" w:eastAsia="Arial" w:hAnsi="Arial"/>
                <w:sz w:val="25"/>
                <w:szCs w:val="25"/>
                <w:color w:val="auto"/>
                <w:vertAlign w:val="superscript"/>
              </w:rPr>
              <w:t>(1)</w:t>
            </w: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181,146</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250,873</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220" w:hanging="212"/>
        <w:spacing w:after="0" w:line="225" w:lineRule="auto"/>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Goodwill attributable to Array Legacy Operations is net of cumulative impairments of $51.9 million.</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During the three months ended September 30, 2024, the Company experienced a sustained decline in its stock price, which hit a 52-week low during the quarter, resulting in a decrease in market capitalization. In addition, the Company updated its long-term projections for the Company’s reporting units and further evaluated the execution risk associated with the Company’s projections. As a result, the Company identified indicators of impairment related to the Company’s reporting units. Management, with the assistance of a third-party valuation specialist, performed an interim quantitative goodwill impairment test of the Array Legacy Operations and STI Operations reporting unit as of September 30, 2024.</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fair value of the Array Legacy Operations and STI Operations reporting unit were determined using the income approach and then compared to the Guideline publicly traded companies (“GPC”) marketplace EBITDA multiples to corroborate the fair value of the reporting unit. As a result of these tests, the Company recorded an impairment of goodwill of $162.0 million related to STI Operations based on an estimated fair value of the STI Operations reporting unit of $455.9 million. Subsequent to recording the impairment of goodwill, the Company reconciled the overall market capitalization of the Company, within a reasonable range, to the sum of the estimated fair values of both of the Company’s reporting units. The estimated fair value of the Array Legacy Operations reporting unit was significantly higher than the carrying balance of the reporting unit.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significant assumptions used in determining the fair value of the STI Operations reporting unit primarily relate to the revenue growth rate, the forecasted EBITDA margin, and the selected discount rate used in the discounted cash flow model under the income approach. Under the GPC method, the selection of EBITDA multiple to be used requires significant judgement. To the extent that the discount rate used in determining the present value of our cash flows increases, if we do not meet the cash flow projections for the reporting unit, or GPC multiples in the future decrease, additional impairment charges may be recorded in the future. In addition, a further decrease in the Company’s common stock share price and market capitalization could be an indication that there has been a further decrease in the fair value of the Company’s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 Lived Assets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As discussed above, there were indicators of impairment that required an interim impairment test for the Legacy Array and STI Operations reporting units. Management considered these events to be a triggering event requiring the long-lived assets associated with the STI Operations reporting unit be tested for impairment (which includes the amortizable intangible assets) as of September 30, 2024. Because the sum of future undiscounted cash flows for the underlying asset groups indicated that the carrying amount of the asset groups were recoverable, no impairment charge was recorded. The difference between the undiscounted cash flows of the Company’s reporting groups and carrying balance of its reporting groups was significant as of September 30, 2024.</w:t>
      </w:r>
    </w:p>
    <w:p>
      <w:pPr>
        <w:spacing w:after="0" w:line="220" w:lineRule="exact"/>
        <w:rPr>
          <w:sz w:val="20"/>
          <w:szCs w:val="20"/>
          <w:color w:val="auto"/>
        </w:rPr>
      </w:pPr>
    </w:p>
    <w:p>
      <w:pPr>
        <w:ind w:right="380"/>
        <w:spacing w:after="0" w:line="286" w:lineRule="auto"/>
        <w:rPr>
          <w:sz w:val="20"/>
          <w:szCs w:val="20"/>
          <w:color w:val="auto"/>
        </w:rPr>
      </w:pPr>
      <w:r>
        <w:rPr>
          <w:rFonts w:ascii="Arial" w:cs="Arial" w:eastAsia="Arial" w:hAnsi="Arial"/>
          <w:sz w:val="20"/>
          <w:szCs w:val="20"/>
          <w:color w:val="auto"/>
        </w:rPr>
        <w:t>As of September 30, 2024, no events or circumstances were noted that would indicate the carrying amount of any of Legacy Array’s asset groups may not be recoverable.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520" w:type="dxa"/>
            <w:vAlign w:val="bottom"/>
          </w:tcPr>
          <w:p>
            <w:pPr>
              <w:spacing w:after="0"/>
              <w:rPr>
                <w:sz w:val="20"/>
                <w:szCs w:val="20"/>
                <w:color w:val="auto"/>
              </w:rPr>
            </w:pPr>
            <w:r>
              <w:rPr>
                <w:rFonts w:ascii="Arial" w:cs="Arial" w:eastAsia="Arial" w:hAnsi="Arial"/>
                <w:sz w:val="20"/>
                <w:szCs w:val="20"/>
                <w:b w:val="1"/>
                <w:bCs w:val="1"/>
                <w:color w:val="auto"/>
              </w:rPr>
              <w:t>Other Intangible Assets, Net</w:t>
            </w:r>
          </w:p>
        </w:tc>
        <w:tc>
          <w:tcPr>
            <w:tcW w:w="2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4"/>
        </w:trPr>
        <w:tc>
          <w:tcPr>
            <w:tcW w:w="8880" w:type="dxa"/>
            <w:vAlign w:val="bottom"/>
            <w:gridSpan w:val="5"/>
          </w:tcPr>
          <w:p>
            <w:pPr>
              <w:spacing w:after="0"/>
              <w:rPr>
                <w:sz w:val="20"/>
                <w:szCs w:val="20"/>
                <w:color w:val="auto"/>
              </w:rPr>
            </w:pPr>
            <w:r>
              <w:rPr>
                <w:rFonts w:ascii="Arial" w:cs="Arial" w:eastAsia="Arial" w:hAnsi="Arial"/>
                <w:sz w:val="20"/>
                <w:szCs w:val="20"/>
                <w:color w:val="auto"/>
              </w:rPr>
              <w:t>Other intangible assets consisted of the following (in thousands, except useful lives):</w:t>
            </w: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900" w:type="dxa"/>
            <w:vAlign w:val="bottom"/>
          </w:tcPr>
          <w:p>
            <w:pPr>
              <w:jc w:val="center"/>
              <w:ind w:left="401"/>
              <w:spacing w:after="0" w:line="223" w:lineRule="exact"/>
              <w:rPr>
                <w:sz w:val="20"/>
                <w:szCs w:val="20"/>
                <w:color w:val="auto"/>
              </w:rPr>
            </w:pPr>
            <w:r>
              <w:rPr>
                <w:rFonts w:ascii="Arial" w:cs="Arial" w:eastAsia="Arial" w:hAnsi="Arial"/>
                <w:sz w:val="20"/>
                <w:szCs w:val="20"/>
                <w:b w:val="1"/>
                <w:bCs w:val="1"/>
                <w:color w:val="auto"/>
                <w:w w:val="98"/>
              </w:rPr>
              <w:t>Estimated Useful Lives</w:t>
            </w:r>
          </w:p>
        </w:tc>
        <w:tc>
          <w:tcPr>
            <w:tcW w:w="240" w:type="dxa"/>
            <w:vAlign w:val="bottom"/>
          </w:tcPr>
          <w:p>
            <w:pPr>
              <w:spacing w:after="0"/>
              <w:rPr>
                <w:sz w:val="19"/>
                <w:szCs w:val="19"/>
                <w:color w:val="auto"/>
              </w:rPr>
            </w:pPr>
          </w:p>
        </w:tc>
        <w:tc>
          <w:tcPr>
            <w:tcW w:w="222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September 30, 2024</w:t>
            </w:r>
          </w:p>
        </w:tc>
        <w:tc>
          <w:tcPr>
            <w:tcW w:w="260" w:type="dxa"/>
            <w:vAlign w:val="bottom"/>
          </w:tcPr>
          <w:p>
            <w:pPr>
              <w:spacing w:after="0"/>
              <w:rPr>
                <w:sz w:val="19"/>
                <w:szCs w:val="19"/>
                <w:color w:val="auto"/>
              </w:rPr>
            </w:pPr>
          </w:p>
        </w:tc>
        <w:tc>
          <w:tcPr>
            <w:tcW w:w="21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w w:val="98"/>
              </w:rPr>
              <w:t>December 31, 2023</w:t>
            </w:r>
          </w:p>
        </w:tc>
        <w:tc>
          <w:tcPr>
            <w:tcW w:w="0" w:type="dxa"/>
            <w:vAlign w:val="bottom"/>
          </w:tcPr>
          <w:p>
            <w:pPr>
              <w:spacing w:after="0"/>
              <w:rPr>
                <w:sz w:val="1"/>
                <w:szCs w:val="1"/>
                <w:color w:val="auto"/>
              </w:rPr>
            </w:pPr>
          </w:p>
        </w:tc>
      </w:tr>
      <w:tr>
        <w:trPr>
          <w:trHeight w:val="267"/>
        </w:trPr>
        <w:tc>
          <w:tcPr>
            <w:tcW w:w="3520" w:type="dxa"/>
            <w:vAlign w:val="bottom"/>
          </w:tcPr>
          <w:p>
            <w:pPr>
              <w:spacing w:after="0"/>
              <w:rPr>
                <w:sz w:val="23"/>
                <w:szCs w:val="23"/>
                <w:color w:val="auto"/>
              </w:rPr>
            </w:pPr>
          </w:p>
        </w:tc>
        <w:tc>
          <w:tcPr>
            <w:tcW w:w="2900" w:type="dxa"/>
            <w:vAlign w:val="bottom"/>
          </w:tcPr>
          <w:p>
            <w:pPr>
              <w:jc w:val="center"/>
              <w:ind w:left="381"/>
              <w:spacing w:after="0"/>
              <w:rPr>
                <w:sz w:val="20"/>
                <w:szCs w:val="20"/>
                <w:color w:val="auto"/>
              </w:rPr>
            </w:pPr>
            <w:r>
              <w:rPr>
                <w:rFonts w:ascii="Arial" w:cs="Arial" w:eastAsia="Arial" w:hAnsi="Arial"/>
                <w:sz w:val="20"/>
                <w:szCs w:val="20"/>
                <w:b w:val="1"/>
                <w:bCs w:val="1"/>
                <w:color w:val="auto"/>
                <w:w w:val="97"/>
              </w:rPr>
              <w:t>(Years)</w:t>
            </w:r>
          </w:p>
        </w:tc>
        <w:tc>
          <w:tcPr>
            <w:tcW w:w="240" w:type="dxa"/>
            <w:vAlign w:val="bottom"/>
          </w:tcPr>
          <w:p>
            <w:pPr>
              <w:spacing w:after="0"/>
              <w:rPr>
                <w:sz w:val="23"/>
                <w:szCs w:val="23"/>
                <w:color w:val="auto"/>
              </w:rPr>
            </w:pPr>
          </w:p>
        </w:tc>
        <w:tc>
          <w:tcPr>
            <w:tcW w:w="222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29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1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2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Developed technology</w:t>
            </w:r>
          </w:p>
        </w:tc>
        <w:tc>
          <w:tcPr>
            <w:tcW w:w="2900" w:type="dxa"/>
            <w:vAlign w:val="bottom"/>
          </w:tcPr>
          <w:p>
            <w:pPr>
              <w:jc w:val="center"/>
              <w:ind w:left="381"/>
              <w:spacing w:after="0"/>
              <w:rPr>
                <w:sz w:val="20"/>
                <w:szCs w:val="20"/>
                <w:color w:val="auto"/>
              </w:rPr>
            </w:pPr>
            <w:r>
              <w:rPr>
                <w:rFonts w:ascii="Arial" w:cs="Arial" w:eastAsia="Arial" w:hAnsi="Arial"/>
                <w:sz w:val="20"/>
                <w:szCs w:val="20"/>
                <w:color w:val="auto"/>
                <w:w w:val="98"/>
              </w:rPr>
              <w:t>14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2100" w:type="dxa"/>
            <w:vAlign w:val="bottom"/>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Computer software</w:t>
            </w:r>
          </w:p>
        </w:tc>
        <w:tc>
          <w:tcPr>
            <w:tcW w:w="290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rPr>
              <w:t>3</w:t>
            </w: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5,267</w:t>
            </w: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Customer relationships</w:t>
            </w:r>
          </w:p>
        </w:tc>
        <w:tc>
          <w:tcPr>
            <w:tcW w:w="2900" w:type="dxa"/>
            <w:vAlign w:val="bottom"/>
          </w:tcPr>
          <w:p>
            <w:pPr>
              <w:jc w:val="center"/>
              <w:ind w:left="381"/>
              <w:spacing w:after="0"/>
              <w:rPr>
                <w:sz w:val="20"/>
                <w:szCs w:val="20"/>
                <w:color w:val="auto"/>
              </w:rPr>
            </w:pPr>
            <w:r>
              <w:rPr>
                <w:rFonts w:ascii="Arial" w:cs="Arial" w:eastAsia="Arial" w:hAnsi="Arial"/>
                <w:sz w:val="20"/>
                <w:szCs w:val="20"/>
                <w:color w:val="auto"/>
                <w:w w:val="98"/>
              </w:rPr>
              <w:t>10</w:t>
            </w:r>
          </w:p>
        </w:tc>
        <w:tc>
          <w:tcPr>
            <w:tcW w:w="2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320,489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336,134</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Backlog</w:t>
            </w:r>
          </w:p>
        </w:tc>
        <w:tc>
          <w:tcPr>
            <w:tcW w:w="290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rPr>
              <w:t>1</w:t>
            </w: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50,605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54,438</w:t>
            </w:r>
          </w:p>
        </w:tc>
        <w:tc>
          <w:tcPr>
            <w:tcW w:w="0" w:type="dxa"/>
            <w:vAlign w:val="bottom"/>
          </w:tcPr>
          <w:p>
            <w:pPr>
              <w:spacing w:after="0"/>
              <w:rPr>
                <w:sz w:val="1"/>
                <w:szCs w:val="1"/>
                <w:color w:val="auto"/>
              </w:rPr>
            </w:pPr>
          </w:p>
        </w:tc>
      </w:tr>
      <w:tr>
        <w:trPr>
          <w:trHeight w:val="277"/>
        </w:trPr>
        <w:tc>
          <w:tcPr>
            <w:tcW w:w="352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Trade name</w:t>
            </w:r>
          </w:p>
        </w:tc>
        <w:tc>
          <w:tcPr>
            <w:tcW w:w="2900" w:type="dxa"/>
            <w:vAlign w:val="bottom"/>
            <w:tcBorders>
              <w:bottom w:val="single" w:sz="8" w:color="CCEEFF"/>
            </w:tcBorders>
          </w:tcPr>
          <w:p>
            <w:pPr>
              <w:jc w:val="center"/>
              <w:ind w:left="381"/>
              <w:spacing w:after="0"/>
              <w:rPr>
                <w:sz w:val="20"/>
                <w:szCs w:val="20"/>
                <w:color w:val="auto"/>
              </w:rPr>
            </w:pPr>
            <w:r>
              <w:rPr>
                <w:rFonts w:ascii="Arial" w:cs="Arial" w:eastAsia="Arial" w:hAnsi="Arial"/>
                <w:sz w:val="20"/>
                <w:szCs w:val="20"/>
                <w:color w:val="auto"/>
                <w:w w:val="98"/>
              </w:rPr>
              <w:t>20</w:t>
            </w: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26,000</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27,061</w:t>
            </w: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w:t>
            </w:r>
          </w:p>
        </w:tc>
        <w:tc>
          <w:tcPr>
            <w:tcW w:w="29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602,139</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626,700</w:t>
            </w:r>
          </w:p>
        </w:tc>
        <w:tc>
          <w:tcPr>
            <w:tcW w:w="0" w:type="dxa"/>
            <w:vAlign w:val="bottom"/>
          </w:tcPr>
          <w:p>
            <w:pPr>
              <w:spacing w:after="0"/>
              <w:rPr>
                <w:sz w:val="1"/>
                <w:szCs w:val="1"/>
                <w:color w:val="auto"/>
              </w:rPr>
            </w:pPr>
          </w:p>
        </w:tc>
      </w:tr>
      <w:tr>
        <w:trPr>
          <w:trHeight w:val="255"/>
        </w:trPr>
        <w:tc>
          <w:tcPr>
            <w:tcW w:w="3520" w:type="dxa"/>
            <w:vAlign w:val="bottom"/>
          </w:tcPr>
          <w:p>
            <w:pPr>
              <w:ind w:left="20"/>
              <w:spacing w:after="0"/>
              <w:rPr>
                <w:sz w:val="20"/>
                <w:szCs w:val="20"/>
                <w:color w:val="auto"/>
              </w:rPr>
            </w:pPr>
            <w:r>
              <w:rPr>
                <w:rFonts w:ascii="Arial" w:cs="Arial" w:eastAsia="Arial" w:hAnsi="Arial"/>
                <w:sz w:val="20"/>
                <w:szCs w:val="20"/>
                <w:color w:val="auto"/>
              </w:rPr>
              <w:t>Accumulated amortization:</w:t>
            </w:r>
          </w:p>
        </w:tc>
        <w:tc>
          <w:tcPr>
            <w:tcW w:w="2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Developed technology</w:t>
            </w:r>
          </w:p>
        </w:tc>
        <w:tc>
          <w:tcPr>
            <w:tcW w:w="2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119,822</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108,905</w:t>
            </w: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Computer software</w:t>
            </w:r>
          </w:p>
        </w:tc>
        <w:tc>
          <w:tcPr>
            <w:tcW w:w="2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522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1,274</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Customer relationships</w:t>
            </w:r>
          </w:p>
        </w:tc>
        <w:tc>
          <w:tcPr>
            <w:tcW w:w="2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136,354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115,444</w:t>
            </w:r>
          </w:p>
        </w:tc>
        <w:tc>
          <w:tcPr>
            <w:tcW w:w="0" w:type="dxa"/>
            <w:vAlign w:val="bottom"/>
          </w:tcPr>
          <w:p>
            <w:pPr>
              <w:spacing w:after="0"/>
              <w:rPr>
                <w:sz w:val="1"/>
                <w:szCs w:val="1"/>
                <w:color w:val="auto"/>
              </w:rPr>
            </w:pPr>
          </w:p>
        </w:tc>
      </w:tr>
      <w:tr>
        <w:trPr>
          <w:trHeight w:val="282"/>
        </w:trPr>
        <w:tc>
          <w:tcPr>
            <w:tcW w:w="3520" w:type="dxa"/>
            <w:vAlign w:val="bottom"/>
          </w:tcPr>
          <w:p>
            <w:pPr>
              <w:ind w:left="360"/>
              <w:spacing w:after="0"/>
              <w:rPr>
                <w:sz w:val="20"/>
                <w:szCs w:val="20"/>
                <w:color w:val="auto"/>
              </w:rPr>
            </w:pPr>
            <w:r>
              <w:rPr>
                <w:rFonts w:ascii="Arial" w:cs="Arial" w:eastAsia="Arial" w:hAnsi="Arial"/>
                <w:sz w:val="20"/>
                <w:szCs w:val="20"/>
                <w:color w:val="auto"/>
              </w:rPr>
              <w:t>Backlog</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50,605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54,322</w:t>
            </w:r>
          </w:p>
        </w:tc>
        <w:tc>
          <w:tcPr>
            <w:tcW w:w="0" w:type="dxa"/>
            <w:vAlign w:val="bottom"/>
          </w:tcPr>
          <w:p>
            <w:pPr>
              <w:spacing w:after="0"/>
              <w:rPr>
                <w:sz w:val="1"/>
                <w:szCs w:val="1"/>
                <w:color w:val="auto"/>
              </w:rPr>
            </w:pPr>
          </w:p>
        </w:tc>
      </w:tr>
      <w:tr>
        <w:trPr>
          <w:trHeight w:val="285"/>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Trade name</w:t>
            </w:r>
          </w:p>
        </w:tc>
        <w:tc>
          <w:tcPr>
            <w:tcW w:w="29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3,537</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2,666</w:t>
            </w:r>
          </w:p>
        </w:tc>
        <w:tc>
          <w:tcPr>
            <w:tcW w:w="0" w:type="dxa"/>
            <w:vAlign w:val="bottom"/>
          </w:tcPr>
          <w:p>
            <w:pPr>
              <w:spacing w:after="0"/>
              <w:rPr>
                <w:sz w:val="1"/>
                <w:szCs w:val="1"/>
                <w:color w:val="auto"/>
              </w:rPr>
            </w:pPr>
          </w:p>
        </w:tc>
      </w:tr>
      <w:tr>
        <w:trPr>
          <w:trHeight w:val="27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accumulated amortization</w:t>
            </w:r>
          </w:p>
        </w:tc>
        <w:tc>
          <w:tcPr>
            <w:tcW w:w="29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310,840</w:t>
            </w: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282,611</w:t>
            </w: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 net</w:t>
            </w:r>
          </w:p>
        </w:tc>
        <w:tc>
          <w:tcPr>
            <w:tcW w:w="2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291,299</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344,089</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Non-amortizable:</w:t>
            </w:r>
          </w:p>
        </w:tc>
        <w:tc>
          <w:tcPr>
            <w:tcW w:w="2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520" w:type="dxa"/>
            <w:vAlign w:val="bottom"/>
          </w:tcPr>
          <w:p>
            <w:pPr>
              <w:ind w:left="240"/>
              <w:spacing w:after="0"/>
              <w:rPr>
                <w:sz w:val="20"/>
                <w:szCs w:val="20"/>
                <w:color w:val="auto"/>
              </w:rPr>
            </w:pPr>
            <w:r>
              <w:rPr>
                <w:rFonts w:ascii="Arial" w:cs="Arial" w:eastAsia="Arial" w:hAnsi="Arial"/>
                <w:sz w:val="20"/>
                <w:szCs w:val="20"/>
                <w:color w:val="auto"/>
              </w:rPr>
              <w:t>Trade name</w:t>
            </w:r>
          </w:p>
        </w:tc>
        <w:tc>
          <w:tcPr>
            <w:tcW w:w="2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78"/>
        </w:trPr>
        <w:tc>
          <w:tcPr>
            <w:tcW w:w="352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290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301,599</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354,389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Amortization expense related to intangible assets was $11.9 million and $12.8 million for the three months ended September 30, 2024 and 2023, respectively, of which $3.6 million was included in amortization of developed technology, a component of cost of revenue, in both periods and $8.3 million and $9.2 million, respectively, was included in depreciation and amortization, on the accompanying condensed consolidated statements of operations.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Amortization expense related to intangible assets was $36.6 million and $39.3 million for the nine months ended September 30, 2024 and 2023, respectively, of which $10.9 million was included in amortization of developed technology, a component of cost of revenue, in both periods and $25.7 million and $28.4 million, respectively, was included in depreciation and amortization, on the accompanying condensed consolidated statements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amortization expense of intangible assets as of September 30, 2024,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84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Amount</w:t>
            </w:r>
          </w:p>
        </w:tc>
      </w:tr>
      <w:tr>
        <w:trPr>
          <w:trHeight w:val="280"/>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Remainder of 2024</w:t>
            </w: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11,987</w:t>
            </w:r>
          </w:p>
        </w:tc>
      </w:tr>
      <w:tr>
        <w:trPr>
          <w:trHeight w:val="282"/>
        </w:trPr>
        <w:tc>
          <w:tcPr>
            <w:tcW w:w="8840" w:type="dxa"/>
            <w:vAlign w:val="bottom"/>
          </w:tcPr>
          <w:p>
            <w:pPr>
              <w:ind w:left="20"/>
              <w:spacing w:after="0"/>
              <w:rPr>
                <w:sz w:val="20"/>
                <w:szCs w:val="20"/>
                <w:color w:val="auto"/>
              </w:rPr>
            </w:pPr>
            <w:r>
              <w:rPr>
                <w:rFonts w:ascii="Arial" w:cs="Arial" w:eastAsia="Arial" w:hAnsi="Arial"/>
                <w:sz w:val="20"/>
                <w:szCs w:val="20"/>
                <w:color w:val="auto"/>
              </w:rPr>
              <w:t>2025</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47,946</w:t>
            </w:r>
          </w:p>
        </w:tc>
      </w:tr>
      <w:tr>
        <w:trPr>
          <w:trHeight w:val="285"/>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43,635</w:t>
            </w:r>
          </w:p>
        </w:tc>
      </w:tr>
      <w:tr>
        <w:trPr>
          <w:trHeight w:val="282"/>
        </w:trPr>
        <w:tc>
          <w:tcPr>
            <w:tcW w:w="8840" w:type="dxa"/>
            <w:vAlign w:val="bottom"/>
          </w:tcPr>
          <w:p>
            <w:pPr>
              <w:ind w:left="20"/>
              <w:spacing w:after="0"/>
              <w:rPr>
                <w:sz w:val="20"/>
                <w:szCs w:val="20"/>
                <w:color w:val="auto"/>
              </w:rPr>
            </w:pPr>
            <w:r>
              <w:rPr>
                <w:rFonts w:ascii="Arial" w:cs="Arial" w:eastAsia="Arial" w:hAnsi="Arial"/>
                <w:sz w:val="20"/>
                <w:szCs w:val="20"/>
                <w:color w:val="auto"/>
              </w:rPr>
              <w:t>2027</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39,041</w:t>
            </w:r>
          </w:p>
        </w:tc>
      </w:tr>
      <w:tr>
        <w:trPr>
          <w:trHeight w:val="285"/>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2028</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39,041</w:t>
            </w:r>
          </w:p>
        </w:tc>
      </w:tr>
      <w:tr>
        <w:trPr>
          <w:trHeight w:val="282"/>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109,649</w:t>
            </w:r>
          </w:p>
        </w:tc>
      </w:tr>
      <w:tr>
        <w:trPr>
          <w:trHeight w:val="297"/>
        </w:trPr>
        <w:tc>
          <w:tcPr>
            <w:tcW w:w="88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291,299</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7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The Company follows guidance under ASC Topic 740-270 </w:t>
      </w:r>
      <w:r>
        <w:rPr>
          <w:rFonts w:ascii="Arial" w:cs="Arial" w:eastAsia="Arial" w:hAnsi="Arial"/>
          <w:sz w:val="20"/>
          <w:szCs w:val="20"/>
          <w:i w:val="1"/>
          <w:iCs w:val="1"/>
          <w:color w:val="auto"/>
        </w:rPr>
        <w:t>Income Taxes</w:t>
      </w:r>
      <w:r>
        <w:rPr>
          <w:rFonts w:ascii="Arial" w:cs="Arial" w:eastAsia="Arial" w:hAnsi="Arial"/>
          <w:sz w:val="20"/>
          <w:szCs w:val="20"/>
          <w:color w:val="auto"/>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recorded income tax expense of $3.9 million and $7.2 million for the three months ended September 30, 2024 and 2023, respectively, and an expense of $13.0 million and $36.9 million for the nine months ended September 30, 2024 and 2023, respectively. The income tax expense for the nine months ended September 30, 2024 was favorably impacted by lower profits in non-US jurisdictions and additional tax credits recorded during the period. This was partially offset by legislative changes in Brazil where a local tax incentive is no longer being exempt from Federal income tax beginning in 2024. Additionally, tax expense of $0.5 million related to equity-based compensation, was recorded discretely. No tax benefit was recorded on the goodwill impairment recorded in the nine months ended September 30, 2024, as the goodwill is non-deductible for income tax purposes. The tax expense for the nine months ended September 30, 2023, was unfavorably impacted by higher income reported in non-U.S. jurisdictions, offset by a tax benefit of $1.2 million related to equity-based compensation recorded discretely.</w:t>
      </w:r>
    </w:p>
    <w:p>
      <w:pPr>
        <w:spacing w:after="0" w:line="21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For the nine months ended September 30, 2024 and 2023, no reserves for uncertain tax positions have been recorded. The Company will continue to monitor this position each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10"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Debt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Company’s total debt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September 30, 2024</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2023</w:t>
            </w:r>
          </w:p>
        </w:tc>
      </w:tr>
      <w:tr>
        <w:trPr>
          <w:trHeight w:val="26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Senior Secured Credit Facility:</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75"/>
        </w:trPr>
        <w:tc>
          <w:tcPr>
            <w:tcW w:w="6540" w:type="dxa"/>
            <w:vAlign w:val="bottom"/>
          </w:tcPr>
          <w:p>
            <w:pPr>
              <w:ind w:left="240"/>
              <w:spacing w:after="0"/>
              <w:rPr>
                <w:sz w:val="20"/>
                <w:szCs w:val="20"/>
                <w:color w:val="auto"/>
              </w:rPr>
            </w:pPr>
            <w:r>
              <w:rPr>
                <w:rFonts w:ascii="Arial" w:cs="Arial" w:eastAsia="Arial" w:hAnsi="Arial"/>
                <w:sz w:val="20"/>
                <w:szCs w:val="20"/>
                <w:color w:val="auto"/>
              </w:rPr>
              <w:t>Term loan facility</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234,950</w:t>
            </w:r>
          </w:p>
        </w:tc>
        <w:tc>
          <w:tcPr>
            <w:tcW w:w="2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238,175</w:t>
            </w:r>
          </w:p>
        </w:tc>
      </w:tr>
      <w:tr>
        <w:trPr>
          <w:trHeight w:val="292"/>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Revolving credit facility</w:t>
            </w:r>
          </w:p>
        </w:tc>
        <w:tc>
          <w:tcPr>
            <w:tcW w:w="18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654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secured credit facility</w:t>
            </w:r>
          </w:p>
        </w:tc>
        <w:tc>
          <w:tcPr>
            <w:tcW w:w="18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234,950</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238,175</w:t>
            </w:r>
          </w:p>
        </w:tc>
      </w:tr>
      <w:tr>
        <w:trPr>
          <w:trHeight w:val="257"/>
        </w:trPr>
        <w:tc>
          <w:tcPr>
            <w:tcW w:w="6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75"/>
        </w:trPr>
        <w:tc>
          <w:tcPr>
            <w:tcW w:w="6540" w:type="dxa"/>
            <w:vAlign w:val="bottom"/>
          </w:tcPr>
          <w:p>
            <w:pPr>
              <w:ind w:left="20"/>
              <w:spacing w:after="0"/>
              <w:rPr>
                <w:sz w:val="20"/>
                <w:szCs w:val="20"/>
                <w:color w:val="auto"/>
              </w:rPr>
            </w:pPr>
            <w:r>
              <w:rPr>
                <w:rFonts w:ascii="Arial" w:cs="Arial" w:eastAsia="Arial" w:hAnsi="Arial"/>
                <w:sz w:val="20"/>
                <w:szCs w:val="20"/>
                <w:color w:val="auto"/>
              </w:rPr>
              <w:t>Convertible notes</w:t>
            </w:r>
          </w:p>
        </w:tc>
        <w:tc>
          <w:tcPr>
            <w:tcW w:w="180" w:type="dxa"/>
            <w:vAlign w:val="bottom"/>
          </w:tcPr>
          <w:p>
            <w:pPr>
              <w:spacing w:after="0"/>
              <w:rPr>
                <w:sz w:val="23"/>
                <w:szCs w:val="23"/>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425,000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425,000</w:t>
            </w:r>
          </w:p>
        </w:tc>
      </w:tr>
      <w:tr>
        <w:trPr>
          <w:trHeight w:val="292"/>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debt</w:t>
            </w:r>
          </w:p>
        </w:tc>
        <w:tc>
          <w:tcPr>
            <w:tcW w:w="18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33,038</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39,889</w:t>
            </w:r>
          </w:p>
        </w:tc>
      </w:tr>
      <w:tr>
        <w:trPr>
          <w:trHeight w:val="268"/>
        </w:trPr>
        <w:tc>
          <w:tcPr>
            <w:tcW w:w="6540" w:type="dxa"/>
            <w:vAlign w:val="bottom"/>
          </w:tcPr>
          <w:p>
            <w:pPr>
              <w:ind w:left="20"/>
              <w:spacing w:after="0"/>
              <w:rPr>
                <w:sz w:val="20"/>
                <w:szCs w:val="20"/>
                <w:color w:val="auto"/>
              </w:rPr>
            </w:pPr>
            <w:r>
              <w:rPr>
                <w:rFonts w:ascii="Arial" w:cs="Arial" w:eastAsia="Arial" w:hAnsi="Arial"/>
                <w:sz w:val="20"/>
                <w:szCs w:val="20"/>
                <w:color w:val="auto"/>
              </w:rPr>
              <w:t>Total principal</w:t>
            </w:r>
          </w:p>
        </w:tc>
        <w:tc>
          <w:tcPr>
            <w:tcW w:w="180" w:type="dxa"/>
            <w:vAlign w:val="bottom"/>
          </w:tcPr>
          <w:p>
            <w:pPr>
              <w:spacing w:after="0"/>
              <w:rPr>
                <w:sz w:val="23"/>
                <w:szCs w:val="23"/>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692,988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703,064</w:t>
            </w:r>
          </w:p>
        </w:tc>
      </w:tr>
      <w:tr>
        <w:trPr>
          <w:trHeight w:val="292"/>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Unamortized discount and issuance costs, total</w:t>
            </w:r>
          </w:p>
        </w:tc>
        <w:tc>
          <w:tcPr>
            <w:tcW w:w="18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(16,615)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(20,644)</w:t>
            </w: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Current portion of debt</w:t>
            </w: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(28,055)</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(21,472)</w:t>
            </w:r>
          </w:p>
        </w:tc>
      </w:tr>
      <w:tr>
        <w:trPr>
          <w:trHeight w:val="29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long-term debt, net of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648,318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660,948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3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October 14, 2020, the Company entered into a credit agreement (as amended, the “Credit Agreement”) governing the Company’s senior secured credit facility, consisting of (i) a $575 million senior secured 7-year term loan facility (the “Term Loan Facility”) and (ii) a $200 million senior secured 5-year revolving credit facility (the “Revolving Credit Facility” and, together with the Term Loan Facility, the “Senior Secured Credit Facility”). The Credit Agreement was amended on February 23, 2021 (the “First Amendment”), on February 26, 2021 (the “Second Amendment”) and again on March 2, 2023 (the “Third Amendment”).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had no outstanding balance under the Revolving Credit Facility at September 30, 2024 and December 31, 2023. At September 30, 2024 and December 31, 2023 the Company had $16.4 million and $24.8 million, respectively, in standby letters of credit, and $183.6 million and $175.2 million, respectively, available to withdraw. In accordance with the Third Amendment, the Revolving Credit Facility pays interest at the Company’s election, at either (x) for SOFR Loans at Adjusted Term SOFR (as defined in the Credit Agreement) plus 3.25% or (y) for Base Rate Loans at the higher of the Prime Rate, one half of 1.00% above the Federal Funds Rate or the Adjusted Term SOFR for one-month interest period, after giving effect to any floor plus 1.00%, plus 2.25%.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outstanding balance on the Term Loan Facility was $235.0 million and $238.2 million as of September 30, 2024 and December 31, 2023, respectively. The Term Loan Facility is presented in the accompanying condensed consolidated balance sheets, net of debt discount and issuance costs of $8.7 million and $11.3 million as of September 30, 2024 and December 31, 2023, respectively. In accordance with the Third Amendment, the Term Loan Facility pays interest at the Company’s election, at either (x) for SOFR Loans at Adjusted Term SOFR (subject to a floor of 0.50%) plus 3.25% or (y) for Base Rate Loans at the higher of the Prime Rate, one half of 1.00% above the Federal Funds Rate or the Adjusted Term SOFR for one-month interest period, after giving effect to any floor plus 1.00%, plus 2.25%. The debt discount and issuance costs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3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are being amortized using the effective interest method and the effective interest rate of the Term Loan Facility as of September 30, 2024, was 10.20%. The Term Loan Facility has an annual excess cash flow calculation, for which the prescribed formula did not result in requiring the Company to make an advance principal payment for the year ended December 31, 2023.</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Convertible Notes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December 3, 2021 and December 9, 2021, the Company completed a $425 million private offering ($375 million and $50 million, respectively), of its 1.00% Convertible Senior Notes due 2028 (the “Convertible Notes”), resulting in proceeds of $413.3 million ($364.7 million and $48.6 million, respectively), after deducting the original issue discount of 2.75%. The Convertible Notes were issued pursuant to an indenture, dated December 3, 2021, between the Company and U.S. Bank National Association, as trustee.</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 As of September 30, 2024 and December 31, 2023, the principal balance of the Convertible Notes was $425.0 million with unamortized discount and issuance costs of $8.0 million and $9.4 million, respectively, for a net carrying amount of $417.0 million and $415.6 million, respectively.</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conversion rate for the Convertible Notes was initially 41.9054 shares of the Company’s common stock per $1,000 principal amount of Convertible Notes, which was equivalent to an initial conversion price of approximately $23.86 per share of common stock or 10.1 million shares of common stock. The Convertible Notes were not convertible during the nine months ended September 30, 2024, and none have been converted to date. Also, given that the average market price of the Company’s common stock has not exceeded the exercise price since inception, there was no dilutive impact for the three and nine months ended September 30, 2024.</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Capped Calls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issued pursuant to the agreements (the “Capped Calls”), the Company would receive shares of its common stock equal to approximately 17.8 million shares (a) multiplied by (i) the lower of $36.0200 or the then-current market price of its common stock, less (ii) the applicable exercise price, $23.86, and (b) divided by the then-current market price of its common stock. The results of this formula are that the Company would receive more shares as the market price of its common stock exceeds the exercise price and approaches the cap, which was initially, and remains currently, $36.02 per share.</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Consequently, if the Convertible Notes are converted, then the number of shares to be issued by the Company would be effectively partially offset by the shares of common stock received by the Company under the 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1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Company can also elect to receive the equivalent value of cash in lieu of shares of common stock upon settlement, except in certain circumstances. The Capped Calls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 See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for information regarding the accounting for the Capped Calls.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Debt</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Other debt consists of the debt obligations of STI (“Other Debt”) and the $33.0 million balance is denominated in Euros. Interest rates on other debt range from 3.63% to 4.53% annually.</w:t>
      </w:r>
    </w:p>
    <w:p>
      <w:pPr>
        <w:spacing w:after="0" w:line="192"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entered into a Securities Purchase Agreement (the “SPA”) with certain investors (the “Purchasers”) pursuant to which, on August 11, 2021, the Company issued 350,000 shares of its newly designated Series A Redeemable Perpetual Preferred Stock (the “Series A Shares”) and 7,098,765 shares of the Company’s common stock for an aggregate purchase price of $346.0 million (the “Initial Closing”). Further, pursuant to the SPA, on September 27, 2021, the Company issued and sold to the Purchasers 776,235 shares of common stock for an aggregate purchase price of $ 776 (the “Prepaid Forward Contract”). The Company used the net proceeds from the initial Closing to repay the $102.0 million outstanding balance under its existing Revolving Credit Facility and prepay $100.0 million of the Company’s Term Loan Facility. The Series A Shares have no maturity date.</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Put Option included in the SPA required the Purchasers to purchase up to an additional 150,000 shares of Series A Shares and up to 3,375,000 shares of common stock (or up to 6,100,000 shares of common stock in the event of certain price-related adjustments) until June 30, 2023, subject to certain equitable adjustments pursuant to any stock dividend, stock split, stock combination, reclassification or similar transaction, for an aggregate purchase price up to $148.0 million (the “Delayed Draw Commitment” or the “Put Option”). The Put Option expired effective June 30, 2023.</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January 7, 2022, pursuant to the Put Option, the Company issued and sold to the Purchasers 50,000 shares of Series A Shares and 1,125,000 shares of the Company’s common stock in an additional closing for an aggregate purchase price of $49.4 million (the “Additional Closing”).</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classified the Series A Shares as temporary equity and is accreting the carrying amount to its full redemption amount from the date of issuance to the earliest redemption date using the effective interest method. Such accretion totaled $20.4 million and $18.8 million for the nine months ended September 30, 2024 and 2023,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On or prior to the fifth anniversary of the Initial Closing, the Company may pay dividends on the Series A Shares either in (i) cash at the then-applicable Cash Regular Dividend Rate (as defined below), (ii) through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accrual to the Liquidation Preference at the Accrued Regular Dividend Rate of 6.25% (the “Permitted Accrued Dividends”), or</w:t>
      </w:r>
    </w:p>
    <w:p>
      <w:pPr>
        <w:spacing w:after="0" w:line="31" w:lineRule="exact"/>
        <w:rPr>
          <w:sz w:val="20"/>
          <w:szCs w:val="20"/>
          <w:color w:val="auto"/>
        </w:rPr>
      </w:pPr>
    </w:p>
    <w:p>
      <w:pPr>
        <w:jc w:val="both"/>
        <w:ind w:firstLine="8"/>
        <w:spacing w:after="0" w:line="260" w:lineRule="auto"/>
        <w:tabs>
          <w:tab w:leader="none" w:pos="325" w:val="left"/>
        </w:tabs>
        <w:numPr>
          <w:ilvl w:val="0"/>
          <w:numId w:val="13"/>
        </w:numPr>
        <w:rPr>
          <w:rFonts w:ascii="Arial" w:cs="Arial" w:eastAsia="Arial" w:hAnsi="Arial"/>
          <w:sz w:val="20"/>
          <w:szCs w:val="20"/>
          <w:color w:val="auto"/>
        </w:rPr>
      </w:pPr>
      <w:r>
        <w:rPr>
          <w:rFonts w:ascii="Arial" w:cs="Arial" w:eastAsia="Arial" w:hAnsi="Arial"/>
          <w:sz w:val="20"/>
          <w:szCs w:val="20"/>
          <w:color w:val="auto"/>
        </w:rPr>
        <w:t>a combination thereof. Following the fifth anniversary of the Initial Closing, dividends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VWAP of the Company’s common stock (“Non-Cash Dividend”).</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used herein, “Liquidation Preference” means, with respect to the Series A Shares, the initial liquidation preference of $1,000 per share, plus accrued dividends of such share at the time of the determination.</w:t>
      </w:r>
    </w:p>
    <w:p>
      <w:pPr>
        <w:spacing w:after="0" w:line="194"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During the nine months ended September 30, 2024, the Company accrued dividends on the Series A Shares at the Accrued Regular Dividend rate of 6.25% totaling $20.9 million. As of September 30, 2024, total accrued and unpaid dividends were $53.7 million.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Series A Shares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During the three months ended June 30, 2023, the Company paid the Purchasers a per annum cash commitment fee totaling $1.5 million on the unpurchased portion of the Put Option. The Put Option expired effective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10"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58" w:lineRule="exact"/>
        <w:rPr>
          <w:sz w:val="20"/>
          <w:szCs w:val="20"/>
          <w:color w:val="auto"/>
        </w:rPr>
      </w:pPr>
    </w:p>
    <w:p>
      <w:pPr>
        <w:jc w:val="both"/>
        <w:ind w:right="20"/>
        <w:spacing w:after="0" w:line="273" w:lineRule="auto"/>
        <w:rPr>
          <w:sz w:val="20"/>
          <w:szCs w:val="20"/>
          <w:color w:val="auto"/>
        </w:rPr>
      </w:pPr>
      <w:r>
        <w:rPr>
          <w:rFonts w:ascii="Arial" w:cs="Arial" w:eastAsia="Arial" w:hAnsi="Arial"/>
          <w:sz w:val="20"/>
          <w:szCs w:val="20"/>
          <w:color w:val="auto"/>
        </w:rPr>
        <w:t>The Company disaggregates its revenue from contracts with customers by sales recorded over time and sales recorded at a point in time. The following table presents the Company’s disaggregated revenues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0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4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b w:val="1"/>
                <w:bCs w:val="1"/>
                <w:color w:val="auto"/>
                <w:w w:val="99"/>
              </w:rPr>
              <w:t>Three Months Ended September 30,</w:t>
            </w:r>
          </w:p>
        </w:tc>
        <w:tc>
          <w:tcPr>
            <w:tcW w:w="80" w:type="dxa"/>
            <w:vAlign w:val="bottom"/>
          </w:tcPr>
          <w:p>
            <w:pPr>
              <w:spacing w:after="0"/>
              <w:rPr>
                <w:sz w:val="23"/>
                <w:szCs w:val="23"/>
                <w:color w:val="auto"/>
              </w:rPr>
            </w:pPr>
          </w:p>
        </w:tc>
        <w:tc>
          <w:tcPr>
            <w:tcW w:w="344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r>
      <w:tr>
        <w:trPr>
          <w:trHeight w:val="263"/>
        </w:trPr>
        <w:tc>
          <w:tcPr>
            <w:tcW w:w="30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r>
      <w:tr>
        <w:trPr>
          <w:trHeight w:val="277"/>
        </w:trPr>
        <w:tc>
          <w:tcPr>
            <w:tcW w:w="3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158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174,128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24242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242424"/>
              </w:rPr>
              <w:t>321,154</w:t>
            </w:r>
          </w:p>
        </w:tc>
        <w:tc>
          <w:tcPr>
            <w:tcW w:w="44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508,062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1,120,526</w:t>
            </w:r>
          </w:p>
        </w:tc>
      </w:tr>
      <w:tr>
        <w:trPr>
          <w:trHeight w:val="277"/>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w:t>
            </w:r>
          </w:p>
        </w:tc>
        <w:tc>
          <w:tcPr>
            <w:tcW w:w="1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57,278</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42424"/>
              </w:rPr>
              <w:t>29,284</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132,513</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114,410</w:t>
            </w:r>
          </w:p>
        </w:tc>
      </w:tr>
      <w:tr>
        <w:trPr>
          <w:trHeight w:val="297"/>
        </w:trPr>
        <w:tc>
          <w:tcPr>
            <w:tcW w:w="3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158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231,406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24242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242424"/>
              </w:rPr>
              <w:t>350,438</w:t>
            </w:r>
          </w:p>
        </w:tc>
        <w:tc>
          <w:tcPr>
            <w:tcW w:w="44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640,575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1,234,936</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For certain customer contracts, billing can occur in advance of shipment, resulting in contract liabilities. Billing sometimes occurs subsequent to revenue recognition, resulting in contract assets. The changes in contract assets and the corresponding amounts recorded in revenue relate to fluctuations in the timing and volume of billings.</w:t>
      </w: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Contract assets consisting of unbilled receivables are recorded within accounts receivable, net on the condensed consolidated balance sheets on a contract-by-contract basis at the end of the reporting period and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2024</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2023</w:t>
            </w:r>
          </w:p>
        </w:tc>
      </w:tr>
      <w:tr>
        <w:trPr>
          <w:trHeight w:val="279"/>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77,492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102,603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recorded within Deferred revenue. The changes in contract liabilities relate to advanced orders and payments received by the Company.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Contract liabilities are recorded on a contract-by-contract basis and consisted of the following at the end of each reporting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2024</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2023</w:t>
            </w:r>
          </w:p>
        </w:tc>
      </w:tr>
      <w:tr>
        <w:trPr>
          <w:trHeight w:val="275"/>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112,618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66,488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the nine months ended September 30, 2024, the Company converted $37.6 million in deferred revenue to revenue, which represented 56.7% of the prior year’s deferred revenue balance. Included in deferred revenue as of December 31, 2023 are cash advances for signed contracts that begin several months subsequent to receiving the advance. In addition, deferred revenue includes paid extended warranty, that can be recognized upon expiration of the 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Bill-and-Hold Arrangements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recognized for the Company’s federal investment tax credit (“ITC”)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certain situations, the Company recognizes revenue under a bill-and-hold arrangement with its customers. An example of such a situation is when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All bill-and-hold inventory is bundled or palletized in the Company’s warehouses, separately identified as not belonging to the Company and ready for immediate transport to the customer project upon request. Additionally, title and risk of loss has passed to the customer and the Company does not have the ability to use the product or direct it to another customer.</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the three and nine months ended September 30, 2024, the Company recognized zero and $1.9 million, respectively, in revenue from one customer for the sale of goods and services under bill-and-hold arrangements. During the three and nine months ended September 30, 2023, the Company recognized zero and $22.8 million, respectively, in revenue from one customer for the sale of goods and services under bill-and-hold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of September 30, 2024, the Company had $ 466.9 million of remaining performance obligations. The Company expects to recognize revenue on 94% of these performance obligations in the next twelve months.</w:t>
      </w:r>
    </w:p>
    <w:p>
      <w:pPr>
        <w:spacing w:after="0" w:line="179"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72"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The following table sets forth the computation of basic and diluted (loss) income per share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520" w:type="dxa"/>
            <w:vAlign w:val="bottom"/>
            <w:gridSpan w:val="6"/>
          </w:tcPr>
          <w:p>
            <w:pPr>
              <w:ind w:left="40"/>
              <w:spacing w:after="0"/>
              <w:rPr>
                <w:sz w:val="20"/>
                <w:szCs w:val="20"/>
                <w:color w:val="auto"/>
              </w:rPr>
            </w:pPr>
            <w:r>
              <w:rPr>
                <w:rFonts w:ascii="Arial" w:cs="Arial" w:eastAsia="Arial" w:hAnsi="Arial"/>
                <w:sz w:val="20"/>
                <w:szCs w:val="20"/>
                <w:b w:val="1"/>
                <w:bCs w:val="1"/>
                <w:color w:val="auto"/>
              </w:rPr>
              <w:t>Three Months Ended September 30,</w:t>
            </w:r>
          </w:p>
        </w:tc>
        <w:tc>
          <w:tcPr>
            <w:tcW w:w="3460" w:type="dxa"/>
            <w:vAlign w:val="bottom"/>
            <w:gridSpan w:val="6"/>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 income</w:t>
            </w:r>
          </w:p>
        </w:tc>
        <w:tc>
          <w:tcPr>
            <w:tcW w:w="56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(141,354)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23,098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(113,491)</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117,898</w:t>
            </w: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preferred dividends and accretion</w:t>
            </w:r>
          </w:p>
        </w:tc>
        <w:tc>
          <w:tcPr>
            <w:tcW w:w="1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14,080</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13,091</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41,332</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38,359</w:t>
            </w:r>
          </w:p>
        </w:tc>
        <w:tc>
          <w:tcPr>
            <w:tcW w:w="0" w:type="dxa"/>
            <w:vAlign w:val="bottom"/>
          </w:tcPr>
          <w:p>
            <w:pPr>
              <w:spacing w:after="0"/>
              <w:rPr>
                <w:sz w:val="1"/>
                <w:szCs w:val="1"/>
                <w:color w:val="auto"/>
              </w:rPr>
            </w:pPr>
          </w:p>
        </w:tc>
      </w:tr>
      <w:tr>
        <w:trPr>
          <w:trHeight w:val="275"/>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 income to common shareholders</w:t>
            </w: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(155,434)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(154,823)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79,539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Basic:</w:t>
            </w: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151,923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151,068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151,691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150,865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80" w:type="dxa"/>
            <w:vAlign w:val="bottom"/>
          </w:tcPr>
          <w:p>
            <w:pPr>
              <w:ind w:left="240"/>
              <w:spacing w:after="0"/>
              <w:rPr>
                <w:sz w:val="20"/>
                <w:szCs w:val="20"/>
                <w:color w:val="auto"/>
              </w:rPr>
            </w:pPr>
            <w:r>
              <w:rPr>
                <w:rFonts w:ascii="Arial" w:cs="Arial" w:eastAsia="Arial" w:hAnsi="Arial"/>
                <w:sz w:val="20"/>
                <w:szCs w:val="20"/>
                <w:color w:val="auto"/>
              </w:rPr>
              <w:t>(Loss) income per share</w:t>
            </w:r>
          </w:p>
        </w:tc>
        <w:tc>
          <w:tcPr>
            <w:tcW w:w="56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0.07</w:t>
            </w:r>
          </w:p>
        </w:tc>
        <w:tc>
          <w:tcPr>
            <w:tcW w:w="8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2"/>
                <w:szCs w:val="22"/>
                <w:color w:val="auto"/>
              </w:rPr>
            </w:pPr>
          </w:p>
        </w:tc>
        <w:tc>
          <w:tcPr>
            <w:tcW w:w="360" w:type="dxa"/>
            <w:vAlign w:val="bottom"/>
            <w:gridSpan w:val="2"/>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0.52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Diluted:</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80" w:type="dxa"/>
            <w:vAlign w:val="bottom"/>
          </w:tcPr>
          <w:p>
            <w:pPr>
              <w:ind w:left="240"/>
              <w:spacing w:after="0"/>
              <w:rPr>
                <w:sz w:val="20"/>
                <w:szCs w:val="20"/>
                <w:color w:val="auto"/>
              </w:rPr>
            </w:pPr>
            <w:r>
              <w:rPr>
                <w:rFonts w:ascii="Arial" w:cs="Arial" w:eastAsia="Arial" w:hAnsi="Arial"/>
                <w:sz w:val="20"/>
                <w:szCs w:val="20"/>
                <w:color w:val="auto"/>
              </w:rPr>
              <w:t>Effect of restricted stock and performance</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80" w:type="dxa"/>
            <w:vAlign w:val="bottom"/>
          </w:tcPr>
          <w:p>
            <w:pPr>
              <w:ind w:left="240"/>
              <w:spacing w:after="0"/>
              <w:rPr>
                <w:sz w:val="20"/>
                <w:szCs w:val="20"/>
                <w:color w:val="auto"/>
              </w:rPr>
            </w:pPr>
            <w:r>
              <w:rPr>
                <w:rFonts w:ascii="Arial" w:cs="Arial" w:eastAsia="Arial" w:hAnsi="Arial"/>
                <w:sz w:val="20"/>
                <w:szCs w:val="20"/>
                <w:color w:val="auto"/>
              </w:rPr>
              <w:t>awards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1,255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1,219</w:t>
            </w:r>
          </w:p>
        </w:tc>
        <w:tc>
          <w:tcPr>
            <w:tcW w:w="0" w:type="dxa"/>
            <w:vAlign w:val="bottom"/>
          </w:tcPr>
          <w:p>
            <w:pPr>
              <w:spacing w:after="0"/>
              <w:rPr>
                <w:sz w:val="1"/>
                <w:szCs w:val="1"/>
                <w:color w:val="auto"/>
              </w:rPr>
            </w:pPr>
          </w:p>
        </w:tc>
      </w:tr>
      <w:tr>
        <w:trPr>
          <w:trHeight w:val="283"/>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151,923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152,323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151,691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152,083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80" w:type="dxa"/>
            <w:vAlign w:val="bottom"/>
          </w:tcPr>
          <w:p>
            <w:pPr>
              <w:ind w:left="240"/>
              <w:spacing w:after="0"/>
              <w:rPr>
                <w:sz w:val="20"/>
                <w:szCs w:val="20"/>
                <w:color w:val="auto"/>
              </w:rPr>
            </w:pPr>
            <w:r>
              <w:rPr>
                <w:rFonts w:ascii="Arial" w:cs="Arial" w:eastAsia="Arial" w:hAnsi="Arial"/>
                <w:sz w:val="20"/>
                <w:szCs w:val="20"/>
                <w:color w:val="auto"/>
              </w:rPr>
              <w:t>Income per share</w:t>
            </w:r>
          </w:p>
        </w:tc>
        <w:tc>
          <w:tcPr>
            <w:tcW w:w="56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0.07</w:t>
            </w:r>
          </w:p>
        </w:tc>
        <w:tc>
          <w:tcPr>
            <w:tcW w:w="8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2"/>
                <w:szCs w:val="22"/>
                <w:color w:val="auto"/>
              </w:rPr>
            </w:pPr>
          </w:p>
        </w:tc>
        <w:tc>
          <w:tcPr>
            <w:tcW w:w="360" w:type="dxa"/>
            <w:vAlign w:val="bottom"/>
            <w:gridSpan w:val="2"/>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0.52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Since the Company was in a loss position for the three and nine months ended September 30, 2024, basic net loss per share to common shareholders is the same as diluted net loss per share to common stockholders, as the inclusion of all potential shares of common stock outstanding would have been anti-dilutive. At September 30, 2024 and 2023, 3,834,690 and 34,634 respectively, of common stock equivalents were excluded from the calculation of diluted net loss per share to common stockholders, as they had an antidilutive effect.</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There were no potentially dilutive common shares issuable pursuant to the Convertible Notes for both the nine months ended September 30, 2024 and 2023, as the average market price of the Company’s common stock has not exceeded the exercise price since their issuance.</w:t>
      </w:r>
    </w:p>
    <w:p>
      <w:pPr>
        <w:spacing w:after="0" w:line="210"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On May 14, 2021, a putative class action was filed in the U.S. District Court for the Southern District of New York against the Company and certain officers and directors alleging violations of Sections 10(b) and 20(a) of the Securities Exchange Act of 1934, and Rule 10b-5, promulgated thereunder, and Sections 11, 12(a)(2) and 15 of the Securities Exchange Act of 1933 (“Plymouth Action”). The complaint alleges misstatements and/or omissions in the Company’s registration statements and prospectuses related to the Company’s October 2020 initial public offering (“IPO”), the Company’s December 2020 offering, and the Company’s March 2021 offering during the putative class period of October 14, 2020 through May 11, 2021. A consolidated amended class action complaint was filed on December 7, 2021, with additional allegations regarding misstatements and/or omissions in: (1) in the Company’s Annual Report on Form 10-K and associated press release announcing results for the fourth quarter and full fiscal year 2020; and (2) in the Company’s November 5, 2020, and March 9, 2021, earnings calls.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June 30, 2021, a substantially similar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which was consolidated with the Plymouth Action.</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All Defendants in the Plymouth Action, including the Company, moved to dismiss the consolidated amended complaint. On May 19, 2023, the Court granted the Company’s motion to dismiss and, on July 5, 2023, denied a request from the Plymouth Action plaintiffs for leave to amend the consolidated amended complaint and dismissed the Plymouth Action in its entirety with prejudice.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4, 2023, the lead plaintiffs filed a notice of appeal of the Court’s dismissal of the consolidated amended complaint to the U.S. Court of Appeals for the Second Circuit. After full briefing, the Court of Appeals heard oral argument on June 26, 2024 and the case is pending decision by the Court.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The complaint alleges: (1) violations of Section 14(a) of the Securities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Exchange Act of 1934 for misleading proxy statements, (2) breach of fiduciary duty, (3) unjust enrichment, (4) abuse of control,</w:t>
      </w:r>
    </w:p>
    <w:p>
      <w:pPr>
        <w:spacing w:after="0" w:line="31" w:lineRule="exact"/>
        <w:rPr>
          <w:sz w:val="20"/>
          <w:szCs w:val="20"/>
          <w:color w:val="auto"/>
        </w:rPr>
      </w:pPr>
    </w:p>
    <w:p>
      <w:pPr>
        <w:jc w:val="both"/>
        <w:ind w:firstLine="8"/>
        <w:spacing w:after="0" w:line="264" w:lineRule="auto"/>
        <w:tabs>
          <w:tab w:leader="none" w:pos="330" w:val="left"/>
        </w:tabs>
        <w:numPr>
          <w:ilvl w:val="0"/>
          <w:numId w:val="17"/>
        </w:numPr>
        <w:rPr>
          <w:rFonts w:ascii="Arial" w:cs="Arial" w:eastAsia="Arial" w:hAnsi="Arial"/>
          <w:sz w:val="20"/>
          <w:szCs w:val="20"/>
          <w:color w:val="auto"/>
        </w:rPr>
      </w:pPr>
      <w:r>
        <w:rPr>
          <w:rFonts w:ascii="Arial" w:cs="Arial" w:eastAsia="Arial" w:hAnsi="Arial"/>
          <w:sz w:val="20"/>
          <w:szCs w:val="20"/>
          <w:color w:val="auto"/>
        </w:rPr>
        <w:t>gross mismanagement, (6) corporate waste, (7) aiding and abetting breach of fiduciary duty, and (8) contribution under sections 10(b) and 21D of the Securities Exchange Act of 1934. On July 30, 2021, a second verified derivative complaint was filed in the Southern District of New York against certain officers and directors of the Company. The complaint alleges: (1) violations of Section 14(a) of the Securities Exchange Act of 1934 for causing the issuance of a false/misleading proxy statement, (2) breach of fiduciary duty, and (3) aiding and abetting breaches of fiduciary duty.</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August 24, 2021, the Southern District of New York derivative actions were consolidated and the Court appointed co-lead counsel. The consolidated cases remain stayed pending the outcome of the appeal of the Plymouth Action.</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August 3, 2022, a verified derivative complaint was filed in the Court of Chancery of the State of Delaware against certain officers and directors of the Company, asserting claims for: (1) breach of fiduciary duty and (2) unjust enrichment. On August 11, 2022, a second verified derivative complaint was filed against certain officers and directors of the Company Court of Chancery, asserting claims for: (1) breach of fiduciary duty; (2) aiding and abetting breaches of fiduciary duty; (3) waste of corporate assets; (4) unjust enrichment; (5) insider selling; and (6) aiding and abetting insider selling.</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On September 2, 2022, the Chancery Court derivative cases were consolidated and the Court appointed co-lead counsel. The consolidated cases have been stayed pending the outcome of the appeal of the Plymouth Action.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At this time the Company believes that the likelihood of any material loss related to these matters is remote given the preliminary stage of the claims and strength of the Company’s defenses. The Company has not recorded any material loss contingency in the condensed consolidated balance sheets as of September 30, 2024.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Supplier Settlement</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During March 2024, the Company reached a settlement with one of its vendors, in which the Company received $4.0 million in the form of a one-time $2.6 million cash payment due immediately, and $1.4 million in credits with the vendor which can be applied by the Company to future orders from the respective vendor. If the Company does not utilize all of the credits by January 2026, it will receive a one-time cash payment from the vendor for the remaining unused credit balance. As of March 31, 2024, the Company recognized $4.0 million in Prepaid and other expenses, net on the condensed consolidated balance sheet and for the three months ended March 31, 2024, a $4.0 million reduction to Cost of revenue on the condensed consolidated statement of operations.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is party to various other legal proceedings, claims, governmental and/or regulatory inspections, inquiries and investigations arising out of the ordinary course of its business. The Company believes that, there are no other proceedings or claims pending against it, the ultimate resolution of which could have a material adverse effect on its financial condition or results of operations. In all cases, at each reporting period, the Company evaluates whether or not a potential loss amount or a potential range of loss is probable and reasonably estimable under ASC 450, Contingencies (ASC 450). Legal costs are expensed as incurred. It is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possible that future results for any particular quarter or annual period may be materially affected by changes in our assumption or the effectiveness of the Company’s strategies relating to these proceedings.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Concurrent with the Former Parent’s acquisition of Array Technologies Patent Holdings Co., LLC on July 8, 2016, the Company’s operating subsidiary, Array Tech, Inc. (f/k/a Array Technologies, Inc.), entered into a Tax Receivable Agreement (the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Tech, Inc., from the use of certain deductions generated by the increase in the tax value of the developed technology. The TRA is accounted for as contingent consideration and subsequent changes in fair value of the contingent liability are recognized in contingent consideration on the condensed consolidated statements of operations. As of September 30, 2024 and December 31, 2023, the fair value of the TRA was $8.7 million and $10.4 million, respectively.</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estimated TRA liability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300" w:type="dxa"/>
            <w:vAlign w:val="bottom"/>
          </w:tcPr>
          <w:p>
            <w:pPr>
              <w:spacing w:after="0"/>
              <w:rPr>
                <w:sz w:val="23"/>
                <w:szCs w:val="23"/>
                <w:color w:val="auto"/>
              </w:rPr>
            </w:pPr>
          </w:p>
        </w:tc>
        <w:tc>
          <w:tcPr>
            <w:tcW w:w="3520" w:type="dxa"/>
            <w:vAlign w:val="bottom"/>
            <w:gridSpan w:val="6"/>
          </w:tcPr>
          <w:p>
            <w:pPr>
              <w:ind w:left="40"/>
              <w:spacing w:after="0"/>
              <w:rPr>
                <w:sz w:val="20"/>
                <w:szCs w:val="20"/>
                <w:color w:val="auto"/>
              </w:rPr>
            </w:pPr>
            <w:r>
              <w:rPr>
                <w:rFonts w:ascii="Arial" w:cs="Arial" w:eastAsia="Arial" w:hAnsi="Arial"/>
                <w:sz w:val="20"/>
                <w:szCs w:val="20"/>
                <w:b w:val="1"/>
                <w:bCs w:val="1"/>
                <w:color w:val="auto"/>
              </w:rPr>
              <w:t>Three Months Ended September 30,</w:t>
            </w:r>
          </w:p>
        </w:tc>
        <w:tc>
          <w:tcPr>
            <w:tcW w:w="3420" w:type="dxa"/>
            <w:vAlign w:val="bottom"/>
            <w:gridSpan w:val="5"/>
          </w:tcPr>
          <w:p>
            <w:pPr>
              <w:jc w:val="right"/>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430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6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r>
      <w:tr>
        <w:trPr>
          <w:trHeight w:val="277"/>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080" w:type="dxa"/>
            <w:vAlign w:val="bottom"/>
            <w:shd w:val="clear" w:color="auto" w:fill="CCEEFF"/>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8,704</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10,363</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8,587</w:t>
            </w:r>
          </w:p>
        </w:tc>
      </w:tr>
      <w:tr>
        <w:trPr>
          <w:trHeight w:val="282"/>
        </w:trPr>
        <w:tc>
          <w:tcPr>
            <w:tcW w:w="430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0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(1,427)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(1,200)</w:t>
            </w:r>
          </w:p>
        </w:tc>
      </w:tr>
      <w:tr>
        <w:trPr>
          <w:trHeight w:val="283"/>
        </w:trPr>
        <w:tc>
          <w:tcPr>
            <w:tcW w:w="43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0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190</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(271)</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2,232</w:t>
            </w:r>
          </w:p>
        </w:tc>
      </w:tr>
      <w:tr>
        <w:trPr>
          <w:trHeight w:val="279"/>
        </w:trPr>
        <w:tc>
          <w:tcPr>
            <w:tcW w:w="430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080" w:type="dxa"/>
            <w:vAlign w:val="bottom"/>
            <w:tcBorders>
              <w:bottom w:val="single" w:sz="8" w:color="auto"/>
            </w:tcBorders>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8,665</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9,619</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8,665</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9,619</w:t>
            </w: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The TRA liability requires significant judgment and is classified as Level 3 in the fair value hierarchy.</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September 30, 2024, the Company posted surety bonds in the total amount of $198.2 million. 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310"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estimated fair values of the Company’s debt financial instruments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5"/>
          </w:tcPr>
          <w:p>
            <w:pPr>
              <w:ind w:left="660"/>
              <w:spacing w:after="0"/>
              <w:rPr>
                <w:sz w:val="20"/>
                <w:szCs w:val="20"/>
                <w:color w:val="auto"/>
              </w:rPr>
            </w:pPr>
            <w:r>
              <w:rPr>
                <w:rFonts w:ascii="Arial" w:cs="Arial" w:eastAsia="Arial" w:hAnsi="Arial"/>
                <w:sz w:val="20"/>
                <w:szCs w:val="20"/>
                <w:b w:val="1"/>
                <w:bCs w:val="1"/>
                <w:color w:val="auto"/>
              </w:rPr>
              <w:t>September 30, 2024</w:t>
            </w:r>
          </w:p>
        </w:tc>
        <w:tc>
          <w:tcPr>
            <w:tcW w:w="140" w:type="dxa"/>
            <w:vAlign w:val="bottom"/>
          </w:tcPr>
          <w:p>
            <w:pPr>
              <w:spacing w:after="0"/>
              <w:rPr>
                <w:sz w:val="24"/>
                <w:szCs w:val="24"/>
                <w:color w:val="auto"/>
              </w:rPr>
            </w:pPr>
          </w:p>
        </w:tc>
        <w:tc>
          <w:tcPr>
            <w:tcW w:w="3320" w:type="dxa"/>
            <w:vAlign w:val="bottom"/>
            <w:gridSpan w:val="4"/>
          </w:tcPr>
          <w:p>
            <w:pPr>
              <w:jc w:val="right"/>
              <w:ind w:right="741"/>
              <w:spacing w:after="0"/>
              <w:rPr>
                <w:sz w:val="20"/>
                <w:szCs w:val="20"/>
                <w:color w:val="auto"/>
              </w:rPr>
            </w:pPr>
            <w:r>
              <w:rPr>
                <w:rFonts w:ascii="Arial" w:cs="Arial" w:eastAsia="Arial" w:hAnsi="Arial"/>
                <w:sz w:val="20"/>
                <w:szCs w:val="20"/>
                <w:b w:val="1"/>
                <w:bCs w:val="1"/>
                <w:color w:val="auto"/>
              </w:rPr>
              <w:t>December 31, 2023</w:t>
            </w:r>
          </w:p>
        </w:tc>
      </w:tr>
      <w:tr>
        <w:trPr>
          <w:trHeight w:val="253"/>
        </w:trPr>
        <w:tc>
          <w:tcPr>
            <w:tcW w:w="42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r>
      <w:tr>
        <w:trPr>
          <w:trHeight w:val="250"/>
        </w:trPr>
        <w:tc>
          <w:tcPr>
            <w:tcW w:w="4260" w:type="dxa"/>
            <w:vAlign w:val="bottom"/>
            <w:tcBorders>
              <w:top w:val="single" w:sz="8" w:color="CCEEFF"/>
            </w:tcBorders>
            <w:shd w:val="clear" w:color="auto" w:fill="CCEEFF"/>
          </w:tcPr>
          <w:p>
            <w:pPr>
              <w:ind w:left="1340"/>
              <w:spacing w:after="0"/>
              <w:rPr>
                <w:sz w:val="20"/>
                <w:szCs w:val="20"/>
                <w:color w:val="auto"/>
              </w:rPr>
            </w:pPr>
            <w:r>
              <w:rPr>
                <w:rFonts w:ascii="Arial" w:cs="Arial" w:eastAsia="Arial" w:hAnsi="Arial"/>
                <w:sz w:val="20"/>
                <w:szCs w:val="20"/>
                <w:color w:val="auto"/>
              </w:rPr>
              <w:t>Convertible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417,049</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314,500</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415,632</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416,500</w:t>
            </w:r>
          </w:p>
        </w:tc>
      </w:tr>
    </w:tbl>
    <w:p>
      <w:pPr>
        <w:spacing w:after="0" w:line="31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fair value of the Convertible Notes is estimated using Level 2 inputs, as they are not registered securities nor listed on any securities exchange but may be traded by qualified institutional buyers.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fair value of the Term Loan Facility and Other Debt is estimated using Level 2 inputs. The carrying values of the Term Loan Facility outstanding under the Senior Secured Credit facility recorded in the condensed consolidated balance sheets approximate fair value due to the variable nature of the interest rates.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Other Debt with an aggregate carrying value of $33.0 million, consists only of variable rate obligations. The carrying value of these variable rate obligations approximate fair value due to the variable nature of the interest rates.</w:t>
      </w:r>
    </w:p>
    <w:p>
      <w:pPr>
        <w:spacing w:after="0" w:line="192"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Equity Incentive Plan</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Pursuant to the 2020 Plan, the Company grants restricted stock units (“RSUs”) to employees and members of the Company’s board of directors. The fair value of the RSUs is determined using the market value of the Company’s common stock on the grant date.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RSU activity under the 2020 Plan during the nine months ended September 30, 2024,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77"/>
        </w:trPr>
        <w:tc>
          <w:tcPr>
            <w:tcW w:w="6560" w:type="dxa"/>
            <w:vAlign w:val="bottom"/>
            <w:tcBorders>
              <w:bottom w:val="single" w:sz="8" w:color="CCEEFF"/>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80"/>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2023</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1,670,509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15.44</w:t>
            </w:r>
          </w:p>
        </w:tc>
        <w:tc>
          <w:tcPr>
            <w:tcW w:w="0" w:type="dxa"/>
            <w:vAlign w:val="bottom"/>
          </w:tcPr>
          <w:p>
            <w:pPr>
              <w:spacing w:after="0"/>
              <w:rPr>
                <w:sz w:val="1"/>
                <w:szCs w:val="1"/>
                <w:color w:val="auto"/>
              </w:rPr>
            </w:pPr>
          </w:p>
        </w:tc>
      </w:tr>
      <w:tr>
        <w:trPr>
          <w:trHeight w:val="282"/>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2,176,206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9.55</w:t>
            </w:r>
          </w:p>
        </w:tc>
        <w:tc>
          <w:tcPr>
            <w:tcW w:w="0" w:type="dxa"/>
            <w:vAlign w:val="bottom"/>
          </w:tcPr>
          <w:p>
            <w:pPr>
              <w:spacing w:after="0"/>
              <w:rPr>
                <w:sz w:val="1"/>
                <w:szCs w:val="1"/>
                <w:color w:val="auto"/>
              </w:rPr>
            </w:pPr>
          </w:p>
        </w:tc>
      </w:tr>
      <w:tr>
        <w:trPr>
          <w:trHeight w:val="285"/>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(708,036)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15.45</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(318,594)</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14.16</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September 30, 2024</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2,820,085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11.01</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Stock Units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has granted performance stock units (“PSUs”) to certain employees.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on the date of grant based on the U.S. Treasury Constant Maturity rates. The following assumptions were used in the Monte Carlo simulation for computing the grant date fair value of the PSUs issued during the nine months ended September 30, 2024 and 2023: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94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2024</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0" w:type="dxa"/>
            <w:vAlign w:val="bottom"/>
          </w:tcPr>
          <w:p>
            <w:pPr>
              <w:jc w:val="right"/>
              <w:ind w:right="881"/>
              <w:spacing w:after="0"/>
              <w:rPr>
                <w:sz w:val="20"/>
                <w:szCs w:val="20"/>
                <w:color w:val="auto"/>
              </w:rPr>
            </w:pPr>
            <w:r>
              <w:rPr>
                <w:rFonts w:ascii="Arial" w:cs="Arial" w:eastAsia="Arial" w:hAnsi="Arial"/>
                <w:sz w:val="20"/>
                <w:szCs w:val="20"/>
                <w:b w:val="1"/>
                <w:bCs w:val="1"/>
                <w:color w:val="auto"/>
              </w:rPr>
              <w:t>2023</w:t>
            </w:r>
          </w:p>
        </w:tc>
      </w:tr>
      <w:tr>
        <w:trPr>
          <w:trHeight w:val="277"/>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Volatility</w:t>
            </w:r>
          </w:p>
        </w:tc>
        <w:tc>
          <w:tcPr>
            <w:tcW w:w="158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79 %</w:t>
            </w:r>
          </w:p>
        </w:tc>
        <w:tc>
          <w:tcPr>
            <w:tcW w:w="80" w:type="dxa"/>
            <w:vAlign w:val="bottom"/>
            <w:tcBorders>
              <w:top w:val="single" w:sz="8" w:color="CCEEFF"/>
            </w:tcBorders>
            <w:shd w:val="clear" w:color="auto" w:fill="CCEEFF"/>
          </w:tcPr>
          <w:p>
            <w:pPr>
              <w:spacing w:after="0"/>
              <w:rPr>
                <w:sz w:val="24"/>
                <w:szCs w:val="24"/>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90 %</w:t>
            </w:r>
          </w:p>
        </w:tc>
      </w:tr>
      <w:tr>
        <w:trPr>
          <w:trHeight w:val="275"/>
        </w:trPr>
        <w:tc>
          <w:tcPr>
            <w:tcW w:w="7940" w:type="dxa"/>
            <w:vAlign w:val="bottom"/>
            <w:gridSpan w:val="2"/>
          </w:tcPr>
          <w:p>
            <w:pPr>
              <w:ind w:left="20"/>
              <w:spacing w:after="0"/>
              <w:rPr>
                <w:sz w:val="20"/>
                <w:szCs w:val="20"/>
                <w:color w:val="auto"/>
              </w:rPr>
            </w:pPr>
            <w:r>
              <w:rPr>
                <w:rFonts w:ascii="Arial" w:cs="Arial" w:eastAsia="Arial" w:hAnsi="Arial"/>
                <w:sz w:val="20"/>
                <w:szCs w:val="20"/>
                <w:color w:val="auto"/>
              </w:rPr>
              <w:t>Risk-free interest rate</w:t>
            </w:r>
          </w:p>
        </w:tc>
        <w:tc>
          <w:tcPr>
            <w:tcW w:w="820" w:type="dxa"/>
            <w:vAlign w:val="bottom"/>
          </w:tcPr>
          <w:p>
            <w:pPr>
              <w:jc w:val="right"/>
              <w:spacing w:after="0"/>
              <w:rPr>
                <w:sz w:val="20"/>
                <w:szCs w:val="20"/>
                <w:color w:val="auto"/>
              </w:rPr>
            </w:pPr>
            <w:r>
              <w:rPr>
                <w:rFonts w:ascii="Arial" w:cs="Arial" w:eastAsia="Arial" w:hAnsi="Arial"/>
                <w:sz w:val="20"/>
                <w:szCs w:val="20"/>
                <w:color w:val="auto"/>
              </w:rPr>
              <w:t>4.62 %</w:t>
            </w:r>
          </w:p>
        </w:tc>
        <w:tc>
          <w:tcPr>
            <w:tcW w:w="8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Arial" w:cs="Arial" w:eastAsia="Arial" w:hAnsi="Arial"/>
                <w:sz w:val="20"/>
                <w:szCs w:val="20"/>
                <w:color w:val="auto"/>
              </w:rPr>
              <w:t>3.74 %</w:t>
            </w:r>
          </w:p>
        </w:tc>
      </w:tr>
      <w:tr>
        <w:trPr>
          <w:trHeight w:val="2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Dividend yield</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2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PSU activity under the 2020 Plan during the nine months ended September 30, 2024,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67"/>
        </w:trPr>
        <w:tc>
          <w:tcPr>
            <w:tcW w:w="656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2023</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692,473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14.54</w:t>
            </w:r>
          </w:p>
        </w:tc>
        <w:tc>
          <w:tcPr>
            <w:tcW w:w="0" w:type="dxa"/>
            <w:vAlign w:val="bottom"/>
          </w:tcPr>
          <w:p>
            <w:pPr>
              <w:spacing w:after="0"/>
              <w:rPr>
                <w:sz w:val="1"/>
                <w:szCs w:val="1"/>
                <w:color w:val="auto"/>
              </w:rPr>
            </w:pPr>
          </w:p>
        </w:tc>
      </w:tr>
      <w:tr>
        <w:trPr>
          <w:trHeight w:val="282"/>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586,316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11.74</w:t>
            </w:r>
          </w:p>
        </w:tc>
        <w:tc>
          <w:tcPr>
            <w:tcW w:w="0" w:type="dxa"/>
            <w:vAlign w:val="bottom"/>
          </w:tcPr>
          <w:p>
            <w:pPr>
              <w:spacing w:after="0"/>
              <w:rPr>
                <w:sz w:val="1"/>
                <w:szCs w:val="1"/>
                <w:color w:val="auto"/>
              </w:rPr>
            </w:pPr>
          </w:p>
        </w:tc>
      </w:tr>
      <w:tr>
        <w:trPr>
          <w:trHeight w:val="285"/>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(264,184)</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15.35</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September 30, 2024</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1,014,605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12.60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 three months ended September 30, 2024 and 2023, the Company recognized $2.0 million and $3.4 million, respectively, in equity-based compensation costs. For nine months ended September 30, 2024 and 2023, the Company recognized $6.9 million and $11.9 million, respectively, in equity-based compensation costs. At September 30, 2024, the Company had $24.9 million of unrecognized compensation costs related to RSUs and PSUs, which are expected to be recognized over 2.2 years and 2.3 years,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May 21, 2024, the Human Capital Committee (the “Committee”) of the Board of Directors (the “Board”) of Array Technologies, Inc. adopted the Array Tech, Inc. Deferred Compensation Plan (the “Plan”). The Plan is a non-qualified deferred compensation plan intended to comply with Section 409A of the Internal Revenue Code of 1986, as amended (the “Code”). Participation in the Plan is voluntary and is currently available to U.S. employees of the Company and its subsidiaries at the level of Vice President and above.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Plan allows participants to defer up to 50% of their base salary and/or up to 100% of their cash incentive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There is no maximum dollar limit on the amount that may be deferred by a participant in any year.</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addition, the Company will make a matching contribution to the Plan in respect of cash compensation that could not be recognized under the Company’s 401(k) plan due to the Code Section 401(a)(17) compensation limit ($0.3 million for 2024). The Plan matching contribution will be equal to the matching contribution for the Company’s 401(k) plan for the applicable year. Under the terms of the Plan, the Company may also provide discretionary contributions to participants annually as determined by the Committee. The participants are 100%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32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vested in the amount they defer, and any Company contributions will vest fully on the second anniversary of the date on which the Company contribution was made.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Compensation deferred pursuant to the Plan, along with any Company contributions to the Plan, may be invested by participants in various investment fund vehicles, which mirror the investment fund vehicles offered to participants as part of the Company’s 401(k) plan.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Compensation deferred pursuant to the Plan will be distributed in accordance with elections made by the participant. Participants may elect to receive distributions upon a separation from service or a specified date in the form of a lump sum payment or annual installment payments for up to ten years, for distributions following a separation from service, or five years, for distributions upon a specified date. Compensation deferred pursuant to the Plan may also be distributed in the form of a lump sum benefit in the event of the participant’s death, disability, or unforeseeable emergency that results in “severe financial hardship,” as contemplated by Section 409A of the Code.</w:t>
      </w:r>
    </w:p>
    <w:p>
      <w:pPr>
        <w:spacing w:after="0" w:line="22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Plan does not require the Company to establish any trust, escrow account, or other mechanism to hold the participant deferrals and Company contributions. The obligations of the Company under the Plan are general unsecured obligations.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may amend the Plan at any time, except that no such amendment or termination may adversely affect a participant’s right with respect to the amount of the participant’s accounts as of the date of such amendment or termination. The Company may terminate the Plan at any time, in accordance with the requirements of Section 409A of the Code, and pay the participants their vested amounts in a single lump sum or on a schedule determined by the Committee.</w:t>
      </w:r>
    </w:p>
    <w:p>
      <w:pPr>
        <w:spacing w:after="0" w:line="19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Segment Reporting</w:t>
      </w: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ASC 280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Historically, the Company managed its business on the basis of one operating and reportable segment. Concurrent with the acquisition of STI in January 2022, the Company began operating as two segments; Array Legacy Operations and STI Operations.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following table provides a reconciliation of certain financial information for the Company’s reportable segments to information presented in its condensed consolidated financial statements for the three and nine months ended September 30,</w:t>
      </w:r>
    </w:p>
    <w:p>
      <w:pPr>
        <w:spacing w:after="0"/>
        <w:rPr>
          <w:sz w:val="20"/>
          <w:szCs w:val="20"/>
          <w:color w:val="auto"/>
        </w:rPr>
      </w:pPr>
      <w:r>
        <w:rPr>
          <w:rFonts w:ascii="Arial" w:cs="Arial" w:eastAsia="Arial" w:hAnsi="Arial"/>
          <w:sz w:val="20"/>
          <w:szCs w:val="20"/>
          <w:color w:val="auto"/>
        </w:rPr>
        <w:t>2024 and 2023 (in thousands):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260" w:type="dxa"/>
            <w:vAlign w:val="bottom"/>
          </w:tcPr>
          <w:p>
            <w:pPr>
              <w:spacing w:after="0"/>
              <w:rPr>
                <w:sz w:val="23"/>
                <w:szCs w:val="23"/>
                <w:color w:val="auto"/>
              </w:rPr>
            </w:pPr>
          </w:p>
        </w:tc>
        <w:tc>
          <w:tcPr>
            <w:tcW w:w="3520" w:type="dxa"/>
            <w:vAlign w:val="bottom"/>
            <w:gridSpan w:val="6"/>
          </w:tcPr>
          <w:p>
            <w:pPr>
              <w:ind w:left="40"/>
              <w:spacing w:after="0"/>
              <w:rPr>
                <w:sz w:val="20"/>
                <w:szCs w:val="20"/>
                <w:color w:val="auto"/>
              </w:rPr>
            </w:pPr>
            <w:r>
              <w:rPr>
                <w:rFonts w:ascii="Arial" w:cs="Arial" w:eastAsia="Arial" w:hAnsi="Arial"/>
                <w:sz w:val="20"/>
                <w:szCs w:val="20"/>
                <w:b w:val="1"/>
                <w:bCs w:val="1"/>
                <w:color w:val="auto"/>
              </w:rPr>
              <w:t>Three Months Ended September 30,</w:t>
            </w:r>
          </w:p>
        </w:tc>
        <w:tc>
          <w:tcPr>
            <w:tcW w:w="3460" w:type="dxa"/>
            <w:vAlign w:val="bottom"/>
            <w:gridSpan w:val="5"/>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426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r>
      <w:tr>
        <w:trPr>
          <w:trHeight w:val="236"/>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57"/>
        </w:trPr>
        <w:tc>
          <w:tcPr>
            <w:tcW w:w="4260" w:type="dxa"/>
            <w:vAlign w:val="bottom"/>
          </w:tcPr>
          <w:p>
            <w:pPr>
              <w:ind w:left="240"/>
              <w:spacing w:after="0"/>
              <w:rPr>
                <w:sz w:val="20"/>
                <w:szCs w:val="20"/>
                <w:color w:val="auto"/>
              </w:rPr>
            </w:pPr>
            <w:r>
              <w:rPr>
                <w:rFonts w:ascii="Arial" w:cs="Arial" w:eastAsia="Arial" w:hAnsi="Arial"/>
                <w:sz w:val="20"/>
                <w:szCs w:val="20"/>
                <w:color w:val="auto"/>
              </w:rPr>
              <w:t>Array Legacy Operations</w:t>
            </w:r>
          </w:p>
        </w:tc>
        <w:tc>
          <w:tcPr>
            <w:tcW w:w="380" w:type="dxa"/>
            <w:vAlign w:val="bottom"/>
          </w:tcPr>
          <w:p>
            <w:pPr>
              <w:ind w:left="2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160,266</w:t>
            </w:r>
          </w:p>
        </w:tc>
        <w:tc>
          <w:tcPr>
            <w:tcW w:w="8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244,857</w:t>
            </w:r>
          </w:p>
        </w:tc>
        <w:tc>
          <w:tcPr>
            <w:tcW w:w="80" w:type="dxa"/>
            <w:vAlign w:val="bottom"/>
          </w:tcPr>
          <w:p>
            <w:pPr>
              <w:spacing w:after="0"/>
              <w:rPr>
                <w:sz w:val="22"/>
                <w:szCs w:val="22"/>
                <w:color w:val="auto"/>
              </w:rPr>
            </w:pP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459,807</w:t>
            </w:r>
          </w:p>
        </w:tc>
        <w:tc>
          <w:tcPr>
            <w:tcW w:w="8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895,322</w:t>
            </w:r>
          </w:p>
        </w:tc>
      </w:tr>
      <w:tr>
        <w:trPr>
          <w:trHeight w:val="256"/>
        </w:trPr>
        <w:tc>
          <w:tcPr>
            <w:tcW w:w="42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STI Operations</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71,140</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105,581</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180,768</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339,614</w:t>
            </w:r>
          </w:p>
        </w:tc>
      </w:tr>
      <w:tr>
        <w:trPr>
          <w:trHeight w:val="250"/>
        </w:trPr>
        <w:tc>
          <w:tcPr>
            <w:tcW w:w="4260" w:type="dxa"/>
            <w:vAlign w:val="bottom"/>
          </w:tcPr>
          <w:p>
            <w:pPr>
              <w:ind w:left="20"/>
              <w:spacing w:after="0"/>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231,406</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350,438</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640,575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1,234,936</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56"/>
        </w:trPr>
        <w:tc>
          <w:tcPr>
            <w:tcW w:w="426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6"/>
        </w:trPr>
        <w:tc>
          <w:tcPr>
            <w:tcW w:w="42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Array Legacy Operations</w:t>
            </w:r>
          </w:p>
        </w:tc>
        <w:tc>
          <w:tcPr>
            <w:tcW w:w="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65,726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58,233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192,118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241,019</w:t>
            </w:r>
          </w:p>
        </w:tc>
      </w:tr>
      <w:tr>
        <w:trPr>
          <w:trHeight w:val="256"/>
        </w:trPr>
        <w:tc>
          <w:tcPr>
            <w:tcW w:w="42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STI Operations</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12,589</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29,146</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27,240</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90,303</w:t>
            </w:r>
          </w:p>
        </w:tc>
      </w:tr>
      <w:tr>
        <w:trPr>
          <w:trHeight w:val="275"/>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78,315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87,379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219,358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331,322</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Subsequent Events</w:t>
      </w:r>
    </w:p>
    <w:p>
      <w:pPr>
        <w:spacing w:after="0" w:line="2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May 2024, Array Technologies, Inc. (“Array”, Lessee) entered into a triple net lease (“NNN term lease”) with GDC Sunshine, LLC (“GDC”, Lessor) for 13 ½ years (162 months) for a new manufacturing and office facility located in Bernalillo County, New Mexico. Among other things, Array would be responsible for the payment of personal property taxes, if any, and all real property taxes related to the facility and real property that is subject to the NNN term lease. The NNN term lease was contingent upon the closing of the Lessor’s successful financing to construct the facility. On October 16, 2024, the Lessor closed the financing and consequently the lease agreement became effective. The Lessee has an option to renew the lease for an additional ten years.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new facility that is mixed use and built for general purposes will be approximately 216,000 square feet when constructed, and the NNN term lease commences upon the earliest occurrence of several events, including the Lessor’s completion of the construction of the building, which is currently expected to occur in the fourth quarter of 2025.</w:t>
      </w:r>
    </w:p>
    <w:p>
      <w:pPr>
        <w:sectPr>
          <w:pgSz w:w="11900" w:h="16846" w:orient="portrait"/>
          <w:cols w:equalWidth="0" w:num="1">
            <w:col w:w="11240"/>
          </w:cols>
          <w:pgMar w:left="320" w:top="1440" w:right="339" w:bottom="0" w:gutter="0" w:footer="0" w:header="0"/>
        </w:sectPr>
      </w:pPr>
    </w:p>
    <w:bookmarkStart w:id="36" w:name="page37"/>
    <w:bookmarkEnd w:id="36"/>
    <w:p>
      <w:pPr>
        <w:jc w:val="both"/>
        <w:spacing w:after="0" w:line="286" w:lineRule="auto"/>
        <w:rPr>
          <w:sz w:val="20"/>
          <w:szCs w:val="20"/>
          <w:color w:val="auto"/>
        </w:rPr>
      </w:pPr>
      <w:r>
        <w:rPr>
          <w:rFonts w:ascii="Arial" w:cs="Arial" w:eastAsia="Arial" w:hAnsi="Arial"/>
          <w:sz w:val="20"/>
          <w:szCs w:val="20"/>
          <w:color w:val="auto"/>
        </w:rPr>
        <w:t>Under the construction agreement with GDC, Array also contributed approximately $11.2 million to the construction costs for the facility during October 2024.</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connection with this NNN term lease and the Company’s planned acquisition of machinery and equipment related to the new facility, GDC and the Company entered into a series of transactions with Bernalillo County (the “County”) related to a tax abatement plan. These transactions had no net impact to the consolidated financial statements of the Company. The tax abatement plan provides for the effective elimination of 75% of the real property taxes and 100% of the personal property taxes payable to the County by the Company and GDC during the term of the NNN term lease, and the abatement of 100% of the sales and use taxes that would be incurred by the Company and GDC related to the purchase and use of machinery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2023, and the related Management’s Discussion and Analysis of Financial Condition and Results of Operations included in our Annual Report on Form 10-K for the year ended December 31, 2023 (“2023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our Quarterly Report on Form 10-Q for the three months ended June 30, 2024 and our 2023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Important factors that could cause actual results to differ materially from our expectations include factors in “Summary Risk Factors” and the “Risk Factors” sections of our 2023 Annual Report and the “Risk Factors” section of this Quarterly Report.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are one of the leading global manufacturer and supplier of ground-mounting tracking systems used in solar energy projects at utility scale. Our principal products are a portfolio of integrated solar tracking systems comprised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typically generate more energy and deliver a lower Levelized Cost of Energy (“LCOE”) than projects that use “fixed tilt” mounting systems, which do not move. The vast majority of ground mounted solar systems in the U.S. use trackers.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38" w:name="page39"/>
    <w:bookmarkEnd w:id="38"/>
    <w:p>
      <w:pPr>
        <w:jc w:val="both"/>
        <w:spacing w:after="0" w:line="265" w:lineRule="auto"/>
        <w:rPr>
          <w:sz w:val="20"/>
          <w:szCs w:val="20"/>
          <w:color w:val="auto"/>
        </w:rPr>
      </w:pPr>
      <w:r>
        <w:rPr>
          <w:rFonts w:ascii="Arial" w:cs="Arial" w:eastAsia="Arial" w:hAnsi="Arial"/>
          <w:sz w:val="20"/>
          <w:szCs w:val="20"/>
          <w:color w:val="auto"/>
        </w:rPr>
        <w:t>Our flagship tracker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is on a linked-row, single-driving apparatus that rotates a plurality of tracker rows connected by an articulating drive shaft. This patent does not expire until February 5, 2030.</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With our acquisition of STI in January of 2022, we added a dual-row tracker design to our product portfolio. This tracker uses one motor to drive two connected rows and is ideally suited for sites with irregular and highly angled boundaries or fragmented project areas. To offer a comprehensive set of solutions to the growing market, in September of 2022, we also introduced a third tracker product requiring significantly less grading and civil works permitting prior to installation in addition to accommodating uneven terrain. This suite of products extends our target applications and ability to deliver the best utility-scale solar tracker solutions to the market.</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During the nine months ended September 30, 2024, we derived 70% and 30% of our revenues from customers in the U.S. and the rest of the world, respectively. As of September 30, 2024, we had shipped approximately 79.9 gigawatts of trackers to customers worldwide.</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Our corporate headquarters are located in Albuquerque, New Mexico. As of September 30, 2024, we had 961 full-time employees.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incurs research and development (“R&amp;D”) costs during its process of researching and developing new products and significant enhancements to existing products. R&amp;D costs are a subset of our total engineering spend and consist primarily of personnel-related costs associated with our team of internal engineers, third-party consultants, materials and overhead. The Company expenses these costs as incurred prior to a respective product being ready for commercial production. Total engineering expense was $4.4 million and $4.1 million during the three months ended September 30, 2024 and 2023, respectively, of which $1.6 million and $2.0 million were related to R&amp;D activities performed by the Company during the same period, respectively. Total engineering expense was $12.7 million and $12.3 million during the nine months ended September 30, 2024 and 2023, respectively, of which $5.3 million and $6.4 million were related to R&amp;D activities performed by the Company during the same period,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 Norland</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January 11, 2022, we completed our acquisition of STI, which resulted in the Company owning 100% of the equity interests in STI. Similar to Array Legacy operations, STI generates revenue through the design, manufacture and sale of its utility-scale solar tracker systems to customers in global markets that include Spain, Brazil, the U.S. and South Africa. The integration of STI has allowed us to accelerate our international expansion and better address rising global demand for utility-scale solar projects, particularly in developing countries in Latin America and Africa.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9" w:name="page40"/>
    <w:bookmarkEnd w:id="39"/>
    <w:p>
      <w:pPr>
        <w:spacing w:after="0" w:line="121" w:lineRule="exact"/>
        <w:rPr>
          <w:sz w:val="20"/>
          <w:szCs w:val="20"/>
          <w:color w:val="auto"/>
        </w:rPr>
      </w:pPr>
    </w:p>
    <w:p>
      <w:pPr>
        <w:ind w:right="4040"/>
        <w:spacing w:after="0" w:line="374" w:lineRule="auto"/>
        <w:rPr>
          <w:sz w:val="20"/>
          <w:szCs w:val="20"/>
          <w:color w:val="auto"/>
        </w:rPr>
      </w:pPr>
      <w:r>
        <w:rPr>
          <w:rFonts w:ascii="Arial" w:cs="Arial" w:eastAsia="Arial" w:hAnsi="Arial"/>
          <w:sz w:val="20"/>
          <w:szCs w:val="20"/>
          <w:b w:val="1"/>
          <w:bCs w:val="1"/>
          <w:color w:val="auto"/>
        </w:rPr>
        <w:t xml:space="preserve">Reversal of Out-of-Period Adjustment Recorded During 2023 Interim Periods </w:t>
      </w:r>
      <w:r>
        <w:rPr>
          <w:rFonts w:ascii="Arial" w:cs="Arial" w:eastAsia="Arial" w:hAnsi="Arial"/>
          <w:sz w:val="20"/>
          <w:szCs w:val="20"/>
          <w:i w:val="1"/>
          <w:iCs w:val="1"/>
          <w:color w:val="auto"/>
        </w:rPr>
        <w:t>Capped Calls and Put Option</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During the three months ended December 31, 2023, the Company consulted with the staff of the Office of the Chief Accountant of the SEC, and after consultation with the staff, the Company concluded that the change from its historical accounting treatment for its Capped Calls and its Put Option that were made during the three months ended March 31, 2023, was not required. As a result, the Company has chosen to revert to its historical accounting and reverse the initial cumulative catch-up recorded during the three months ended March 31, 2023. as well as any subsequent fair value adjusting entries recorded during the interim periods in 2023. See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Affecting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Project Timing</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Because we recognize revenue on projects as legal title to equipment is transferred from us to the customer, any delays in large projects from one quarter to another for any reason may cause our results of operations for a particular period to fall below expectations and make the timing of revenue difficult to forecast. Our end-users’ ability to install solar energy systems has been affected by a number of factors including:</w:t>
      </w:r>
    </w:p>
    <w:p>
      <w:pPr>
        <w:spacing w:after="0" w:line="211" w:lineRule="exact"/>
        <w:rPr>
          <w:sz w:val="20"/>
          <w:szCs w:val="20"/>
          <w:color w:val="auto"/>
        </w:rPr>
      </w:pPr>
    </w:p>
    <w:p>
      <w:pPr>
        <w:jc w:val="both"/>
        <w:ind w:left="660" w:hanging="328"/>
        <w:spacing w:after="0" w:line="269"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Weather</w:t>
      </w:r>
      <w:r>
        <w:rPr>
          <w:rFonts w:ascii="Arial" w:cs="Arial" w:eastAsia="Arial" w:hAnsi="Arial"/>
          <w:sz w:val="20"/>
          <w:szCs w:val="20"/>
          <w:color w:val="auto"/>
        </w:rPr>
        <w:t>. Inclement weather can affect our customers’ ability to install their systems, particularly in the northeastern</w:t>
      </w:r>
      <w:r>
        <w:rPr>
          <w:rFonts w:ascii="Arial" w:cs="Arial" w:eastAsia="Arial" w:hAnsi="Arial"/>
          <w:sz w:val="20"/>
          <w:szCs w:val="20"/>
          <w:i w:val="1"/>
          <w:iCs w:val="1"/>
          <w:color w:val="auto"/>
        </w:rPr>
        <w:t xml:space="preserve"> </w:t>
      </w:r>
      <w:r>
        <w:rPr>
          <w:rFonts w:ascii="Arial" w:cs="Arial" w:eastAsia="Arial" w:hAnsi="Arial"/>
          <w:sz w:val="20"/>
          <w:szCs w:val="20"/>
          <w:color w:val="auto"/>
        </w:rPr>
        <w:t>United States, Europe and in Brazil. In addition, weather delays can adversely affect our logistics and operations by causing delays in the shipping and delivery of our materials.</w:t>
      </w:r>
    </w:p>
    <w:p>
      <w:pPr>
        <w:spacing w:after="0" w:line="77" w:lineRule="exact"/>
        <w:rPr>
          <w:rFonts w:ascii="Arial" w:cs="Arial" w:eastAsia="Arial" w:hAnsi="Arial"/>
          <w:sz w:val="20"/>
          <w:szCs w:val="20"/>
          <w:color w:val="auto"/>
        </w:rPr>
      </w:pPr>
    </w:p>
    <w:p>
      <w:pPr>
        <w:jc w:val="both"/>
        <w:ind w:left="660" w:hanging="328"/>
        <w:spacing w:after="0" w:line="262"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The interest rate environment</w:t>
      </w:r>
      <w:r>
        <w:rPr>
          <w:rFonts w:ascii="Arial" w:cs="Arial" w:eastAsia="Arial" w:hAnsi="Arial"/>
          <w:sz w:val="20"/>
          <w:szCs w:val="20"/>
          <w:color w:val="auto"/>
        </w:rPr>
        <w:t>. As interest rates rose in 2022 and 2023, we saw customers looking to renegotiate power</w:t>
      </w:r>
      <w:r>
        <w:rPr>
          <w:rFonts w:ascii="Arial" w:cs="Arial" w:eastAsia="Arial" w:hAnsi="Arial"/>
          <w:sz w:val="20"/>
          <w:szCs w:val="20"/>
          <w:i w:val="1"/>
          <w:iCs w:val="1"/>
          <w:color w:val="auto"/>
        </w:rPr>
        <w:t xml:space="preserve"> </w:t>
      </w:r>
      <w:r>
        <w:rPr>
          <w:rFonts w:ascii="Arial" w:cs="Arial" w:eastAsia="Arial" w:hAnsi="Arial"/>
          <w:sz w:val="20"/>
          <w:szCs w:val="20"/>
          <w:color w:val="auto"/>
        </w:rPr>
        <w:t>purchase agreements to improve project returns. Any unexpected or protracted negotiation can cause installation delays and delay our ability to recognize revenue relating to the relevant projects. In addition, we had customers delay planned installations in anticipation of interest reductions and more favorable project financing conditions later in 2024. The effects of the Federal Reserve’s decision to lower the target interest rate by 0.5% and the timing of any positive impact the lower rate may have on project timing remains uncertain.</w:t>
      </w:r>
    </w:p>
    <w:p>
      <w:pPr>
        <w:spacing w:after="0" w:line="86" w:lineRule="exact"/>
        <w:rPr>
          <w:rFonts w:ascii="Arial" w:cs="Arial" w:eastAsia="Arial" w:hAnsi="Arial"/>
          <w:sz w:val="20"/>
          <w:szCs w:val="20"/>
          <w:color w:val="auto"/>
        </w:rPr>
      </w:pPr>
    </w:p>
    <w:p>
      <w:pPr>
        <w:jc w:val="both"/>
        <w:ind w:left="660" w:hanging="328"/>
        <w:spacing w:after="0" w:line="265" w:lineRule="auto"/>
        <w:tabs>
          <w:tab w:leader="none" w:pos="648" w:val="left"/>
        </w:tabs>
        <w:numPr>
          <w:ilvl w:val="0"/>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Availability of necessary equipment</w:t>
      </w:r>
      <w:r>
        <w:rPr>
          <w:rFonts w:ascii="Arial" w:cs="Arial" w:eastAsia="Arial" w:hAnsi="Arial"/>
          <w:sz w:val="20"/>
          <w:szCs w:val="20"/>
          <w:color w:val="auto"/>
        </w:rPr>
        <w:t>. We have a broad portfolio of customer relationships including presence with every</w:t>
      </w:r>
      <w:r>
        <w:rPr>
          <w:rFonts w:ascii="Arial" w:cs="Arial" w:eastAsia="Arial" w:hAnsi="Arial"/>
          <w:sz w:val="20"/>
          <w:szCs w:val="20"/>
          <w:i w:val="1"/>
          <w:iCs w:val="1"/>
          <w:color w:val="auto"/>
        </w:rPr>
        <w:t xml:space="preserve"> </w:t>
      </w:r>
      <w:r>
        <w:rPr>
          <w:rFonts w:ascii="Arial" w:cs="Arial" w:eastAsia="Arial" w:hAnsi="Arial"/>
          <w:sz w:val="20"/>
          <w:szCs w:val="20"/>
          <w:color w:val="auto"/>
        </w:rPr>
        <w:t>Tier 1 utility in the United States. Each utility has unique specifications for access to its grid, which is generally not consistent across the industry. As the supply of renewables projects has increased, severe shortages and long lead-times in the supply of switches, transformers and HV breakers used in the interconnection of utility scale solar power plants to the grid, has affected the timing and completion of these projects, including for some of our customers.</w:t>
      </w:r>
    </w:p>
    <w:p>
      <w:pPr>
        <w:spacing w:after="0" w:line="66" w:lineRule="exact"/>
        <w:rPr>
          <w:rFonts w:ascii="Arial" w:cs="Arial" w:eastAsia="Arial" w:hAnsi="Arial"/>
          <w:sz w:val="20"/>
          <w:szCs w:val="20"/>
          <w:i w:val="1"/>
          <w:iCs w:val="1"/>
          <w:color w:val="auto"/>
        </w:rPr>
      </w:pPr>
    </w:p>
    <w:p>
      <w:pPr>
        <w:jc w:val="both"/>
        <w:ind w:left="660" w:hanging="328"/>
        <w:spacing w:after="0" w:line="269"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Macroeconomic factors. </w:t>
      </w:r>
      <w:r>
        <w:rPr>
          <w:rFonts w:ascii="Arial" w:cs="Arial" w:eastAsia="Arial" w:hAnsi="Arial"/>
          <w:sz w:val="20"/>
          <w:szCs w:val="20"/>
          <w:color w:val="auto"/>
        </w:rPr>
        <w:t>There has been a rapid depreciation of the Brazilian Real in conjunction with existing pricing</w:t>
      </w:r>
      <w:r>
        <w:rPr>
          <w:rFonts w:ascii="Arial" w:cs="Arial" w:eastAsia="Arial" w:hAnsi="Arial"/>
          <w:sz w:val="20"/>
          <w:szCs w:val="20"/>
          <w:i w:val="1"/>
          <w:iCs w:val="1"/>
          <w:color w:val="auto"/>
        </w:rPr>
        <w:t xml:space="preserve"> </w:t>
      </w:r>
      <w:r>
        <w:rPr>
          <w:rFonts w:ascii="Arial" w:cs="Arial" w:eastAsia="Arial" w:hAnsi="Arial"/>
          <w:sz w:val="20"/>
          <w:szCs w:val="20"/>
          <w:color w:val="auto"/>
        </w:rPr>
        <w:t>pressures on energy in the Brazilian market. Due to these dynamics, the economic cases for the power purchase agreements, or PPAs, for many solar projects have become less attractive for our customers. Many of the developers of these projects are now signaling delays as they renegotiate the pricing of these PPAs.</w:t>
      </w:r>
    </w:p>
    <w:p>
      <w:pPr>
        <w:spacing w:after="0" w:line="75" w:lineRule="exact"/>
        <w:rPr>
          <w:rFonts w:ascii="Arial" w:cs="Arial" w:eastAsia="Arial" w:hAnsi="Arial"/>
          <w:sz w:val="20"/>
          <w:szCs w:val="20"/>
          <w:color w:val="auto"/>
        </w:rPr>
      </w:pPr>
    </w:p>
    <w:p>
      <w:pPr>
        <w:jc w:val="both"/>
        <w:ind w:left="660" w:hanging="328"/>
        <w:spacing w:after="0" w:line="269"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Local permitting</w:t>
      </w:r>
      <w:r>
        <w:rPr>
          <w:rFonts w:ascii="Arial" w:cs="Arial" w:eastAsia="Arial" w:hAnsi="Arial"/>
          <w:sz w:val="20"/>
          <w:szCs w:val="20"/>
          <w:color w:val="auto"/>
        </w:rPr>
        <w:t>. If our customers cannot receive permitting for their projects, they are unable to begin and ultimately</w:t>
      </w:r>
      <w:r>
        <w:rPr>
          <w:rFonts w:ascii="Arial" w:cs="Arial" w:eastAsia="Arial" w:hAnsi="Arial"/>
          <w:sz w:val="20"/>
          <w:szCs w:val="20"/>
          <w:i w:val="1"/>
          <w:iCs w:val="1"/>
          <w:color w:val="auto"/>
        </w:rPr>
        <w:t xml:space="preserve"> </w:t>
      </w:r>
      <w:r>
        <w:rPr>
          <w:rFonts w:ascii="Arial" w:cs="Arial" w:eastAsia="Arial" w:hAnsi="Arial"/>
          <w:sz w:val="20"/>
          <w:szCs w:val="20"/>
          <w:color w:val="auto"/>
        </w:rPr>
        <w:t>complete them in a timely manner. A dramatic increase in solar and battery storage sites has increased the average permitting time in many geographies in which our customers operate.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IRA</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While solar power is cost-competitive with conventional forms of generation in many U.S. states even without the ITC, we believe step-downs in the ITC have influenced the timing and quantity of some customers’ orders.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jc w:val="both"/>
        <w:spacing w:after="0" w:line="286" w:lineRule="auto"/>
        <w:rPr>
          <w:sz w:val="20"/>
          <w:szCs w:val="20"/>
          <w:color w:val="auto"/>
        </w:rPr>
      </w:pPr>
      <w:r>
        <w:rPr>
          <w:rFonts w:ascii="Arial" w:cs="Arial" w:eastAsia="Arial" w:hAnsi="Arial"/>
          <w:sz w:val="20"/>
          <w:szCs w:val="20"/>
          <w:color w:val="auto"/>
        </w:rPr>
        <w:t>With the passage of the Inflation Reduction Act (“IRA”) in August 2022, the ITC was raised to 30% with no step downs before 2032. Accordingly, as of September 30, 2024 we do not anticipate the ITC rate to impact our seasonality during that timeframe.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45X Credit</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After a period of uncertainty, on October 24, 2024 Treasury and the IRS issued final regulations for the 45X manufacturing credit benefits that largely confirmed our previous understanding around the eligibility of our torque tube and structural fasteners. Beginning in late 2023 and continuing into 2024, we have and continue to successfully negotiate agreements with key suppliers around 45X manufacturing credit benefits associated with the torque tube and structural fasteners. We continue to pursue additional agreements for splitting 45X benefits with suppliers for parts we do not manufacture internally.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Domestic Content Safe Harbor Guidance</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IRS issued Notice 2023-38 in May of 2023 setting forth guidance on the domestic content bonus tax credits under the IRA. Uncertainties still exist under this guidance, like whose costs would be used (the manufacturer’s cost, a vendor’s cost to acquire, etc.) and how to define manufactured product components associated with trackers. In May of 2024, the IRS issued Notice 2024-41 setting forth further guidance on the domestic content bonus tax credits, including a safe harbor method for calculating domestic content percentages. Notice 2024-41 and the elective safe harbor described therein has clarified some pre-existing uncertainty in the industry from Notice 2023-38, but it has also introduced uncertainty of its own regarding issues such as what qualifies as a “fastener.” These uncertainties have and could continue to cause our customers to delay projects as they navigate the existing guidance in qualifying for the tax credit and possibly wait for further clarity.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Structured Cost Management</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actively manage the risk from certain types of customer contracts, including, for example, multi-year contracts that require fixed pricing or pricing tied to certain commodity indices. Depending on the totality of the circumstances and our ability to mitigate risk, we may or may not pursue such contractual arrangements. Where we decline, this may have the effect of driving certain customers or projects to our competitors. We believe this is the right way to manage a high-quality portfolio and drive consistent margins over time.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the Ongoing Russian-Ukraine Conflict</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ongoing Russian-Ukraine conflict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as to reduce any negative impact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Attacks on Shipping in the Red Sea</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disruption of container shipping traffic through the Red Sea has created port congestion, especially in Asia, affecting transit times, capacity, and shipping costs for routes connecting the rest of the world with Asia. To address the challenges arising from prolonged transit times, we have increased our local sourcing efforts where feasible within certain regions. These measures aim to reduce delays to get the product to project sites on time. There is still uncertainty on how long these disruptions and the severity of their impact on our operations will last, but we continue to monitor the situation and evaluate our procurement and supply chain strategies, as to reduce any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i w:val="1"/>
          <w:iCs w:val="1"/>
          <w:color w:val="auto"/>
        </w:rPr>
        <w:t>Inflation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Inflationary pressures may continue to negatively impact our results of operations in the near-term. To mitigate the inflationary pressures on our business, despite our ASPs decreasing due to the current deflationary environment for commodities like steel, we have continued to accelerate our productivity initiatives, expanded our supplier base, and continued to execute on our overhead cost containment practices.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AD/CVD Petitions and Determinations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United States currently imposes antidumping and countervailing duties (“AD/CVD”) on certain imported crystalline silicon PV(“CSPV”) cells and modules from China and Taiwan. Such AD/CVD can change over time pursuant to annual reviews conducted by the U.S. Department of Commerce (“USDOC”). In August 2023, the USDOC issued final affirmative circumvention rulings, finding that solar panels completed in Cambodia, Malaysia, Thailand, and Vietnam using parts and components produced in China circumvent the pre-existing AD/CVD orders on China.</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April 24, 2024, the American Alliance for Solar Manufacturing Trade Committee, an ad hoc coalition of domestic producers of CSPV cells and modules, filed a petition with the USDOC and the U.S. International Trade Commission (the “USITC”) seeking the imposition of AD/CVD tariffs on imports of CSPV cells and modules from Cambodia, Malaysia, Thailand and Vietnam. The USITC made a preliminary affirmative determination on June 7, 2024, and the USDOC made its preliminary affirmative determination on October 1, 2024. The preliminary tariff rates varying from below 1% to almost 300%, depending on the relevant company.</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AD/CVD orders on the projects that are also intended to use our products, with such impact being largely out of our control. We have seen a number of projects in our order book delayed as a result of the USDOC investigation, and effective enforcement of the AD/CVD orders could negatively impact our results of operations.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More broadly, legislation has been proposed that would make it easier for domestic companies to obtain affirmative determinations in antidumping and countervailing duty investigations. The proposed USICA/America COMPETES Act, if enacted, could result in future successful petitions that limit imports from Asia and other regions.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In September 2024, the USDOC released its final determination from their investigations against aluminum extrusions from multiple countries. On October 30, 2024, the USITC voted to find no injury in its pending AD/CVD investigation, meaning that the USDOC’s AD/CVD orders will not go into effect. The coalition of petitioners may still appeal the USITC’s decision, and we will continue to monitor developments in the appeal process. If the USITC’s decision is overturned on appeal, the imposition of AD/CVD orders could negatively impact our business, financial condition, and results of operations.</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possibility of additional tariffs and duties in the future like those described above has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2" w:name="page43"/>
    <w:bookmarkEnd w:id="42"/>
    <w:p>
      <w:pPr>
        <w:jc w:val="both"/>
        <w:spacing w:after="0" w:line="276" w:lineRule="auto"/>
        <w:rPr>
          <w:sz w:val="20"/>
          <w:szCs w:val="20"/>
          <w:color w:val="auto"/>
        </w:rPr>
      </w:pPr>
      <w:r>
        <w:rPr>
          <w:rFonts w:ascii="Arial" w:cs="Arial" w:eastAsia="Arial" w:hAnsi="Arial"/>
          <w:sz w:val="20"/>
          <w:szCs w:val="20"/>
          <w:color w:val="auto"/>
        </w:rPr>
        <w:t>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Translation</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U.S. dollars at period-end exchange rates. Income, expense, and cash flow items are translated at average exchange rates prevailing during the period. For non-U.S. subsidiaries that operate in a U.S. dollar functional currency, local currency inventories and property, plant and equipment are translated into U.S. dollars at rates prevailing when acquired, and all other assets and liabilities are translated at period-end exchange rates. Income and expense items are translated at average exchange rates prevailing during the period. Gains and losses which result from remeasurement are included in earnings.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is megawatts (“MWs”) shipped and specifically the change in MW shipped from period to period. MWs are measured for each individual project and are calculated based on the respective project’s expected megawatt output once installed and fully operational.</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generate revenue from the sale of solar tracking systems, parts, software, and services.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project mix between module type and wattage, geographic mix of our customers, strength of competitors’ product offerings, commodity prices and availability of government incentives to the end-users of our products.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growth is dependent on continued growth in the size and number of solar energy projects installed each year, as well as our ability to maintain market share in each geography where we compete, expand our global footprint to new and evolving markets, grow our production capabilities to satisfy demand, and continue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3" w:name="page44"/>
    <w:bookmarkEnd w:id="43"/>
    <w:p>
      <w:pPr>
        <w:jc w:val="both"/>
        <w:ind w:right="20"/>
        <w:spacing w:after="0" w:line="286" w:lineRule="auto"/>
        <w:rPr>
          <w:sz w:val="20"/>
          <w:szCs w:val="20"/>
          <w:color w:val="auto"/>
        </w:rPr>
      </w:pPr>
      <w:r>
        <w:rPr>
          <w:rFonts w:ascii="Arial" w:cs="Arial" w:eastAsia="Arial" w:hAnsi="Arial"/>
          <w:sz w:val="20"/>
          <w:szCs w:val="20"/>
          <w:color w:val="auto"/>
        </w:rPr>
        <w:t>to develop and introduce new innovative products that integrate emerging technologies and the performance requirements of our customers.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Cost of revenue consists primarily of product costs, including raw materials, purchased components, salaries, wages and benefits of manufacturing personnel, freight, tariffs, customer support, product warranty, amortization of developed technology, and depreciation of manufacturing and testing equipment. Our product costs are affected by (i) the underlying cost of raw materials, including steel and aluminum, (ii) component costs, including electric motors and gearboxes, (iii) technological innovation, and (iv) economies of scale and improvements in production processes and automation. We may experience disruptions to our supply chain and increased material and freight costs like those experienced in 2021 and 2022 during the COVID-19 pandemic. When possible, we modify our production schedules and processes to mitigate the impact of these disruptions and cost increases on our margins. We do not currently hedge against changes in the price of our raw materials.</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Gross profit may vary from quarter to quarter and is primarily affected by our volume, ASPs, product costs, project mix, customer mix, geographical mix, commodity prices, logistics rates, warranty costs, and seasonality.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Inflation Reduction Act Vendor Rebates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August 16, 2022, the Inflation Reduction Act of 2022 (“IRA”) was enacted into law, which includes numerous green energy credits. The 45X Advanced Manufacturing Production Tax Credit (“45X Credit”) was established as part of the IRA. The 45X Credit is a per-unit tax credit that is earned over time for each clean energy component domestically produced and sold by a manufacturer. We have, and will continue to, enter into arrangements with manufacturing vendors that produce 45X Credit eligible parts, in which the vendors agree to share a portion of the benefit received related to our purchases, in the form of “Vendor Rebates.”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account for these Vendor Rebates as a reduction of the purchase prices of the vendors’ products and therefore a reduction in the cost of inventory until the inventory is sold, at which time we recognize such rebates as a reduction of cost of product and service revenue on the condensed consolidated statements of operations. Rebates related to purchases that were made prior to the execution of the agreements are deferred and recognized as a reduction of the prices of future purchases.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General and administrative expense consists primarily of salaries, benefits, and equity-based compensation related to our executive, sales, engineering, finance, human resources, information technology, and legal personnel, as well as travel, facility costs, marketing, bad debt provision, and professional fees. The majority of our sales in the nine months ended September 30, 2024 and 2023, were in the U.S.; however, in January 2022, we expanded our international operations with the STI Acquisition. We currently have a sales presence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4" w:name="page45"/>
    <w:bookmarkEnd w:id="44"/>
    <w:p>
      <w:pPr>
        <w:jc w:val="both"/>
        <w:ind w:right="20"/>
        <w:spacing w:after="0" w:line="286" w:lineRule="auto"/>
        <w:rPr>
          <w:sz w:val="20"/>
          <w:szCs w:val="20"/>
          <w:color w:val="auto"/>
        </w:rPr>
      </w:pPr>
      <w:r>
        <w:rPr>
          <w:rFonts w:ascii="Arial" w:cs="Arial" w:eastAsia="Arial" w:hAnsi="Arial"/>
          <w:sz w:val="20"/>
          <w:szCs w:val="20"/>
          <w:color w:val="auto"/>
        </w:rPr>
        <w:t>in the U.S., Spain, Brazil, South Africa, Australia, and the U.K. We intend to continue to expand our sales presence and marketing efforts to additional countries.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Contingent consideration consists of the changes in fair value of the tax receivable agreement (“TRA”) entered into with a former indirect stockholder, concurrent with the acquisition of Patent LLC by Former Parent. The TRA liability was recorded at fair value as of July 8, 2016 (the “Patent Acquisition Date”) and subsequent changes in the fair value are recognized in earnings. For discussion and analysis of the TRA see </w:t>
      </w:r>
      <w:r>
        <w:rPr>
          <w:rFonts w:ascii="Arial" w:cs="Arial" w:eastAsia="Arial" w:hAnsi="Arial"/>
          <w:sz w:val="20"/>
          <w:szCs w:val="20"/>
          <w:u w:val="single" w:color="auto"/>
          <w:color w:val="0000FF"/>
        </w:rPr>
        <w:t>Note 11 – Commitments and Contingencies</w:t>
      </w:r>
      <w:r>
        <w:rPr>
          <w:rFonts w:ascii="Arial" w:cs="Arial" w:eastAsia="Arial" w:hAnsi="Arial"/>
          <w:sz w:val="20"/>
          <w:szCs w:val="20"/>
          <w:color w:val="auto"/>
        </w:rPr>
        <w:t>.</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Depreciation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Amortization consists of the expense recognized over the expected period of use of our customer relationships, contractual backlog, and STI trade name intangible assets. Amortization related to certain acquired intangible assets is recorded as Total cost of revenue under the caption "Amortization of developed technology."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Interest income consists of interest earned on our cash and cash equivalents balance.</w:t>
      </w: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the Convertible Notes, and Other Debt held by our STI Operations.</w:t>
      </w:r>
    </w:p>
    <w:p>
      <w:pPr>
        <w:spacing w:after="0" w:line="18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We are subject to U.S. federal, state and non-U.S. income taxes. As we expand into additional foreign markets, we may be subject to additional foreign tax.</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Reportable Segments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Subsequent to the acquisition of STI, the Company began reporting its results of operations in two segments; the Array Legacy operating segment and the newly acquired STI Legacy operating segment (“STI Legacy Operations”) pertaining to legacy STI operations. The segment amounts included in this </w:t>
      </w:r>
      <w:r>
        <w:rPr>
          <w:rFonts w:ascii="Arial" w:cs="Arial" w:eastAsia="Arial" w:hAnsi="Arial"/>
          <w:sz w:val="20"/>
          <w:szCs w:val="20"/>
          <w:u w:val="single" w:color="auto"/>
          <w:color w:val="0000FF"/>
        </w:rPr>
        <w:t>Item 2. Management’s Discussion and Analysis</w:t>
      </w:r>
      <w:r>
        <w:rPr>
          <w:rFonts w:ascii="Arial" w:cs="Arial" w:eastAsia="Arial" w:hAnsi="Arial"/>
          <w:sz w:val="20"/>
          <w:szCs w:val="20"/>
          <w:color w:val="auto"/>
        </w:rPr>
        <w:t xml:space="preserve"> are presented on a basis consistent with our internal management reporting. Additional information on our reportable segments is contained in </w:t>
      </w:r>
      <w:r>
        <w:rPr>
          <w:rFonts w:ascii="Arial" w:cs="Arial" w:eastAsia="Arial" w:hAnsi="Arial"/>
          <w:sz w:val="20"/>
          <w:szCs w:val="20"/>
          <w:u w:val="single" w:color="auto"/>
          <w:color w:val="0000FF"/>
        </w:rPr>
        <w:t>Note 14 –</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Segment Reporting</w:t>
      </w:r>
      <w:r>
        <w:rPr>
          <w:rFonts w:ascii="Arial" w:cs="Arial" w:eastAsia="Arial" w:hAnsi="Arial"/>
          <w:sz w:val="20"/>
          <w:szCs w:val="20"/>
          <w:color w:val="0000FF"/>
        </w:rPr>
        <w:t xml:space="preserve"> </w:t>
      </w:r>
      <w:r>
        <w:rPr>
          <w:rFonts w:ascii="Arial" w:cs="Arial" w:eastAsia="Arial" w:hAnsi="Arial"/>
          <w:sz w:val="20"/>
          <w:szCs w:val="20"/>
          <w:color w:val="000000"/>
        </w:rPr>
        <w:t>in the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73"/>
        </w:trPr>
        <w:tc>
          <w:tcPr>
            <w:tcW w:w="3000" w:type="dxa"/>
            <w:vAlign w:val="bottom"/>
            <w:gridSpan w:val="4"/>
          </w:tcPr>
          <w:p>
            <w:pPr>
              <w:spacing w:after="0"/>
              <w:rPr>
                <w:sz w:val="20"/>
                <w:szCs w:val="20"/>
                <w:color w:val="auto"/>
              </w:rPr>
            </w:pPr>
            <w:r>
              <w:rPr>
                <w:rFonts w:ascii="Arial" w:cs="Arial" w:eastAsia="Arial" w:hAnsi="Arial"/>
                <w:sz w:val="20"/>
                <w:szCs w:val="20"/>
                <w:b w:val="1"/>
                <w:bCs w:val="1"/>
                <w:color w:val="auto"/>
              </w:rPr>
              <w:t>Results of Operations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10180" w:type="dxa"/>
            <w:vAlign w:val="bottom"/>
            <w:gridSpan w:val="20"/>
          </w:tcPr>
          <w:p>
            <w:pPr>
              <w:spacing w:after="0"/>
              <w:rPr>
                <w:sz w:val="20"/>
                <w:szCs w:val="20"/>
                <w:color w:val="auto"/>
              </w:rPr>
            </w:pPr>
            <w:r>
              <w:rPr>
                <w:rFonts w:ascii="Arial" w:cs="Arial" w:eastAsia="Arial" w:hAnsi="Arial"/>
                <w:sz w:val="20"/>
                <w:szCs w:val="20"/>
                <w:color w:val="auto"/>
              </w:rPr>
              <w:t>The following table sets forth our consolidated statement of operations (in thousands, except percentages):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5"/>
          </w:tcPr>
          <w:p>
            <w:pPr>
              <w:jc w:val="center"/>
              <w:ind w:right="220"/>
              <w:spacing w:after="0" w:line="220" w:lineRule="exact"/>
              <w:rPr>
                <w:sz w:val="20"/>
                <w:szCs w:val="20"/>
                <w:color w:val="auto"/>
              </w:rPr>
            </w:pPr>
            <w:r>
              <w:rPr>
                <w:rFonts w:ascii="Arial" w:cs="Arial" w:eastAsia="Arial" w:hAnsi="Arial"/>
                <w:sz w:val="20"/>
                <w:szCs w:val="20"/>
                <w:b w:val="1"/>
                <w:bCs w:val="1"/>
                <w:color w:val="auto"/>
                <w:w w:val="99"/>
              </w:rPr>
              <w:t>Three Months Ended</w:t>
            </w:r>
          </w:p>
        </w:tc>
        <w:tc>
          <w:tcPr>
            <w:tcW w:w="160" w:type="dxa"/>
            <w:vAlign w:val="bottom"/>
          </w:tcPr>
          <w:p>
            <w:pPr>
              <w:spacing w:after="0"/>
              <w:rPr>
                <w:sz w:val="19"/>
                <w:szCs w:val="19"/>
                <w:color w:val="auto"/>
              </w:rPr>
            </w:pPr>
          </w:p>
        </w:tc>
        <w:tc>
          <w:tcPr>
            <w:tcW w:w="2200" w:type="dxa"/>
            <w:vAlign w:val="bottom"/>
            <w:gridSpan w:val="4"/>
            <w:vMerge w:val="restart"/>
          </w:tcPr>
          <w:p>
            <w:pPr>
              <w:ind w:left="40"/>
              <w:spacing w:after="0"/>
              <w:rPr>
                <w:sz w:val="20"/>
                <w:szCs w:val="20"/>
                <w:color w:val="auto"/>
              </w:rPr>
            </w:pPr>
            <w:r>
              <w:rPr>
                <w:rFonts w:ascii="Arial" w:cs="Arial" w:eastAsia="Arial" w:hAnsi="Arial"/>
                <w:sz w:val="20"/>
                <w:szCs w:val="20"/>
                <w:b w:val="1"/>
                <w:bCs w:val="1"/>
                <w:color w:val="auto"/>
              </w:rPr>
              <w:t>Increase/(Decrease)</w:t>
            </w:r>
          </w:p>
        </w:tc>
        <w:tc>
          <w:tcPr>
            <w:tcW w:w="180" w:type="dxa"/>
            <w:vAlign w:val="bottom"/>
          </w:tcPr>
          <w:p>
            <w:pPr>
              <w:spacing w:after="0"/>
              <w:rPr>
                <w:sz w:val="19"/>
                <w:szCs w:val="19"/>
                <w:color w:val="auto"/>
              </w:rPr>
            </w:pPr>
          </w:p>
        </w:tc>
        <w:tc>
          <w:tcPr>
            <w:tcW w:w="2300" w:type="dxa"/>
            <w:vAlign w:val="bottom"/>
            <w:gridSpan w:val="5"/>
          </w:tcPr>
          <w:p>
            <w:pPr>
              <w:jc w:val="center"/>
              <w:ind w:right="260"/>
              <w:spacing w:after="0" w:line="220" w:lineRule="exact"/>
              <w:rPr>
                <w:sz w:val="20"/>
                <w:szCs w:val="20"/>
                <w:color w:val="auto"/>
              </w:rPr>
            </w:pPr>
            <w:r>
              <w:rPr>
                <w:rFonts w:ascii="Arial" w:cs="Arial" w:eastAsia="Arial" w:hAnsi="Arial"/>
                <w:sz w:val="20"/>
                <w:szCs w:val="20"/>
                <w:b w:val="1"/>
                <w:bCs w:val="1"/>
                <w:color w:val="auto"/>
                <w:w w:val="98"/>
              </w:rPr>
              <w:t>Nine Months Ended</w:t>
            </w:r>
          </w:p>
        </w:tc>
        <w:tc>
          <w:tcPr>
            <w:tcW w:w="160" w:type="dxa"/>
            <w:vAlign w:val="bottom"/>
          </w:tcPr>
          <w:p>
            <w:pPr>
              <w:spacing w:after="0"/>
              <w:rPr>
                <w:sz w:val="19"/>
                <w:szCs w:val="19"/>
                <w:color w:val="auto"/>
              </w:rPr>
            </w:pPr>
          </w:p>
        </w:tc>
        <w:tc>
          <w:tcPr>
            <w:tcW w:w="2080" w:type="dxa"/>
            <w:vAlign w:val="bottom"/>
            <w:gridSpan w:val="3"/>
            <w:vMerge w:val="restart"/>
          </w:tcPr>
          <w:p>
            <w:pPr>
              <w:jc w:val="right"/>
              <w:ind w:right="81"/>
              <w:spacing w:after="0"/>
              <w:rPr>
                <w:sz w:val="20"/>
                <w:szCs w:val="20"/>
                <w:color w:val="auto"/>
              </w:rPr>
            </w:pPr>
            <w:r>
              <w:rPr>
                <w:rFonts w:ascii="Arial" w:cs="Arial" w:eastAsia="Arial" w:hAnsi="Arial"/>
                <w:sz w:val="20"/>
                <w:szCs w:val="20"/>
                <w:b w:val="1"/>
                <w:bCs w:val="1"/>
                <w:color w:val="auto"/>
                <w:w w:val="99"/>
              </w:rPr>
              <w:t>Increase/(Decrease)</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20" w:type="dxa"/>
            <w:vAlign w:val="bottom"/>
            <w:gridSpan w:val="5"/>
          </w:tcPr>
          <w:p>
            <w:pPr>
              <w:jc w:val="center"/>
              <w:ind w:right="220"/>
              <w:spacing w:after="0"/>
              <w:rPr>
                <w:sz w:val="20"/>
                <w:szCs w:val="20"/>
                <w:color w:val="auto"/>
              </w:rPr>
            </w:pPr>
            <w:r>
              <w:rPr>
                <w:rFonts w:ascii="Arial" w:cs="Arial" w:eastAsia="Arial" w:hAnsi="Arial"/>
                <w:sz w:val="20"/>
                <w:szCs w:val="20"/>
                <w:b w:val="1"/>
                <w:bCs w:val="1"/>
                <w:color w:val="auto"/>
                <w:w w:val="99"/>
              </w:rPr>
              <w:t>September 30,</w:t>
            </w:r>
          </w:p>
        </w:tc>
        <w:tc>
          <w:tcPr>
            <w:tcW w:w="160" w:type="dxa"/>
            <w:vAlign w:val="bottom"/>
          </w:tcPr>
          <w:p>
            <w:pPr>
              <w:spacing w:after="0"/>
              <w:rPr>
                <w:sz w:val="22"/>
                <w:szCs w:val="22"/>
                <w:color w:val="auto"/>
              </w:rPr>
            </w:pPr>
          </w:p>
        </w:tc>
        <w:tc>
          <w:tcPr>
            <w:tcW w:w="2200" w:type="dxa"/>
            <w:vAlign w:val="bottom"/>
            <w:gridSpan w:val="4"/>
            <w:vMerge w:val="continue"/>
          </w:tcPr>
          <w:p>
            <w:pPr>
              <w:spacing w:after="0"/>
              <w:rPr>
                <w:sz w:val="22"/>
                <w:szCs w:val="22"/>
                <w:color w:val="auto"/>
              </w:rPr>
            </w:pPr>
          </w:p>
        </w:tc>
        <w:tc>
          <w:tcPr>
            <w:tcW w:w="180" w:type="dxa"/>
            <w:vAlign w:val="bottom"/>
          </w:tcPr>
          <w:p>
            <w:pPr>
              <w:spacing w:after="0"/>
              <w:rPr>
                <w:sz w:val="22"/>
                <w:szCs w:val="22"/>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20"/>
                <w:szCs w:val="20"/>
                <w:b w:val="1"/>
                <w:bCs w:val="1"/>
                <w:color w:val="auto"/>
                <w:w w:val="99"/>
              </w:rPr>
              <w:t>September 30,</w:t>
            </w:r>
          </w:p>
        </w:tc>
        <w:tc>
          <w:tcPr>
            <w:tcW w:w="160" w:type="dxa"/>
            <w:vAlign w:val="bottom"/>
          </w:tcPr>
          <w:p>
            <w:pPr>
              <w:spacing w:after="0"/>
              <w:rPr>
                <w:sz w:val="22"/>
                <w:szCs w:val="22"/>
                <w:color w:val="auto"/>
              </w:rPr>
            </w:pPr>
          </w:p>
        </w:tc>
        <w:tc>
          <w:tcPr>
            <w:tcW w:w="20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1100" w:type="dxa"/>
            <w:vAlign w:val="bottom"/>
            <w:tcBorders>
              <w:top w:val="single" w:sz="8" w:color="auto"/>
            </w:tcBorders>
            <w:gridSpan w:val="2"/>
          </w:tcPr>
          <w:p>
            <w:pPr>
              <w:jc w:val="right"/>
              <w:ind w:right="321"/>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1060" w:type="dxa"/>
            <w:vAlign w:val="bottom"/>
            <w:tcBorders>
              <w:top w:val="single" w:sz="8" w:color="auto"/>
            </w:tcBorders>
            <w:gridSpan w:val="2"/>
          </w:tcPr>
          <w:p>
            <w:pPr>
              <w:jc w:val="right"/>
              <w:ind w:right="30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50"/>
        </w:trPr>
        <w:tc>
          <w:tcPr>
            <w:tcW w:w="1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231,406</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350,438</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(119,032)</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640,575</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1,234,936</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(594,361)</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57"/>
        </w:trPr>
        <w:tc>
          <w:tcPr>
            <w:tcW w:w="180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rPr>
              <w:t>Cost of product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and service</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149,452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259,419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(109,967)</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410,299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892,696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(482,397)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65"/>
        </w:trPr>
        <w:tc>
          <w:tcPr>
            <w:tcW w:w="18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revenue</w:t>
            </w:r>
          </w:p>
        </w:tc>
        <w:tc>
          <w:tcPr>
            <w:tcW w:w="140" w:type="dxa"/>
            <w:vAlign w:val="bottom"/>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1100" w:type="dxa"/>
            <w:vAlign w:val="bottom"/>
            <w:gridSpan w:val="2"/>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106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00" w:type="dxa"/>
            <w:vAlign w:val="bottom"/>
          </w:tcPr>
          <w:p>
            <w:pPr>
              <w:ind w:left="240"/>
              <w:spacing w:after="0" w:line="189" w:lineRule="exact"/>
              <w:rPr>
                <w:sz w:val="20"/>
                <w:szCs w:val="20"/>
                <w:color w:val="auto"/>
              </w:rPr>
            </w:pPr>
            <w:r>
              <w:rPr>
                <w:rFonts w:ascii="Arial" w:cs="Arial" w:eastAsia="Arial" w:hAnsi="Arial"/>
                <w:sz w:val="20"/>
                <w:szCs w:val="20"/>
                <w:color w:val="auto"/>
              </w:rPr>
              <w:t>Amortization of</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0" w:type="dxa"/>
            <w:vAlign w:val="bottom"/>
          </w:tcPr>
          <w:p>
            <w:pPr>
              <w:ind w:left="240"/>
              <w:spacing w:after="0" w:line="194" w:lineRule="exact"/>
              <w:rPr>
                <w:sz w:val="20"/>
                <w:szCs w:val="20"/>
                <w:color w:val="auto"/>
              </w:rPr>
            </w:pPr>
            <w:r>
              <w:rPr>
                <w:rFonts w:ascii="Arial" w:cs="Arial" w:eastAsia="Arial" w:hAnsi="Arial"/>
                <w:sz w:val="20"/>
                <w:szCs w:val="20"/>
                <w:color w:val="auto"/>
              </w:rPr>
              <w:t>developed</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3,639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3,640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6"/>
                <w:szCs w:val="16"/>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 %</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10,918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10,918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63"/>
        </w:trPr>
        <w:tc>
          <w:tcPr>
            <w:tcW w:w="18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technology</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20"/>
              <w:spacing w:after="0" w:line="171" w:lineRule="exact"/>
              <w:rPr>
                <w:sz w:val="20"/>
                <w:szCs w:val="20"/>
                <w:color w:val="auto"/>
              </w:rPr>
            </w:pPr>
            <w:r>
              <w:rPr>
                <w:rFonts w:ascii="Arial" w:cs="Arial" w:eastAsia="Arial" w:hAnsi="Arial"/>
                <w:sz w:val="19"/>
                <w:szCs w:val="19"/>
                <w:color w:val="auto"/>
              </w:rPr>
              <w:t>Total cost of</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153,091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263,059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(109,968)</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421,217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903,614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(482,397)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56"/>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80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Gross profit</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78,315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87,379</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(9,064)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219,358</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331,322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(111,964)</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50"/>
        </w:trPr>
        <w:tc>
          <w:tcPr>
            <w:tcW w:w="1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line="189" w:lineRule="exact"/>
              <w:rPr>
                <w:sz w:val="20"/>
                <w:szCs w:val="20"/>
                <w:color w:val="auto"/>
              </w:rPr>
            </w:pPr>
            <w:r>
              <w:rPr>
                <w:rFonts w:ascii="Arial" w:cs="Arial" w:eastAsia="Arial" w:hAnsi="Arial"/>
                <w:sz w:val="20"/>
                <w:szCs w:val="20"/>
                <w:color w:val="auto"/>
              </w:rPr>
              <w:t>Operating</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800" w:type="dxa"/>
            <w:vAlign w:val="bottom"/>
          </w:tcPr>
          <w:p>
            <w:pPr>
              <w:ind w:left="20"/>
              <w:spacing w:after="0"/>
              <w:rPr>
                <w:sz w:val="20"/>
                <w:szCs w:val="20"/>
                <w:color w:val="auto"/>
              </w:rPr>
            </w:pPr>
            <w:r>
              <w:rPr>
                <w:rFonts w:ascii="Arial" w:cs="Arial" w:eastAsia="Arial" w:hAnsi="Arial"/>
                <w:sz w:val="20"/>
                <w:szCs w:val="20"/>
                <w:color w:val="auto"/>
              </w:rPr>
              <w:t>expenses</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General and</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40,149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37,432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2,717</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7 %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114,904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115,825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(921)</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administrative</w:t>
            </w:r>
          </w:p>
        </w:tc>
        <w:tc>
          <w:tcPr>
            <w:tcW w:w="14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10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line="189" w:lineRule="exact"/>
              <w:rPr>
                <w:sz w:val="20"/>
                <w:szCs w:val="20"/>
                <w:color w:val="auto"/>
              </w:rPr>
            </w:pPr>
            <w:r>
              <w:rPr>
                <w:rFonts w:ascii="Arial" w:cs="Arial" w:eastAsia="Arial" w:hAnsi="Arial"/>
                <w:sz w:val="20"/>
                <w:szCs w:val="20"/>
                <w:color w:val="auto"/>
                <w:w w:val="98"/>
              </w:rPr>
              <w:t>Change in fair value</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0" w:type="dxa"/>
            <w:vAlign w:val="bottom"/>
          </w:tcPr>
          <w:p>
            <w:pPr>
              <w:ind w:left="20"/>
              <w:spacing w:after="0" w:line="194" w:lineRule="exact"/>
              <w:rPr>
                <w:sz w:val="20"/>
                <w:szCs w:val="20"/>
                <w:color w:val="auto"/>
              </w:rPr>
            </w:pPr>
            <w:r>
              <w:rPr>
                <w:rFonts w:ascii="Arial" w:cs="Arial" w:eastAsia="Arial" w:hAnsi="Arial"/>
                <w:sz w:val="20"/>
                <w:szCs w:val="20"/>
                <w:color w:val="auto"/>
              </w:rPr>
              <w:t>of contingent</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229</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121 %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(271)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2,232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2,503</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112 %</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Arial" w:cs="Arial" w:eastAsia="Arial" w:hAnsi="Arial"/>
                <w:sz w:val="20"/>
                <w:szCs w:val="20"/>
                <w:color w:val="auto"/>
              </w:rPr>
              <w:t>consideration</w:t>
            </w: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0" w:type="dxa"/>
            <w:vAlign w:val="bottom"/>
            <w:shd w:val="clear" w:color="auto" w:fill="CCEEFF"/>
          </w:tcPr>
          <w:p>
            <w:pPr>
              <w:ind w:left="20"/>
              <w:spacing w:after="0" w:line="191" w:lineRule="exact"/>
              <w:rPr>
                <w:sz w:val="20"/>
                <w:szCs w:val="20"/>
                <w:color w:val="auto"/>
              </w:rPr>
            </w:pPr>
            <w:r>
              <w:rPr>
                <w:rFonts w:ascii="Arial" w:cs="Arial" w:eastAsia="Arial" w:hAnsi="Arial"/>
                <w:sz w:val="20"/>
                <w:szCs w:val="20"/>
                <w:color w:val="auto"/>
              </w:rPr>
              <w:t>Depreciation and</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8,880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9,552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(672)</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27,384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29,361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(1,977)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56"/>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amortization</w:t>
            </w:r>
          </w:p>
        </w:tc>
        <w:tc>
          <w:tcPr>
            <w:tcW w:w="14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10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line="189" w:lineRule="exact"/>
              <w:rPr>
                <w:sz w:val="20"/>
                <w:szCs w:val="20"/>
                <w:color w:val="auto"/>
              </w:rPr>
            </w:pPr>
            <w:r>
              <w:rPr>
                <w:rFonts w:ascii="Arial" w:cs="Arial" w:eastAsia="Arial" w:hAnsi="Arial"/>
                <w:sz w:val="20"/>
                <w:szCs w:val="20"/>
                <w:color w:val="auto"/>
              </w:rPr>
              <w:t>Goodwill</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162,000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(162,000)</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(100)%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162,000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162,000</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56"/>
        </w:trPr>
        <w:tc>
          <w:tcPr>
            <w:tcW w:w="1800" w:type="dxa"/>
            <w:vAlign w:val="bottom"/>
          </w:tcPr>
          <w:p>
            <w:pPr>
              <w:ind w:left="20"/>
              <w:spacing w:after="0"/>
              <w:rPr>
                <w:sz w:val="20"/>
                <w:szCs w:val="20"/>
                <w:color w:val="auto"/>
              </w:rPr>
            </w:pPr>
            <w:r>
              <w:rPr>
                <w:rFonts w:ascii="Arial" w:cs="Arial" w:eastAsia="Arial" w:hAnsi="Arial"/>
                <w:sz w:val="20"/>
                <w:szCs w:val="20"/>
                <w:color w:val="auto"/>
              </w:rPr>
              <w:t>impairment</w:t>
            </w: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800" w:type="dxa"/>
            <w:vAlign w:val="bottom"/>
            <w:tcBorders>
              <w:top w:val="single" w:sz="8" w:color="CCEEFF"/>
            </w:tcBorders>
            <w:shd w:val="clear" w:color="auto" w:fill="CCEEFF"/>
          </w:tcPr>
          <w:p>
            <w:pPr>
              <w:ind w:left="560"/>
              <w:spacing w:after="0" w:line="169" w:lineRule="exact"/>
              <w:rPr>
                <w:sz w:val="20"/>
                <w:szCs w:val="20"/>
                <w:color w:val="auto"/>
              </w:rPr>
            </w:pPr>
            <w:r>
              <w:rPr>
                <w:rFonts w:ascii="Arial" w:cs="Arial" w:eastAsia="Arial" w:hAnsi="Arial"/>
                <w:sz w:val="19"/>
                <w:szCs w:val="19"/>
                <w:color w:val="auto"/>
              </w:rPr>
              <w:t>Total</w:t>
            </w: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ind w:left="560"/>
              <w:spacing w:after="0" w:line="194" w:lineRule="exact"/>
              <w:rPr>
                <w:sz w:val="20"/>
                <w:szCs w:val="20"/>
                <w:color w:val="auto"/>
              </w:rPr>
            </w:pPr>
            <w:r>
              <w:rPr>
                <w:rFonts w:ascii="Arial" w:cs="Arial" w:eastAsia="Arial" w:hAnsi="Arial"/>
                <w:sz w:val="20"/>
                <w:szCs w:val="20"/>
                <w:color w:val="auto"/>
              </w:rPr>
              <w:t>operating</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210,990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47,174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163,816</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347 %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304,017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147,418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156,599</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106 %</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expenses</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(Loss) income from</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(132,675)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40,205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(172,880)</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(430)%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(84,659)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183,904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(268,563)</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(146)%</w:t>
            </w:r>
          </w:p>
        </w:tc>
        <w:tc>
          <w:tcPr>
            <w:tcW w:w="0" w:type="dxa"/>
            <w:vAlign w:val="bottom"/>
          </w:tcPr>
          <w:p>
            <w:pPr>
              <w:spacing w:after="0"/>
              <w:rPr>
                <w:sz w:val="1"/>
                <w:szCs w:val="1"/>
                <w:color w:val="auto"/>
              </w:rPr>
            </w:pPr>
          </w:p>
        </w:tc>
      </w:tr>
      <w:tr>
        <w:trPr>
          <w:trHeight w:val="257"/>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operations</w:t>
            </w:r>
          </w:p>
        </w:tc>
        <w:tc>
          <w:tcPr>
            <w:tcW w:w="14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10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loss, net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53 %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1209 %</w:t>
            </w:r>
          </w:p>
        </w:tc>
        <w:tc>
          <w:tcPr>
            <w:tcW w:w="0" w:type="dxa"/>
            <w:vAlign w:val="bottom"/>
          </w:tcPr>
          <w:p>
            <w:pPr>
              <w:spacing w:after="0"/>
              <w:rPr>
                <w:sz w:val="1"/>
                <w:szCs w:val="1"/>
                <w:color w:val="auto"/>
              </w:rPr>
            </w:pPr>
          </w:p>
        </w:tc>
      </w:tr>
      <w:tr>
        <w:trPr>
          <w:trHeight w:val="257"/>
        </w:trPr>
        <w:tc>
          <w:tcPr>
            <w:tcW w:w="1800" w:type="dxa"/>
            <w:vAlign w:val="bottom"/>
          </w:tcPr>
          <w:p>
            <w:pPr>
              <w:ind w:left="20"/>
              <w:spacing w:after="0"/>
              <w:rPr>
                <w:sz w:val="20"/>
                <w:szCs w:val="20"/>
                <w:color w:val="auto"/>
              </w:rPr>
            </w:pPr>
            <w:r>
              <w:rPr>
                <w:rFonts w:ascii="Arial" w:cs="Arial" w:eastAsia="Arial" w:hAnsi="Arial"/>
                <w:sz w:val="20"/>
                <w:szCs w:val="20"/>
                <w:color w:val="auto"/>
              </w:rPr>
              <w:t>Interest income</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4,223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3,425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798</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23 %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12,685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6,124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6,561</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107 %</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Foreign currency</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(313)</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(151)%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(1,073)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273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(1,346)</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(493)%</w:t>
            </w:r>
          </w:p>
        </w:tc>
        <w:tc>
          <w:tcPr>
            <w:tcW w:w="0" w:type="dxa"/>
            <w:vAlign w:val="bottom"/>
          </w:tcPr>
          <w:p>
            <w:pPr>
              <w:spacing w:after="0"/>
              <w:rPr>
                <w:sz w:val="1"/>
                <w:szCs w:val="1"/>
                <w:color w:val="auto"/>
              </w:rPr>
            </w:pPr>
          </w:p>
        </w:tc>
      </w:tr>
      <w:tr>
        <w:trPr>
          <w:trHeight w:val="257"/>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gain, net</w:t>
            </w:r>
          </w:p>
        </w:tc>
        <w:tc>
          <w:tcPr>
            <w:tcW w:w="14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10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Interest expense</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(8,264)</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(13,064)</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4,800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37 %</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(25,818)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(35,372)</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(9,554)</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169"/>
        </w:trPr>
        <w:tc>
          <w:tcPr>
            <w:tcW w:w="1800" w:type="dxa"/>
            <w:vAlign w:val="bottom"/>
            <w:shd w:val="clear" w:color="auto" w:fill="CCEEFF"/>
          </w:tcPr>
          <w:p>
            <w:pPr>
              <w:ind w:left="560"/>
              <w:spacing w:after="0" w:line="169" w:lineRule="exact"/>
              <w:rPr>
                <w:sz w:val="20"/>
                <w:szCs w:val="20"/>
                <w:color w:val="auto"/>
              </w:rPr>
            </w:pPr>
            <w:r>
              <w:rPr>
                <w:rFonts w:ascii="Arial" w:cs="Arial" w:eastAsia="Arial" w:hAnsi="Arial"/>
                <w:sz w:val="19"/>
                <w:szCs w:val="19"/>
                <w:color w:val="auto"/>
              </w:rPr>
              <w:t>Total other</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(4,829)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(9,878)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5,049</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51 %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(15,868)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(29,102)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(13,234)</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56"/>
        </w:trPr>
        <w:tc>
          <w:tcPr>
            <w:tcW w:w="18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expense, net</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(Loss) income</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before income tax</w:t>
            </w: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(137,504)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30,327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(167,831)</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(553)%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(100,527)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154,802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(255,329)</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(165)%</w:t>
            </w:r>
          </w:p>
        </w:tc>
        <w:tc>
          <w:tcPr>
            <w:tcW w:w="0" w:type="dxa"/>
            <w:vAlign w:val="bottom"/>
          </w:tcPr>
          <w:p>
            <w:pPr>
              <w:spacing w:after="0"/>
              <w:rPr>
                <w:sz w:val="1"/>
                <w:szCs w:val="1"/>
                <w:color w:val="auto"/>
              </w:rPr>
            </w:pPr>
          </w:p>
        </w:tc>
      </w:tr>
      <w:tr>
        <w:trPr>
          <w:trHeight w:val="265"/>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expense</w:t>
            </w:r>
          </w:p>
        </w:tc>
        <w:tc>
          <w:tcPr>
            <w:tcW w:w="140" w:type="dxa"/>
            <w:vAlign w:val="bottom"/>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1100" w:type="dxa"/>
            <w:vAlign w:val="bottom"/>
            <w:gridSpan w:val="2"/>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106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line="189" w:lineRule="exact"/>
              <w:rPr>
                <w:sz w:val="20"/>
                <w:szCs w:val="20"/>
                <w:color w:val="auto"/>
              </w:rPr>
            </w:pPr>
            <w:r>
              <w:rPr>
                <w:rFonts w:ascii="Arial" w:cs="Arial" w:eastAsia="Arial" w:hAnsi="Arial"/>
                <w:sz w:val="20"/>
                <w:szCs w:val="20"/>
                <w:color w:val="auto"/>
              </w:rPr>
              <w:t>Income tax</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3,850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7,229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(3,379)</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12,964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36,904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(23,940)</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56"/>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expense</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CCEEFF"/>
            </w:tcBorders>
            <w:gridSpan w:val="2"/>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(141,354)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23,098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(164,452)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(712)%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(113,491)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117,898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(231,389)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(196)%</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type w:val="continuous"/>
        </w:sectPr>
      </w:pPr>
    </w:p>
    <w:bookmarkStart w:id="46" w:name="page47"/>
    <w:bookmarkEnd w:id="46"/>
    <w:p>
      <w:pPr>
        <w:spacing w:after="0" w:line="123" w:lineRule="exact"/>
        <w:rPr>
          <w:sz w:val="20"/>
          <w:szCs w:val="20"/>
          <w:color w:val="auto"/>
        </w:rPr>
      </w:pPr>
    </w:p>
    <w:p>
      <w:pPr>
        <w:ind w:right="420"/>
        <w:spacing w:after="0" w:line="273" w:lineRule="auto"/>
        <w:rPr>
          <w:sz w:val="20"/>
          <w:szCs w:val="20"/>
          <w:color w:val="auto"/>
        </w:rPr>
      </w:pPr>
      <w:r>
        <w:rPr>
          <w:rFonts w:ascii="Arial" w:cs="Arial" w:eastAsia="Arial" w:hAnsi="Arial"/>
          <w:sz w:val="20"/>
          <w:szCs w:val="20"/>
          <w:color w:val="auto"/>
        </w:rPr>
        <w:t>The following table provides details on our operating results by reportable segment for the respective periods (in thousands, except percentages):</w:t>
      </w:r>
    </w:p>
    <w:tbl>
      <w:tblPr>
        <w:tblLayout w:type="fixed"/>
        <w:tblInd w:w="0" w:type="dxa"/>
        <w:tblCellMar>
          <w:top w:w="0" w:type="dxa"/>
          <w:left w:w="0" w:type="dxa"/>
          <w:bottom w:w="0" w:type="dxa"/>
          <w:right w:w="0" w:type="dxa"/>
        </w:tblCellMar>
      </w:tblPr>
      <w:tr>
        <w:trPr>
          <w:trHeight w:val="200"/>
        </w:trPr>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5"/>
          </w:tcPr>
          <w:p>
            <w:pPr>
              <w:jc w:val="center"/>
              <w:ind w:right="220"/>
              <w:spacing w:after="0" w:line="201" w:lineRule="exact"/>
              <w:rPr>
                <w:sz w:val="20"/>
                <w:szCs w:val="20"/>
                <w:color w:val="auto"/>
              </w:rPr>
            </w:pPr>
            <w:r>
              <w:rPr>
                <w:rFonts w:ascii="Arial" w:cs="Arial" w:eastAsia="Arial" w:hAnsi="Arial"/>
                <w:sz w:val="20"/>
                <w:szCs w:val="20"/>
                <w:b w:val="1"/>
                <w:bCs w:val="1"/>
                <w:color w:val="auto"/>
                <w:w w:val="99"/>
              </w:rPr>
              <w:t>Three Months Ended</w:t>
            </w:r>
          </w:p>
        </w:tc>
        <w:tc>
          <w:tcPr>
            <w:tcW w:w="180" w:type="dxa"/>
            <w:vAlign w:val="bottom"/>
          </w:tcPr>
          <w:p>
            <w:pPr>
              <w:spacing w:after="0"/>
              <w:rPr>
                <w:sz w:val="17"/>
                <w:szCs w:val="17"/>
                <w:color w:val="auto"/>
              </w:rPr>
            </w:pPr>
          </w:p>
        </w:tc>
        <w:tc>
          <w:tcPr>
            <w:tcW w:w="2200" w:type="dxa"/>
            <w:vAlign w:val="bottom"/>
            <w:gridSpan w:val="4"/>
            <w:vMerge w:val="restart"/>
          </w:tcPr>
          <w:p>
            <w:pPr>
              <w:ind w:left="40"/>
              <w:spacing w:after="0"/>
              <w:rPr>
                <w:sz w:val="20"/>
                <w:szCs w:val="20"/>
                <w:color w:val="auto"/>
              </w:rPr>
            </w:pPr>
            <w:r>
              <w:rPr>
                <w:rFonts w:ascii="Arial" w:cs="Arial" w:eastAsia="Arial" w:hAnsi="Arial"/>
                <w:sz w:val="20"/>
                <w:szCs w:val="20"/>
                <w:b w:val="1"/>
                <w:bCs w:val="1"/>
                <w:color w:val="auto"/>
              </w:rPr>
              <w:t>Increase/(Decrease)</w:t>
            </w:r>
          </w:p>
        </w:tc>
        <w:tc>
          <w:tcPr>
            <w:tcW w:w="220" w:type="dxa"/>
            <w:vAlign w:val="bottom"/>
          </w:tcPr>
          <w:p>
            <w:pPr>
              <w:spacing w:after="0"/>
              <w:rPr>
                <w:sz w:val="17"/>
                <w:szCs w:val="17"/>
                <w:color w:val="auto"/>
              </w:rPr>
            </w:pPr>
          </w:p>
        </w:tc>
        <w:tc>
          <w:tcPr>
            <w:tcW w:w="2300" w:type="dxa"/>
            <w:vAlign w:val="bottom"/>
            <w:gridSpan w:val="5"/>
          </w:tcPr>
          <w:p>
            <w:pPr>
              <w:jc w:val="center"/>
              <w:ind w:right="300"/>
              <w:spacing w:after="0" w:line="201" w:lineRule="exact"/>
              <w:rPr>
                <w:sz w:val="20"/>
                <w:szCs w:val="20"/>
                <w:color w:val="auto"/>
              </w:rPr>
            </w:pPr>
            <w:r>
              <w:rPr>
                <w:rFonts w:ascii="Arial" w:cs="Arial" w:eastAsia="Arial" w:hAnsi="Arial"/>
                <w:sz w:val="20"/>
                <w:szCs w:val="20"/>
                <w:b w:val="1"/>
                <w:bCs w:val="1"/>
                <w:color w:val="auto"/>
                <w:w w:val="98"/>
              </w:rPr>
              <w:t>Nine Months Ended</w:t>
            </w:r>
          </w:p>
        </w:tc>
        <w:tc>
          <w:tcPr>
            <w:tcW w:w="160" w:type="dxa"/>
            <w:vAlign w:val="bottom"/>
          </w:tcPr>
          <w:p>
            <w:pPr>
              <w:spacing w:after="0"/>
              <w:rPr>
                <w:sz w:val="17"/>
                <w:szCs w:val="17"/>
                <w:color w:val="auto"/>
              </w:rPr>
            </w:pPr>
          </w:p>
        </w:tc>
        <w:tc>
          <w:tcPr>
            <w:tcW w:w="2100" w:type="dxa"/>
            <w:vAlign w:val="bottom"/>
            <w:gridSpan w:val="3"/>
            <w:vMerge w:val="restart"/>
          </w:tcPr>
          <w:p>
            <w:pPr>
              <w:jc w:val="right"/>
              <w:ind w:right="200"/>
              <w:spacing w:after="0"/>
              <w:rPr>
                <w:sz w:val="20"/>
                <w:szCs w:val="20"/>
                <w:color w:val="auto"/>
              </w:rPr>
            </w:pPr>
            <w:r>
              <w:rPr>
                <w:rFonts w:ascii="Arial" w:cs="Arial" w:eastAsia="Arial" w:hAnsi="Arial"/>
                <w:sz w:val="20"/>
                <w:szCs w:val="20"/>
                <w:b w:val="1"/>
                <w:bCs w:val="1"/>
                <w:color w:val="auto"/>
                <w:w w:val="99"/>
              </w:rPr>
              <w:t>Increase/(Decrease)</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60" w:type="dxa"/>
            <w:vAlign w:val="bottom"/>
            <w:gridSpan w:val="5"/>
          </w:tcPr>
          <w:p>
            <w:pPr>
              <w:jc w:val="center"/>
              <w:ind w:right="220"/>
              <w:spacing w:after="0"/>
              <w:rPr>
                <w:sz w:val="20"/>
                <w:szCs w:val="20"/>
                <w:color w:val="auto"/>
              </w:rPr>
            </w:pPr>
            <w:r>
              <w:rPr>
                <w:rFonts w:ascii="Arial" w:cs="Arial" w:eastAsia="Arial" w:hAnsi="Arial"/>
                <w:sz w:val="20"/>
                <w:szCs w:val="20"/>
                <w:b w:val="1"/>
                <w:bCs w:val="1"/>
                <w:color w:val="auto"/>
                <w:w w:val="99"/>
              </w:rPr>
              <w:t>September 30,</w:t>
            </w:r>
          </w:p>
        </w:tc>
        <w:tc>
          <w:tcPr>
            <w:tcW w:w="180" w:type="dxa"/>
            <w:vAlign w:val="bottom"/>
          </w:tcPr>
          <w:p>
            <w:pPr>
              <w:spacing w:after="0"/>
              <w:rPr>
                <w:sz w:val="22"/>
                <w:szCs w:val="22"/>
                <w:color w:val="auto"/>
              </w:rPr>
            </w:pPr>
          </w:p>
        </w:tc>
        <w:tc>
          <w:tcPr>
            <w:tcW w:w="2200" w:type="dxa"/>
            <w:vAlign w:val="bottom"/>
            <w:gridSpan w:val="4"/>
            <w:vMerge w:val="continue"/>
          </w:tcPr>
          <w:p>
            <w:pPr>
              <w:spacing w:after="0"/>
              <w:rPr>
                <w:sz w:val="22"/>
                <w:szCs w:val="22"/>
                <w:color w:val="auto"/>
              </w:rPr>
            </w:pPr>
          </w:p>
        </w:tc>
        <w:tc>
          <w:tcPr>
            <w:tcW w:w="220" w:type="dxa"/>
            <w:vAlign w:val="bottom"/>
          </w:tcPr>
          <w:p>
            <w:pPr>
              <w:spacing w:after="0"/>
              <w:rPr>
                <w:sz w:val="22"/>
                <w:szCs w:val="22"/>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20"/>
                <w:szCs w:val="20"/>
                <w:b w:val="1"/>
                <w:bCs w:val="1"/>
                <w:color w:val="auto"/>
                <w:w w:val="99"/>
              </w:rPr>
              <w:t>September 30,</w:t>
            </w:r>
          </w:p>
        </w:tc>
        <w:tc>
          <w:tcPr>
            <w:tcW w:w="160" w:type="dxa"/>
            <w:vAlign w:val="bottom"/>
          </w:tcPr>
          <w:p>
            <w:pPr>
              <w:spacing w:after="0"/>
              <w:rPr>
                <w:sz w:val="22"/>
                <w:szCs w:val="22"/>
                <w:color w:val="auto"/>
              </w:rPr>
            </w:pPr>
          </w:p>
        </w:tc>
        <w:tc>
          <w:tcPr>
            <w:tcW w:w="21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w:t>
            </w:r>
          </w:p>
        </w:tc>
        <w:tc>
          <w:tcPr>
            <w:tcW w:w="10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10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7"/>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60" w:type="dxa"/>
            <w:vAlign w:val="bottom"/>
          </w:tcPr>
          <w:p>
            <w:pPr>
              <w:ind w:left="240"/>
              <w:spacing w:after="0" w:line="189" w:lineRule="exact"/>
              <w:rPr>
                <w:sz w:val="20"/>
                <w:szCs w:val="20"/>
                <w:color w:val="auto"/>
              </w:rPr>
            </w:pPr>
            <w:r>
              <w:rPr>
                <w:rFonts w:ascii="Arial" w:cs="Arial" w:eastAsia="Arial" w:hAnsi="Arial"/>
                <w:sz w:val="20"/>
                <w:szCs w:val="20"/>
                <w:color w:val="auto"/>
              </w:rPr>
              <w:t>Array Legacy</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160,266</w:t>
            </w:r>
          </w:p>
        </w:tc>
        <w:tc>
          <w:tcPr>
            <w:tcW w:w="8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244,857</w:t>
            </w:r>
          </w:p>
        </w:tc>
        <w:tc>
          <w:tcPr>
            <w:tcW w:w="8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(84,591)</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16"/>
                <w:szCs w:val="16"/>
                <w:color w:val="auto"/>
              </w:rPr>
            </w:pPr>
          </w:p>
        </w:tc>
        <w:tc>
          <w:tcPr>
            <w:tcW w:w="22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459,807</w:t>
            </w:r>
          </w:p>
        </w:tc>
        <w:tc>
          <w:tcPr>
            <w:tcW w:w="8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895,322</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(435,515)</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56"/>
        </w:trPr>
        <w:tc>
          <w:tcPr>
            <w:tcW w:w="1660" w:type="dxa"/>
            <w:vAlign w:val="bottom"/>
          </w:tcPr>
          <w:p>
            <w:pPr>
              <w:ind w:left="240"/>
              <w:spacing w:after="0"/>
              <w:rPr>
                <w:sz w:val="20"/>
                <w:szCs w:val="20"/>
                <w:color w:val="auto"/>
              </w:rPr>
            </w:pPr>
            <w:r>
              <w:rPr>
                <w:rFonts w:ascii="Arial" w:cs="Arial" w:eastAsia="Arial" w:hAnsi="Arial"/>
                <w:sz w:val="20"/>
                <w:szCs w:val="20"/>
                <w:color w:val="auto"/>
              </w:rPr>
              <w:t>Operations</w:t>
            </w:r>
          </w:p>
        </w:tc>
        <w:tc>
          <w:tcPr>
            <w:tcW w:w="16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STI Operations</w:t>
            </w: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71,140</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105,581</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(34,441)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(33)%</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180,768</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339,614</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(158,846)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50"/>
        </w:trPr>
        <w:tc>
          <w:tcPr>
            <w:tcW w:w="1660" w:type="dxa"/>
            <w:vAlign w:val="bottom"/>
          </w:tcPr>
          <w:p>
            <w:pPr>
              <w:ind w:left="20"/>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231,406</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350,438</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(119,032)</w:t>
            </w: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(34)%</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640,575</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1,234,936</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(594,361)</w:t>
            </w: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6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rPr>
              <w:t>Array Legacy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65,726</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58,233</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7,493</w:t>
            </w:r>
          </w:p>
        </w:tc>
        <w:tc>
          <w:tcPr>
            <w:tcW w:w="10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13 %</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192,118</w:t>
            </w:r>
          </w:p>
        </w:tc>
        <w:tc>
          <w:tcPr>
            <w:tcW w:w="8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241,019</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(48,901)</w:t>
            </w:r>
          </w:p>
        </w:tc>
        <w:tc>
          <w:tcPr>
            <w:tcW w:w="10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Operations</w:t>
            </w:r>
          </w:p>
        </w:tc>
        <w:tc>
          <w:tcPr>
            <w:tcW w:w="160" w:type="dxa"/>
            <w:vAlign w:val="bottom"/>
            <w:vMerge w:val="continue"/>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108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STI Operations</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12,589</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29,146</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(16,557)</w:t>
            </w:r>
          </w:p>
        </w:tc>
        <w:tc>
          <w:tcPr>
            <w:tcW w:w="10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20"/>
                <w:szCs w:val="20"/>
                <w:color w:val="auto"/>
              </w:rPr>
              <w:t>(57)%</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27,240</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90,303</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(63,063)</w:t>
            </w:r>
          </w:p>
        </w:tc>
        <w:tc>
          <w:tcPr>
            <w:tcW w:w="10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20"/>
                <w:szCs w:val="20"/>
                <w:color w:val="auto"/>
              </w:rPr>
              <w:t>(70)%</w:t>
            </w:r>
          </w:p>
        </w:tc>
        <w:tc>
          <w:tcPr>
            <w:tcW w:w="0" w:type="dxa"/>
            <w:vAlign w:val="bottom"/>
          </w:tcPr>
          <w:p>
            <w:pPr>
              <w:spacing w:after="0"/>
              <w:rPr>
                <w:sz w:val="1"/>
                <w:szCs w:val="1"/>
                <w:color w:val="auto"/>
              </w:rPr>
            </w:pPr>
          </w:p>
        </w:tc>
      </w:tr>
      <w:tr>
        <w:trPr>
          <w:trHeight w:val="275"/>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78,315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87,379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(9,064)</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219,358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331,322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(111,964)</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three and nine months ended September 30, 2024 and 2023</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21"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color w:val="auto"/>
        </w:rPr>
        <w:t>Consolidated revenue decreased $119.0 million, or 34%, for the three months ended September 30, 2024, compared to the three months ended September 30, 2023, primarily driven by lower revenue from Array Legacy Operations of 35% and STI Operations of 33%.</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Array Legacy Operations revenue decreased by $ 84.6 million, or 35%, for the three months ended September 30, 2024 compared to the three months ended September 30, 2023 primarily driven by a decrease of approximately 35% in volume.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from STI Operations decreased by $34.4 million, or 33% for the three months ended September 30, 2024 compared to the three months ended September 30, 2023. The decrease was primarily driven by a decrease of approximately 13% in volume, a decrease of approximately 12% in average selling prices and a foreign currency impact of approximately 7%.</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revenue decreased $594.4 million, or 48%, for the nine months ended September 30, 2024 compared to the nine months ended September 30, 2023, primarily driven by lower revenue from Array Legacy Operations of 49% and STI Operations of 47%.</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Array Legacy Operations revenue decreased by $435.5 million, or 49%, for the nine months ended September 30, 2024 compared to the nine months ended September 30, 2023, primarily driven by a decrease of approximately 46% in volume and a decrease of approximately 5% in average selling prices.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from STI Operations decreased by $158.8 million, or 47% for the nine months ended September 30, 2024 compared to the nine months ended September 30, 2023. The decrease was primarily driven by a decrease of approximately 31% in volume, a decrease of approximately 19% in average selling prices and a foreign currency impact of approximately 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cost of revenue decreased by $110.0 million, or 42%, for the three months ended September 30, 2024 compared to the three months ended September 30, 2023, in line with lower revenue, combined with lower input costs per watt, resulting from supply chain and engineering cost control initiatives and the realization of 45X benefits associated with torque tubes and structural fasteners.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gross profit decreased by $9.1 million, or 10%, for the three months ended September 30, 2024 compared to the three months ended September 30, 2023. Gross Margin increased to 34% for the three months ended September 30, 2024, as compared to 25% during the same period in the prior year.</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Array Legacy Operations gross profit increased by $ 7.5 million, or 13%, for the three months ended September 30, 2024 compared to the three months ended September 30, 2023. Gross margin increased to 41% from 24% for the three months ended September 30, 2024 and 2023, respectively. The increase in gross margin was driven by the realization of 45X benefits associated with torque tubes and structural fasteners during the quarter.</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STI Operations gross profit decreased by $16.6 million, or 57%, for the three months ended September 30, 2024 compared to the three months ended September 30, 2023. Gross margin for STI Operations decreased to 18% from 28% for the three months ended September 30, 2024 and 2023, respectively, driven primarily by a decline in average selling prices of approximately 12%, partially offset by lower commodity prices.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cost of revenue decreased by $482.4 million, or 53%, for the nine months ended September 30, 2024 compared to the nine months ended September 30, 2023, in line with lower revenues and the realization of 45X benefits associated with torque tubes and structural fasteners.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gross profit decreased by $112.0 million, or 34%, for the nine months ended September 30, 2024 compared to the nine months ended September 30, 2023. Gross margin increased to 34% for the nine months ended September 30, 2024, as compared to 27% during the same period in the prior year.</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Array Legacy Operations gross profit decreased by $48.9 million, or 20%, for the nine months ended September 30, 2024 compared to the nine months ended September 30, 2023. Gross margin at Array Legacy Operations increased to 42% from 27% for the nine months ended September 30, 2024 and 2023, respectively. The increase in gross margin was driven by the realization of 45X benefits associated with torque tubes and structural fasteners. In addition, the Company also recognized a one-time $4.0 million settlement with one of our vendors during the first quarter of 2024, which was recorded as a reduction of cost of product and service revenue.</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STI Operations gross profit decreased by $63.1 million, or 70%, for the nine months ended September 30, 2024 compared to the nine months ended September 30, 2023. Gross margin for STI Operations decreased to 15% from 27% for the nine months ended September 30, 2024 and 2023, respectively, in line with lower revenue and a decrease in average selling prices of 19%, partially offset by lower commodity prices.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general and administrative expenses for the three and nine months ended September 30, 2024 increased by $ 2.7 million, or 7%, and decreased by $0.9 million, or 1%, respectively, compared to the three and nine months ended September 30, 2023. The increase during the third quarter of 2024 was primarily due to an increase of $2.0 million in legal and other professional fees, an increase of $1.6 million in an allowance</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48" w:name="page49"/>
    <w:bookmarkEnd w:id="48"/>
    <w:p>
      <w:pPr>
        <w:jc w:val="both"/>
        <w:spacing w:after="0" w:line="286" w:lineRule="auto"/>
        <w:rPr>
          <w:sz w:val="20"/>
          <w:szCs w:val="20"/>
          <w:color w:val="auto"/>
        </w:rPr>
      </w:pPr>
      <w:r>
        <w:rPr>
          <w:rFonts w:ascii="Arial" w:cs="Arial" w:eastAsia="Arial" w:hAnsi="Arial"/>
          <w:sz w:val="20"/>
          <w:szCs w:val="20"/>
          <w:color w:val="auto"/>
        </w:rPr>
        <w:t>for credit risk related to one customer in Brazil, partially offset by lower personnel expenses as a result of lower stock-based compensation expense and lower headcount.</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General and administrative expenses decreased during the nine months ended September 30, 2024 due to $4.4 million of lower personnel expenses as a result lower stock-based compensation expense and lower headcount, partially offset by an increase of $3.4 million in an allowance for credit risk related to a limited number of customers in Brazil.</w:t>
      </w:r>
    </w:p>
    <w:p>
      <w:pPr>
        <w:spacing w:after="0" w:line="212"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Change in the fair value of contingent consideration for the three and nine months ended September 30, 2024 resulted in a loss of $39 thousand and a gain of $0.3 million, respectively, compared to the three and nine months ended September 30, 2023.</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depreciation and amortization expense for the three and nine months ended September 30, 2024 decreased by $0.7 million, or 7%, and $2.0 million, or 7%, respectively, compared to the three and nine months ended September 30, 2023. The decrease was primarily due to certain assets acquired becoming fully amortized.</w:t>
      </w:r>
    </w:p>
    <w:p>
      <w:pPr>
        <w:spacing w:after="0" w:line="192"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 xml:space="preserve">During the three months ended September 30, 2024, the Company identified certain indicators of impairment, which resulted in an impairment of goodwill of $162.0 million. See </w:t>
      </w:r>
      <w:r>
        <w:rPr>
          <w:rFonts w:ascii="Arial" w:cs="Arial" w:eastAsia="Arial" w:hAnsi="Arial"/>
          <w:sz w:val="20"/>
          <w:szCs w:val="20"/>
          <w:u w:val="single" w:color="auto"/>
          <w:color w:val="0000FF"/>
        </w:rPr>
        <w:t>Note 5 – Goodwill and Other Intangibles</w:t>
      </w:r>
      <w:r>
        <w:rPr>
          <w:rFonts w:ascii="Arial" w:cs="Arial" w:eastAsia="Arial" w:hAnsi="Arial"/>
          <w:sz w:val="20"/>
          <w:szCs w:val="20"/>
          <w:color w:val="auto"/>
        </w:rPr>
        <w:t xml:space="preserve">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interest income for the three and nine months ended September 30, 2024 increased by $0.8 million, or 23%, and $6.6 million, or 107%, respectively, compared to the three and nine months ended September 30, 2023, primarily as a result of higher cash on hand and higher yields on our cash management program.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interest expense for the three and nine months ended September 30, 2024 increased by $4.8 million, or 37%, and $9.6 million, or 27%, respectively, compared to the three and nine months ended September 30, 2023, primarily due to the impact of the $74.3 million of principal pay downs on our Term Loan Facility during 2023. These pay downs were the result of focused efforts to decrease our outstanding debt balance with free cash flows from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Consolidated income tax expense for the three and nine months ended September 30, 2024 decreased by $3.4 million, or 47%, and $23.9 million, or 65%, respectively, compared to the three and nine months ended September 30, 2023. The Company recorded income tax expense of $3.9 million and $13.0 million, respectively, for the three and nine months ended September 30, 2024, compared to income tax expense of $7.2 million and $36.9 million, respectively, for the three and nine months ended September 30, 2023.</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Our effective tax rate was (2.8)% and (12.9)% for the three and nine months ended September 30, 2024, respectively, and 23.8% for both the three and nine months ended September 30, 2023.</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No tax benefit was recorded from the goodwill impairment recorded for the three months ended September 30, 2024 as the goodwill is non-deductible for income tax purposes. Our effective tax rate, excluding the impact of the goodwill impairment was 15.7% and 21.1% for the three and nine months ended September 30, 2024. The tax expense for the three months ended September 30, 2024, was favorably impacted by lower profits in non-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9" w:name="page50"/>
    <w:bookmarkEnd w:id="49"/>
    <w:p>
      <w:pPr>
        <w:jc w:val="both"/>
        <w:spacing w:after="0" w:line="276" w:lineRule="auto"/>
        <w:rPr>
          <w:sz w:val="20"/>
          <w:szCs w:val="20"/>
          <w:color w:val="auto"/>
        </w:rPr>
      </w:pPr>
      <w:r>
        <w:rPr>
          <w:rFonts w:ascii="Arial" w:cs="Arial" w:eastAsia="Arial" w:hAnsi="Arial"/>
          <w:sz w:val="20"/>
          <w:szCs w:val="20"/>
          <w:color w:val="auto"/>
        </w:rPr>
        <w:t>US jurisdictions and additional tax credits recorded during the period. This is partially offset by legislative changes in Brazil where a local tax incentive is no longer exempt from federal income tax beginning in 2024. Tax expense for the three months ended September 30, 2023 was unfavorably impacted by higher income reported in non-U.S. jurisdictions.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recorded income tax expense of $13.0 million for the nine months ended September 30, 2024, compared to an expense of $36.9 million for the nine months ended September 30, 2023. Income tax expense for the nine months ended September 30, 2024 was favorably impacted by lower profits in non-US jurisdictions and additional tax credits recorded during the period. This was partially offset by legislative changes in Brazil where a local tax incentive is no longer exempt from federal income tax beginning in 2024. Additionally, tax expense of $0.5 million related to equity-based compensation, was recorded discretely. Tax expense for the nine months ended September 30, 2023 was unfavorably impacted by higher income reported in non-U.S. jurisdictions, offset by a tax benefit of $1.2 million related to equity-based compensation, recorded discretely.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Divestiture of Investment in Equity Securities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 June 2024, we divested 100% of our equity investment in preferred stock of a private company we purchased in 2021. We received $12.0 million in proceeds for the divestiture in July 2024. No gain or loss resulted from this transaction.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520" w:type="dxa"/>
            <w:vAlign w:val="bottom"/>
          </w:tcPr>
          <w:p>
            <w:pPr>
              <w:spacing w:after="0"/>
              <w:rPr>
                <w:sz w:val="20"/>
                <w:szCs w:val="20"/>
                <w:color w:val="auto"/>
              </w:rPr>
            </w:pPr>
            <w:r>
              <w:rPr>
                <w:rFonts w:ascii="Arial" w:cs="Arial" w:eastAsia="Arial" w:hAnsi="Arial"/>
                <w:sz w:val="20"/>
                <w:szCs w:val="20"/>
                <w:b w:val="1"/>
                <w:bCs w:val="1"/>
                <w:color w:val="auto"/>
              </w:rPr>
              <w:t xml:space="preserve">Cash Flows </w:t>
            </w:r>
            <w:r>
              <w:rPr>
                <w:rFonts w:ascii="Arial" w:cs="Arial" w:eastAsia="Arial" w:hAnsi="Arial"/>
                <w:sz w:val="20"/>
                <w:szCs w:val="20"/>
                <w:i w:val="1"/>
                <w:iCs w:val="1"/>
                <w:color w:val="auto"/>
              </w:rPr>
              <w:t>(in thousands)</w:t>
            </w:r>
          </w:p>
        </w:tc>
        <w:tc>
          <w:tcPr>
            <w:tcW w:w="4720" w:type="dxa"/>
            <w:vAlign w:val="bottom"/>
            <w:gridSpan w:val="5"/>
            <w:vMerge w:val="restart"/>
          </w:tcPr>
          <w:p>
            <w:pPr>
              <w:jc w:val="right"/>
              <w:ind w:right="621"/>
              <w:spacing w:after="0"/>
              <w:rPr>
                <w:sz w:val="20"/>
                <w:szCs w:val="20"/>
                <w:color w:val="auto"/>
              </w:rPr>
            </w:pPr>
            <w:r>
              <w:rPr>
                <w:rFonts w:ascii="Arial" w:cs="Arial" w:eastAsia="Arial" w:hAnsi="Arial"/>
                <w:sz w:val="20"/>
                <w:szCs w:val="20"/>
                <w:b w:val="1"/>
                <w:bCs w:val="1"/>
                <w:color w:val="auto"/>
              </w:rPr>
              <w:t>Nine Months Ended September 30,</w:t>
            </w:r>
          </w:p>
        </w:tc>
        <w:tc>
          <w:tcPr>
            <w:tcW w:w="0" w:type="dxa"/>
            <w:vAlign w:val="bottom"/>
          </w:tcPr>
          <w:p>
            <w:pPr>
              <w:spacing w:after="0"/>
              <w:rPr>
                <w:sz w:val="1"/>
                <w:szCs w:val="1"/>
                <w:color w:val="auto"/>
              </w:rPr>
            </w:pPr>
          </w:p>
        </w:tc>
      </w:tr>
      <w:tr>
        <w:trPr>
          <w:trHeight w:val="268"/>
        </w:trPr>
        <w:tc>
          <w:tcPr>
            <w:tcW w:w="6520" w:type="dxa"/>
            <w:vAlign w:val="bottom"/>
          </w:tcPr>
          <w:p>
            <w:pPr>
              <w:spacing w:after="0"/>
              <w:rPr>
                <w:sz w:val="22"/>
                <w:szCs w:val="22"/>
                <w:color w:val="auto"/>
              </w:rPr>
            </w:pPr>
          </w:p>
        </w:tc>
        <w:tc>
          <w:tcPr>
            <w:tcW w:w="4720" w:type="dxa"/>
            <w:vAlign w:val="bottom"/>
            <w:tcBorders>
              <w:bottom w:val="single" w:sz="8" w:color="auto"/>
            </w:tcBorders>
            <w:gridSpan w:val="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2024</w:t>
            </w: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6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operating activities</w:t>
            </w:r>
          </w:p>
        </w:tc>
        <w:tc>
          <w:tcPr>
            <w:tcW w:w="1480" w:type="dxa"/>
            <w:vAlign w:val="bottom"/>
            <w:shd w:val="clear" w:color="auto" w:fill="CCEEFF"/>
          </w:tcPr>
          <w:p>
            <w:pPr>
              <w:jc w:val="right"/>
              <w:ind w:right="124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96,394</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137,974</w:t>
            </w:r>
          </w:p>
        </w:tc>
        <w:tc>
          <w:tcPr>
            <w:tcW w:w="0" w:type="dxa"/>
            <w:vAlign w:val="bottom"/>
          </w:tcPr>
          <w:p>
            <w:pPr>
              <w:spacing w:after="0"/>
              <w:rPr>
                <w:sz w:val="1"/>
                <w:szCs w:val="1"/>
                <w:color w:val="auto"/>
              </w:rPr>
            </w:pPr>
          </w:p>
        </w:tc>
      </w:tr>
      <w:tr>
        <w:trPr>
          <w:trHeight w:val="282"/>
        </w:trPr>
        <w:tc>
          <w:tcPr>
            <w:tcW w:w="65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148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6,409</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(11,615)</w:t>
            </w:r>
          </w:p>
        </w:tc>
        <w:tc>
          <w:tcPr>
            <w:tcW w:w="0" w:type="dxa"/>
            <w:vAlign w:val="bottom"/>
          </w:tcPr>
          <w:p>
            <w:pPr>
              <w:spacing w:after="0"/>
              <w:rPr>
                <w:sz w:val="1"/>
                <w:szCs w:val="1"/>
                <w:color w:val="auto"/>
              </w:rPr>
            </w:pPr>
          </w:p>
        </w:tc>
      </w:tr>
      <w:tr>
        <w:trPr>
          <w:trHeight w:val="285"/>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financing activities</w:t>
            </w:r>
          </w:p>
        </w:tc>
        <w:tc>
          <w:tcPr>
            <w:tcW w:w="14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(12,241)</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(84,442)</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Effect of exchange rate changes on cash and cash equivalents</w:t>
            </w:r>
          </w:p>
        </w:tc>
        <w:tc>
          <w:tcPr>
            <w:tcW w:w="1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(7,270)</w:t>
            </w: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(1,808)</w:t>
            </w:r>
          </w:p>
        </w:tc>
        <w:tc>
          <w:tcPr>
            <w:tcW w:w="0" w:type="dxa"/>
            <w:vAlign w:val="bottom"/>
          </w:tcPr>
          <w:p>
            <w:pPr>
              <w:spacing w:after="0"/>
              <w:rPr>
                <w:sz w:val="1"/>
                <w:szCs w:val="1"/>
                <w:color w:val="auto"/>
              </w:rPr>
            </w:pPr>
          </w:p>
        </w:tc>
      </w:tr>
      <w:tr>
        <w:trPr>
          <w:trHeight w:val="29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148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83,292</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40,109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have historically financed our operations primarily with the proceeds from contributions, operating cash flows and short and long-term borrowings. Our ability to generate positive cash flow from operations is dependent on the strength of our gross margins as well as our ability to quickly turn our working capital. Based on our past performance and current expectations, we believe that operating cash flows will be sufficient to meet our future cash needs.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of September 30, 2024, our cash balance was $332.4 million, of which $24.1 million was held outside the U.S., and net working capital was $527.4 million. We had outstanding borrowings of $235.0 million under our $575 million Term Loan Facility and $183.6 million available to us under our $200 million Revolving Credit Facility.</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continually monitors and reviews its liquidity position and funding needs. Management believes that the Company’s ability to generate operating cash flows in the future and available borrowing capacity under its Senior Secured Credit Facility will be sufficient to meet its future liquidity needs.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For the nine months ended September 30, 2024, cash provided by operating activities was $96.4 million attributable to a net loss of $113.5 million and a net cash outflow of $1.9 million from changes in our operating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0" w:name="page51"/>
    <w:bookmarkEnd w:id="50"/>
    <w:p>
      <w:pPr>
        <w:jc w:val="both"/>
        <w:spacing w:after="0" w:line="286" w:lineRule="auto"/>
        <w:rPr>
          <w:sz w:val="20"/>
          <w:szCs w:val="20"/>
          <w:color w:val="auto"/>
        </w:rPr>
      </w:pPr>
      <w:r>
        <w:rPr>
          <w:rFonts w:ascii="Arial" w:cs="Arial" w:eastAsia="Arial" w:hAnsi="Arial"/>
          <w:sz w:val="20"/>
          <w:szCs w:val="20"/>
          <w:color w:val="auto"/>
        </w:rPr>
        <w:t>assets and liabilities, offset by non-cash adjustments of 211.8 million, mainly consisting of goodwill impairment charges, depreciation and amortization expense and equity-based compensation.</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the nine months ended September 30, 2023, cash provided by operating activities was $138.0 million, of which $184.8 million was generated from net income as adjusted for the impact of non-cash expenses, consisting primarily of depreciation and amortization, equity-based compensation, amortization of developed technology, and amortization of debt discount and issuance costs. Increases in accrued expenses and other of $18.5 million, accounts payable of $14.4 million, and inventory of $12.6 million, were partially offset by decreases in deferred revenue of $78.2 million and accounts receivable of $6.4 million during the period.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For the nine months ended September 30, 2024, net cash provided by investing activities was $6.4 million, of which $12.0 million was related to sale of an equity investment in a private company, partially of by $5.6 million of purchases of property, plant and equipment, net of dispositions.</w:t>
      </w:r>
    </w:p>
    <w:p>
      <w:pPr>
        <w:spacing w:after="0" w:line="199"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For the nine months ended September 30, 2023, net cash used in investing activities was $11.6 million, all of which was related to the purchase of property, plant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the nine months ended September 30, 2024, net cash used in financing activities was $12.2 million, driven primarily by a $24.9 million net reduction of other debt and $3.2 million in payments on our Term Loan Facility, as well as $1.4 million in TRA payments issued during the nine months ended September 30, 2024.</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For the nine months ended September 30, 2023, net cash used in financing activities was $84.4 million, driven primarily by $73.2 million in payments on our Term Loan Facility and a $8.5 million net reduction of other debt.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10, 2021, we entered into a Securities Purchase Agreement (the “Securities Purchase Agreement”) with certain investors (the “Purchasers”). Pursuant to the Securities Purchase Agreement, on August 11, 2021, we issued and sold to the Purchaser 350,000 shares of a newly designated Series A Redeemable Perpetual Preferred Stock, par value $0.001 per share (the “Series A Shares”), having the powers, designations, preferences, and other rights set forth in the Certificate of Designations, and 7,098,765 shares of our common stock, par value $0.001 per share, for an aggregate purchase price of $346.0 million. Further, pursuant to the Securities Purchase Agreement, and subject to the terms and conditions set forth therein, as amended, we have issued and sold to the Purchasers 776,235 shares of common stock for an aggregate purchase price of $776.</w:t>
      </w:r>
    </w:p>
    <w:p>
      <w:pPr>
        <w:spacing w:after="0" w:line="206"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In January 2022, we issued 50,000 of Series A Shares, and 1,125,000 shares of our common stock in the Additional Closing for an aggregate purchase price of $49.4 million.</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 xml:space="preserve">For more information related to the Series A Shares, see </w:t>
      </w:r>
      <w:r>
        <w:rPr>
          <w:rFonts w:ascii="Arial" w:cs="Arial" w:eastAsia="Arial" w:hAnsi="Arial"/>
          <w:sz w:val="20"/>
          <w:szCs w:val="20"/>
          <w:u w:val="single" w:color="auto"/>
          <w:color w:val="0000FF"/>
        </w:rPr>
        <w:t>Note 8 – Redeemable Perpetual Preferred Stock</w:t>
      </w:r>
      <w:r>
        <w:rPr>
          <w:rFonts w:ascii="Arial" w:cs="Arial" w:eastAsia="Arial" w:hAnsi="Arial"/>
          <w:sz w:val="20"/>
          <w:szCs w:val="20"/>
          <w:color w:val="auto"/>
        </w:rPr>
        <w:t>,” to the accompanying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 xml:space="preserve">For a discussion of our debt obligations see </w:t>
      </w:r>
      <w:r>
        <w:rPr>
          <w:rFonts w:ascii="Arial" w:cs="Arial" w:eastAsia="Arial" w:hAnsi="Arial"/>
          <w:sz w:val="20"/>
          <w:szCs w:val="20"/>
          <w:u w:val="single" w:color="auto"/>
          <w:color w:val="0000FF"/>
        </w:rPr>
        <w:t>Note 7 – Debt</w:t>
      </w:r>
      <w:r>
        <w:rPr>
          <w:rFonts w:ascii="Arial" w:cs="Arial" w:eastAsia="Arial" w:hAnsi="Arial"/>
          <w:sz w:val="20"/>
          <w:szCs w:val="20"/>
          <w:color w:val="auto"/>
        </w:rPr>
        <w:t xml:space="preserve"> to our condensed consolidated financial statements included in this Quarterly Report.</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Surety Bonds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required to provide surety bonds to various parties as required for certain transactions initiated during the ordinary course of business to guarantee our performance in accordance with contractual or legal obligations. As of September 30, 2024, we posted surety bonds in the total amount of approximately $198.2 million. These off-balance sheet arrangements do not adversely impact our liquidity or capital resources.</w:t>
      </w:r>
    </w:p>
    <w:p>
      <w:pPr>
        <w:spacing w:after="0" w:line="209" w:lineRule="exact"/>
        <w:rPr>
          <w:sz w:val="20"/>
          <w:szCs w:val="20"/>
          <w:color w:val="auto"/>
        </w:rPr>
      </w:pPr>
    </w:p>
    <w:p>
      <w:pPr>
        <w:ind w:right="4880"/>
        <w:spacing w:after="0" w:line="353" w:lineRule="auto"/>
        <w:rPr>
          <w:sz w:val="20"/>
          <w:szCs w:val="20"/>
          <w:color w:val="auto"/>
        </w:rPr>
      </w:pPr>
      <w:r>
        <w:rPr>
          <w:rFonts w:ascii="Arial" w:cs="Arial" w:eastAsia="Arial" w:hAnsi="Arial"/>
          <w:sz w:val="20"/>
          <w:szCs w:val="20"/>
          <w:b w:val="1"/>
          <w:bCs w:val="1"/>
          <w:color w:val="auto"/>
        </w:rPr>
        <w:t>Critical Accounting Policies and Significant Management Estimates Goodwill</w:t>
      </w:r>
    </w:p>
    <w:p>
      <w:pPr>
        <w:jc w:val="both"/>
        <w:spacing w:after="0" w:line="277" w:lineRule="auto"/>
        <w:rPr>
          <w:sz w:val="20"/>
          <w:szCs w:val="20"/>
          <w:color w:val="auto"/>
        </w:rPr>
      </w:pPr>
      <w:r>
        <w:rPr>
          <w:rFonts w:ascii="Arial" w:cs="Arial" w:eastAsia="Arial" w:hAnsi="Arial"/>
          <w:sz w:val="19"/>
          <w:szCs w:val="19"/>
          <w:color w:val="auto"/>
        </w:rPr>
        <w:t>Our goodwill represents the excess of the purchase price of business combinations over the fair value of the net assets acquired.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 We may use either a qualitative or quantitative approach when testing a reporting unit’s goodwill for impairment on an annual basis during the fourth quarter of each year, and between annual tests whenever events or changes in circumstances indicate that the carrying amount may not be recoverable. If we use a qualitative approach and determine that it is more likely than not that the fair value of a reporting unit is less than its carrying value, we would then perform the first step of the goodwill impairment test, which would consist primarily of a discounted cash flow (“DCF”) analysis using the income approach, with the resulting value compared to GPC marketplace EBITDA multiples to corroborate the fair value of the reporting unit.</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During the quarter ended September 30, 2024, the Company experienced a sustained decline in its stock price, which hit a 52-week low during the quarter, resulting in a decrease in market capitalization. In addition, the Company updated its long-term projections for the Company’s reporting units and evaluated the execution risk associated with the Company’s projections. As a result, the Company identified indicators of impairment related to the Company’s reporting units. Management, with the assistance of a third-party valuation specialist, performed an interim quantitative goodwill impairment test of the Legacy Array Operations and STI Operations reporting units as of September 30, 2024. As a result of this test, the Company recorded an impairment of goodwill of $162.0 million related to the STI Operations reporting unit. The estimated fair value of the Array Legacy Operations reporting unit was significantly higher than the carrying balance of the reporting unit. Subsequent to recording the impairment of goodwill, the Company reconciled the overall market capitalization of the Company, within a reasonable range, to the sum of the estimated fair values of both of the Company’s reporting units.</w:t>
      </w:r>
    </w:p>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significant assumptions used in determining the fair value of the Company’s reporting units primarily relate to the revenue growth rate, the forecasted EBITDA margin, and the selected discount rate used in the discounted cash flow model under the income approach. Under the GPC method, the selection of EBITDA multiples to be used requires significant judgement. To the extent that the discount rate used in determining the present value of our cash flows increases, if we do not meet the cash flow projections for the reporting unit, or GPC multiples in the future decrease, additional impairment charges may be recorded in the future. In addition, a further decrease in the Company’s common stock share price and market capitalization over a sustained period of time could be an indication that there has been a further decrease in the fair value of the Company’s reporting units.</w:t>
      </w:r>
    </w:p>
    <w:p>
      <w:pPr>
        <w:spacing w:after="0" w:line="183"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most significant assumption used in determining the estimated fair value of STI Operations is the discount rate assumption. A 100-basis point increase in the discount rate would potentially result in an incremental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20"/>
          <w:szCs w:val="20"/>
          <w:color w:val="auto"/>
        </w:rPr>
        <w:t>goodwill impairment of $40 million. A 100-basis point decrease in the discount rate would result in a reduction in the goodwill impairment of $48 million.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a further discussion of our critical accounting estimates, see “Part II, Item 7. Management’s Discussion and Analysis of Financial Condition and Operations” in our Annual Report on Form 10-K for the year ended December 31, 2023, filed with the SEC on February 28, 2024. There have been no material changes to the critical accounting estimates disclosed in such Annual Report on Form 10-K other than what has been disclosed above.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and Recently Issued Accounting Pronouncements</w:t>
      </w:r>
    </w:p>
    <w:p>
      <w:pPr>
        <w:spacing w:after="0" w:line="123"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to our condensed consolidated financial statements for a discussion of adoption of new and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There have been no material changes to the information previously provided under Item 7A. of our 2023 Annual Report.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also acting as interim Chief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Our management, with the participation of our Chief Executive Officer and Chief Accounting Officer, evaluated the effectiveness of our disclosure controls and procedures as of September 30, 2024. Based upon the evaluation, our Chief Executive Officer concluded that, as of such date, our disclosure controls and procedures were not effective at a reasonable assurance level, due to the following outstanding material weakness previously reported in Part II, Item 9A. “Controls and Procedures” of our Annual Report on Form 10-K for the year ended December 31, 2023, as described below.</w:t>
      </w:r>
    </w:p>
    <w:p>
      <w:pPr>
        <w:spacing w:after="0" w:line="201" w:lineRule="exact"/>
        <w:rPr>
          <w:sz w:val="20"/>
          <w:szCs w:val="20"/>
          <w:color w:val="auto"/>
        </w:rPr>
      </w:pPr>
    </w:p>
    <w:p>
      <w:pPr>
        <w:jc w:val="both"/>
        <w:ind w:left="660" w:hanging="328"/>
        <w:spacing w:after="0" w:line="265"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Control Activities – STI. We did not design, implement, and monitor general information technology controls in the areas of program change management, user access, and segregation of duties for systems supporting substantially all of STI’s internal control processes and we did not design and implement formal accounting policies, procedures, and controls across substantially all of the STI’s business processes to achieve timely, complete, accurate financial accounting, reporting, and disclosures.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3" w:name="page54"/>
    <w:bookmarkEnd w:id="53"/>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After giving full consideration to this material weakness, and the additional analyses and other procedures that we performed to ensure that our condensed consolidated financial statements included in this Quarterly Report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Remediation of Previously Identified Material Weakness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entity level material weakness was previously disclosed in our Annual Report on Form 10-K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w:t>
      </w:r>
    </w:p>
    <w:p>
      <w:pPr>
        <w:spacing w:after="0" w:line="252" w:lineRule="exact"/>
        <w:rPr>
          <w:sz w:val="20"/>
          <w:szCs w:val="20"/>
          <w:color w:val="auto"/>
        </w:rPr>
      </w:pPr>
    </w:p>
    <w:p>
      <w:pPr>
        <w:jc w:val="both"/>
        <w:ind w:left="660" w:hanging="328"/>
        <w:spacing w:after="0" w:line="264"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20"/>
          <w:szCs w:val="20"/>
          <w:color w:val="auto"/>
        </w:rPr>
        <w:t>We have identified a material weakness due to a deficiency in one of the principles associated with the Control Environment component of the COSO framework, specifically relating to a lack of a sufficient complement of qualified personnel at the appropriate levels to perform control activities in support of preparing the financial statements in accordance with U.S. GAAP.</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Since the fourth quarter of 2023, management has been executing plans to remediate the above material weakness by hiring a robust team of experienced personnel at the appropriate levels. These personnel have been hired at our international and domestic locations, and have prior public accounting and public company experience, technical accounting experience, and financial reporting experience. In connection with these remediation efforts, we have also realigned the accounting functions to strengthen the performance of controls, and enhanced monitoring activities. Considering the fact these individuals have been in their respective roles and were able to effectively perform control activities as part of the first and second quarter 2024 financial reporting process, management concluded sufficient evidence has been obtained to demonstrate the previously identified material weakness has been remediated as of June 30, 2024.</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Remediation Plan for Previously Identified Material Weakness</w:t>
      </w:r>
    </w:p>
    <w:p>
      <w:pPr>
        <w:spacing w:after="0" w:line="1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We are actively focusing on effectively strengthening our ICFR and remediating the remaining material weakness by designing and implementing the following actions: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Control Activities – (STI): During the second quarter of 2024, we implemented an Enterprise Resource Planning system (“ERP”) for our operations in Brazil, which resulted in our ability to be able to implement automated controls and General Information Technology Controls, which will allow for less reliance on manual controls.</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steps involved to remediate the material weakness are subject to ongoing management review, as well as oversight by the audit committee of our board of directors. Additional or modified measures may also be required to remediate the material weakness. We will not be able to conclude that we have completely remediated the material weakness until the applicable controls are fully implemented and have operated for a sufficient period of time and management has concluded, through formal testing, that the remediated controls are operating effectively. We will continue to monitor the design and effectiveness of these and other processes, procedures, and controls and make any further changes management deems appropriate.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During the quarter ended September 30, 2024, except for the changes discussed above, there have been no other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color w:val="auto"/>
        </w:rPr>
        <w:t>PART II—OTHER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5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See </w:t>
      </w:r>
      <w:r>
        <w:rPr>
          <w:rFonts w:ascii="Arial" w:cs="Arial" w:eastAsia="Arial" w:hAnsi="Arial"/>
          <w:sz w:val="19"/>
          <w:szCs w:val="19"/>
          <w:u w:val="single" w:color="auto"/>
          <w:color w:val="0000FF"/>
        </w:rPr>
        <w:t>Note 11 – Commitments and Contingencies</w:t>
      </w:r>
      <w:r>
        <w:rPr>
          <w:rFonts w:ascii="Arial" w:cs="Arial" w:eastAsia="Arial" w:hAnsi="Arial"/>
          <w:sz w:val="19"/>
          <w:szCs w:val="19"/>
          <w:color w:val="auto"/>
        </w:rPr>
        <w:t xml:space="preserve"> under the heading “Legal Proceedings” of our condensed consolidated financial statements for legal proceedings and related matters. In addition to the lawsuits described in Note 11 to our condensed consolidated financial statements, from time to time we may be involved in claims arising in the ordinary course of business. To our knowledge, other than the cases described in Note 11 to our condensed consolidated financial statements, no material legal proceedings, governmental actions, investigations or claims are currently pending against us or involve us that, in the opinion of our management, could reasonably be expected to have a material adverse effect on our business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58" w:lineRule="exact"/>
        <w:rPr>
          <w:sz w:val="20"/>
          <w:szCs w:val="20"/>
          <w:color w:val="auto"/>
        </w:rPr>
      </w:pPr>
    </w:p>
    <w:p>
      <w:pPr>
        <w:jc w:val="both"/>
        <w:spacing w:after="0" w:line="269" w:lineRule="auto"/>
        <w:rPr>
          <w:rFonts w:ascii="Arial" w:cs="Arial" w:eastAsia="Arial" w:hAnsi="Arial"/>
          <w:sz w:val="20"/>
          <w:szCs w:val="20"/>
          <w:color w:val="000000"/>
        </w:rPr>
      </w:pPr>
      <w:r>
        <w:rPr>
          <w:rFonts w:ascii="Arial" w:cs="Arial" w:eastAsia="Arial" w:hAnsi="Arial"/>
          <w:sz w:val="20"/>
          <w:szCs w:val="20"/>
          <w:color w:val="auto"/>
        </w:rPr>
        <w:t xml:space="preserve">Except as set forth below, and to the extent additional factual information disclosed elsewhere in this Quarterly Report relates to such risk factors (including, without limitation, the matters discussed in </w:t>
      </w:r>
      <w:r>
        <w:rPr>
          <w:rFonts w:ascii="Arial" w:cs="Arial" w:eastAsia="Arial" w:hAnsi="Arial"/>
          <w:sz w:val="20"/>
          <w:szCs w:val="20"/>
          <w:u w:val="single" w:color="auto"/>
          <w:color w:val="0000FF"/>
        </w:rPr>
        <w:t>Part I, Item 2, “Management’s Discussion and Analysis of</w:t>
      </w:r>
      <w:r>
        <w:rPr>
          <w:rFonts w:ascii="Arial" w:cs="Arial" w:eastAsia="Arial" w:hAnsi="Arial"/>
          <w:sz w:val="20"/>
          <w:szCs w:val="20"/>
          <w:color w:val="auto"/>
        </w:rPr>
        <w:t xml:space="preserve"> </w:t>
      </w:r>
      <w:r>
        <w:rPr>
          <w:rFonts w:ascii="Arial" w:cs="Arial" w:eastAsia="Arial" w:hAnsi="Arial"/>
          <w:sz w:val="20"/>
          <w:szCs w:val="20"/>
          <w:u w:val="single" w:color="auto"/>
          <w:color w:val="0000FF"/>
        </w:rPr>
        <w:t>Financial Condition and Results of Operations”</w:t>
      </w:r>
      <w:r>
        <w:rPr>
          <w:rFonts w:ascii="Arial" w:cs="Arial" w:eastAsia="Arial" w:hAnsi="Arial"/>
          <w:sz w:val="20"/>
          <w:szCs w:val="20"/>
          <w:color w:val="000000"/>
        </w:rPr>
        <w:t>), there were no material changes to the risk factors disclosed in Part I, Item 1A,</w:t>
      </w:r>
      <w:r>
        <w:rPr>
          <w:rFonts w:ascii="Arial" w:cs="Arial" w:eastAsia="Arial" w:hAnsi="Arial"/>
          <w:sz w:val="20"/>
          <w:szCs w:val="20"/>
          <w:color w:val="0000FF"/>
        </w:rPr>
        <w:t xml:space="preserve"> </w:t>
      </w:r>
      <w:r>
        <w:rPr>
          <w:rFonts w:ascii="Arial" w:cs="Arial" w:eastAsia="Arial" w:hAnsi="Arial"/>
          <w:sz w:val="20"/>
          <w:szCs w:val="20"/>
          <w:color w:val="000000"/>
        </w:rPr>
        <w:t xml:space="preserve">in our </w:t>
      </w:r>
      <w:hyperlink r:id="rId98">
        <w:r>
          <w:rPr>
            <w:rFonts w:ascii="Arial" w:cs="Arial" w:eastAsia="Arial" w:hAnsi="Arial"/>
            <w:sz w:val="20"/>
            <w:szCs w:val="20"/>
            <w:u w:val="single" w:color="auto"/>
            <w:color w:val="0000FF"/>
          </w:rPr>
          <w:t>2023 Annual Report</w:t>
        </w:r>
      </w:hyperlink>
      <w:r>
        <w:rPr>
          <w:rFonts w:ascii="Arial" w:cs="Arial" w:eastAsia="Arial" w:hAnsi="Arial"/>
          <w:sz w:val="20"/>
          <w:szCs w:val="20"/>
          <w:color w:val="000000"/>
        </w:rPr>
        <w: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Changes in the global trade environment, including the imposition of import tariffs, could adversely affect the amount or timing of our revenues, results of operations or cash flows.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Escalating trade tensions, particularly between the U.S. and China, have led to increased tariffs and trade restrictions, including tariffs applicable to certain materials and components for our products or for products used in solar energy projects more broadly, such as module supply and availability. More specifically, in March 2018, the U.S. imposed a 25% tariff on steel imports and a 10% tariff on aluminum imports pursuant to Section 301 of the Trade Act of 1974 and has imposed additional tariffs on steel and aluminum imports pursuant to Section 232 of the Trade Expansion Act of 1962. To the extent we continue to use overseas suppliers of steel and aluminum, these tariffs could result in interruptions in the supply chain and impact costs and our gross margins. In addition, the threat of potential tariffs can create uncertainty among our customers and slow down the rate of existing projects and projects in our orderbook.</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example, in January 2018, the U.S.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us by impacting the financial viability of solar energy projects, which could in turn reduce demand for our products. On February 4, 2022, President Biden extended the safeguard tariff for an additional four years, starting at a rate of 14.75% and reducing that rate each year to 14% in 2026, and directed the U.S. Trade Representative to conclude agreements with Canada and Mexico on trade in solar products. On July 7, 2022, the U.S. and Canada entered into a non-binding memorandum of understanding in which the U.S. agreed to suspend application of the safeguard tariff to Canadian crystalline silicon photovoltaic cells imported as of February 1, 2022. While this tariff does not apply directly to the components we import, it may indirectly affect us by impacting the financial viability of solar energy projects, which could in turn reduce demand for our products. Furthermore, in July 2018, the U.S. adopted a 10% tariff on a long list of products imported from China under Section 301 of the Trade Act of 1974, including, inverters and power optimizers, which became effective on September 24, 2018. In June 2019, the U.S. Trade Representative increased the rate of such tariffs from 10% to 25%. While these tariffs are not directly applicable to our products, they could impact the solar energy projects in which our products are used, which could lead to unexpected delays or decreased demand for our products.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55" w:name="page56"/>
    <w:bookmarkEnd w:id="55"/>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June 2022, the U.S. President authorized the U.S. Secretary of Commerce to provide a 24-month AD/CVD tariff exemption for imported solar panels from certain Southeast Asian countries. The USDOC previously issued regulations implementing the AD/CVD moratorium in the event that it found circumvention with respect to such Southeast Asian countries. In August 2023, the USDOC issued final affirmative circumvention rulings, finding that solar panels completed in Cambodia, Malaysia, Thailand, and Vietnam using parts and components produced in China circumvent the pre-existing AD/CVD orders on China.</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April 24, 2024, the American Alliance for Solar Manufacturing Trade Committee, an ad hoc coalition of domestic producers of CSPV cells and modules, filed a petition with the USDOC and the USITC seeking the imposition of AD/CVD tariffs on imports of CSPV cells and modules from Cambodia, Malaysia, Thailand and Vietnam. The USITC made a preliminary affirmative determination on June 7, 2024, and the USDOC made its preliminary affirmative determination on October 1, 2024. The preliminary tariff rates varying from below 1% to almost 300%, depending on the relevant company.</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AD/CVD orders on the projects that are also intended to use our products, with such impact being largely out of our control. We have seen a number of projects in our order book delayed as a result of the USDOC investigation, and effective enforcement of the AD/CVD orders could negatively impact our results of operations.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More broadly, legislation has been proposed that would make it easier for domestic companies to obtain affirmative determinations in antidumping and countervailing duties investigations. The proposed USICA/America COMPETES Act, if enacted, could result in future successful petitions that limit imports from Asia and other regions.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Our operating results could be adversely impacted if the USDOC imposes duties on such imports. In April 2024, the American Alliance for Solar Manufacturing Trade Committee, an ad hoc coalition of domestic producers of CSPV cells and modules, filed a petition with the USDOC and the USITC seeking the imposition of AD/CVD tariffs on imports of CSPV cells and modules from Cambodia, Malaysia, Thailand and Vietnam. The USITC made a preliminary affirmative determination on June 7, 2024, and the USDOC is expected to make its preliminary determination in November of 2024. We have been told by our customers that the uncertainty around the implementation of these tariffs has and could continue to result in delays in plans for their projects, which in turn has an impact on the timing of our project delivery.</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In September 2024, the USDOC released its final determination from their investigations against aluminum extrusions from multiple countries. On October 30, 2024, the USITC voted to find no injury in its pending AD/CVD investigation, meaning that the USDOC’s AD/CVD orders will not go into effect. The coalition of petitioners may still appeal the USITC’s decision, and we will continue to monitor developments in the appeal process. If the USITC’s decision is overturned on appeal, the imposition of AD/CVD orders could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both"/>
        <w:spacing w:after="0" w:line="262" w:lineRule="auto"/>
        <w:rPr>
          <w:sz w:val="20"/>
          <w:szCs w:val="20"/>
          <w:color w:val="auto"/>
        </w:rPr>
      </w:pPr>
      <w:r>
        <w:rPr>
          <w:rFonts w:ascii="Arial" w:cs="Arial" w:eastAsia="Arial" w:hAnsi="Arial"/>
          <w:sz w:val="20"/>
          <w:szCs w:val="20"/>
          <w:color w:val="auto"/>
        </w:rPr>
        <w:t>Tariffs and the possibility of additional tariffs and duties in the future like those described above have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Use of Proceeds and Issuer Purchases of Equity Securities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From time to time, our directors and officers may adopt plans for the purchase or sale of our securities. Such plans may be designed to satisfy the affirmative defense conditions of Rule 10b5-1 under the Exchange Act or may constitute non-Rule 10b5-1 trading arrangements (as defined in Item 408(c) of Regulation S-K). During the three months ended September 30, 2024, none of our directors or officers adopted, amended or terminated any such plan or trading arrangement.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660" w:type="dxa"/>
            <w:vAlign w:val="bottom"/>
            <w:gridSpan w:val="2"/>
          </w:tcPr>
          <w:p>
            <w:pPr>
              <w:spacing w:after="0"/>
              <w:rPr>
                <w:sz w:val="20"/>
                <w:szCs w:val="20"/>
                <w:color w:val="auto"/>
              </w:rPr>
            </w:pPr>
            <w:r>
              <w:rPr>
                <w:rFonts w:ascii="Arial" w:cs="Arial" w:eastAsia="Arial" w:hAnsi="Arial"/>
                <w:sz w:val="20"/>
                <w:szCs w:val="20"/>
                <w:b w:val="1"/>
                <w:bCs w:val="1"/>
                <w:color w:val="auto"/>
              </w:rPr>
              <w:t>Item 6. Exhibits</w:t>
            </w:r>
          </w:p>
        </w:tc>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506"/>
        </w:trPr>
        <w:tc>
          <w:tcPr>
            <w:tcW w:w="1660" w:type="dxa"/>
            <w:vAlign w:val="bottom"/>
            <w:gridSpan w:val="2"/>
          </w:tcPr>
          <w:p>
            <w:pPr>
              <w:ind w:left="4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4"/>
                <w:szCs w:val="24"/>
                <w:color w:val="auto"/>
              </w:rPr>
            </w:pPr>
          </w:p>
        </w:tc>
        <w:tc>
          <w:tcPr>
            <w:tcW w:w="5840" w:type="dxa"/>
            <w:vAlign w:val="bottom"/>
            <w:gridSpan w:val="10"/>
          </w:tcPr>
          <w:p>
            <w:pPr>
              <w:ind w:left="1960"/>
              <w:spacing w:after="0"/>
              <w:rPr>
                <w:sz w:val="20"/>
                <w:szCs w:val="20"/>
                <w:color w:val="auto"/>
              </w:rPr>
            </w:pPr>
            <w:r>
              <w:rPr>
                <w:rFonts w:ascii="Arial" w:cs="Arial" w:eastAsia="Arial" w:hAnsi="Arial"/>
                <w:sz w:val="20"/>
                <w:szCs w:val="20"/>
                <w:b w:val="1"/>
                <w:bCs w:val="1"/>
                <w:color w:val="auto"/>
              </w:rPr>
              <w:t>Exhibit Description</w:t>
            </w:r>
          </w:p>
        </w:tc>
        <w:tc>
          <w:tcPr>
            <w:tcW w:w="10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640" w:type="dxa"/>
            <w:vAlign w:val="bottom"/>
            <w:gridSpan w:val="2"/>
          </w:tcPr>
          <w:p>
            <w:pPr>
              <w:ind w:left="5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760" w:type="dxa"/>
            <w:vAlign w:val="bottom"/>
            <w:tcBorders>
              <w:top w:val="single" w:sz="8" w:color="auto"/>
            </w:tcBorders>
            <w:gridSpan w:val="9"/>
            <w:shd w:val="clear" w:color="auto" w:fill="CCEEFF"/>
          </w:tcPr>
          <w:p>
            <w:pPr>
              <w:spacing w:after="0" w:line="196" w:lineRule="exact"/>
              <w:rPr>
                <w:rFonts w:ascii="Arial" w:cs="Arial" w:eastAsia="Arial" w:hAnsi="Arial"/>
                <w:sz w:val="20"/>
                <w:szCs w:val="20"/>
                <w:color w:val="0000FF"/>
              </w:rPr>
            </w:pPr>
            <w:hyperlink r:id="rId101">
              <w:r>
                <w:rPr>
                  <w:rFonts w:ascii="Arial" w:cs="Arial" w:eastAsia="Arial" w:hAnsi="Arial"/>
                  <w:sz w:val="20"/>
                  <w:szCs w:val="20"/>
                  <w:color w:val="0000FF"/>
                </w:rPr>
                <w:t>Amended and Restated Certificate of Incorporation of Array</w:t>
              </w:r>
            </w:hyperlink>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6"/>
              </w:rPr>
              <w:t>8-K</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0" w:type="dxa"/>
            <w:vAlign w:val="bottom"/>
            <w:tcBorders>
              <w:top w:val="single" w:sz="8" w:color="0000FF"/>
            </w:tcBorders>
            <w:gridSpan w:val="5"/>
            <w:shd w:val="clear" w:color="auto" w:fill="CCEEFF"/>
          </w:tcPr>
          <w:p>
            <w:pPr>
              <w:spacing w:after="0" w:line="183" w:lineRule="exact"/>
              <w:rPr>
                <w:rFonts w:ascii="Arial" w:cs="Arial" w:eastAsia="Arial" w:hAnsi="Arial"/>
                <w:sz w:val="20"/>
                <w:szCs w:val="20"/>
                <w:color w:val="0000FF"/>
              </w:rPr>
            </w:pPr>
            <w:hyperlink r:id="rId101">
              <w:r>
                <w:rPr>
                  <w:rFonts w:ascii="Arial" w:cs="Arial" w:eastAsia="Arial" w:hAnsi="Arial"/>
                  <w:sz w:val="20"/>
                  <w:szCs w:val="20"/>
                  <w:color w:val="0000FF"/>
                </w:rPr>
                <w:t>Technologies, Inc., dated October 19,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0"/>
          </w:tcPr>
          <w:p>
            <w:pPr>
              <w:spacing w:after="0" w:line="203" w:lineRule="exact"/>
              <w:rPr>
                <w:rFonts w:ascii="Arial" w:cs="Arial" w:eastAsia="Arial" w:hAnsi="Arial"/>
                <w:sz w:val="20"/>
                <w:szCs w:val="20"/>
                <w:color w:val="0000FF"/>
              </w:rPr>
            </w:pPr>
            <w:hyperlink r:id="rId102">
              <w:r>
                <w:rPr>
                  <w:rFonts w:ascii="Arial" w:cs="Arial" w:eastAsia="Arial" w:hAnsi="Arial"/>
                  <w:sz w:val="20"/>
                  <w:szCs w:val="20"/>
                  <w:color w:val="0000FF"/>
                </w:rPr>
                <w:t>Amended and Restated Bylaws of Array Technologies, Inc.,</w:t>
              </w:r>
            </w:hyperlink>
          </w:p>
        </w:tc>
        <w:tc>
          <w:tcPr>
            <w:tcW w:w="102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tcBorders>
            <w:gridSpan w:val="5"/>
          </w:tcPr>
          <w:p>
            <w:pPr>
              <w:spacing w:after="0" w:line="183" w:lineRule="exact"/>
              <w:rPr>
                <w:rFonts w:ascii="Arial" w:cs="Arial" w:eastAsia="Arial" w:hAnsi="Arial"/>
                <w:sz w:val="20"/>
                <w:szCs w:val="20"/>
                <w:color w:val="0000FF"/>
              </w:rPr>
            </w:pPr>
            <w:hyperlink r:id="rId102">
              <w:r>
                <w:rPr>
                  <w:rFonts w:ascii="Arial" w:cs="Arial" w:eastAsia="Arial" w:hAnsi="Arial"/>
                  <w:sz w:val="20"/>
                  <w:szCs w:val="20"/>
                  <w:color w:val="0000FF"/>
                </w:rPr>
                <w:t>dated October 19, 2020</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3"/>
        </w:trPr>
        <w:tc>
          <w:tcPr>
            <w:tcW w:w="154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0000FF"/>
            </w:tcBorders>
            <w:gridSpan w:val="8"/>
            <w:shd w:val="clear" w:color="auto" w:fill="CCEEFF"/>
          </w:tcPr>
          <w:p>
            <w:pPr>
              <w:spacing w:after="0" w:line="216" w:lineRule="exact"/>
              <w:rPr>
                <w:rFonts w:ascii="Arial" w:cs="Arial" w:eastAsia="Arial" w:hAnsi="Arial"/>
                <w:sz w:val="20"/>
                <w:szCs w:val="20"/>
                <w:color w:val="0000FF"/>
                <w:w w:val="98"/>
              </w:rPr>
            </w:pPr>
            <w:hyperlink r:id="rId103">
              <w:r>
                <w:rPr>
                  <w:rFonts w:ascii="Arial" w:cs="Arial" w:eastAsia="Arial" w:hAnsi="Arial"/>
                  <w:sz w:val="20"/>
                  <w:szCs w:val="20"/>
                  <w:color w:val="0000FF"/>
                  <w:w w:val="98"/>
                </w:rPr>
                <w:t>Certificate of Designations of Series A Perpetual Preferred Stock</w:t>
              </w:r>
            </w:hyperlink>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80"/>
              <w:spacing w:after="0" w:line="216" w:lineRule="exact"/>
              <w:rPr>
                <w:sz w:val="20"/>
                <w:szCs w:val="20"/>
                <w:color w:val="auto"/>
              </w:rPr>
            </w:pPr>
            <w:r>
              <w:rPr>
                <w:rFonts w:ascii="Arial" w:cs="Arial" w:eastAsia="Arial" w:hAnsi="Arial"/>
                <w:sz w:val="20"/>
                <w:szCs w:val="20"/>
                <w:color w:val="auto"/>
                <w:w w:val="96"/>
              </w:rPr>
              <w:t>8-K</w:t>
            </w:r>
          </w:p>
        </w:tc>
        <w:tc>
          <w:tcPr>
            <w:tcW w:w="156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w w:val="96"/>
              </w:rPr>
              <w:t>8/11/2021</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rPr>
              <w:t>3.1</w:t>
            </w: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0"/>
          </w:tcPr>
          <w:p>
            <w:pPr>
              <w:spacing w:after="0" w:line="203" w:lineRule="exact"/>
              <w:rPr>
                <w:rFonts w:ascii="Arial" w:cs="Arial" w:eastAsia="Arial" w:hAnsi="Arial"/>
                <w:sz w:val="20"/>
                <w:szCs w:val="20"/>
                <w:color w:val="0000FF"/>
              </w:rPr>
            </w:pPr>
            <w:hyperlink r:id="rId104">
              <w:r>
                <w:rPr>
                  <w:rFonts w:ascii="Arial" w:cs="Arial" w:eastAsia="Arial" w:hAnsi="Arial"/>
                  <w:sz w:val="20"/>
                  <w:szCs w:val="20"/>
                  <w:color w:val="0000FF"/>
                </w:rPr>
                <w:t>Array Technologies, Inc. Deferred Compensation Plan</w:t>
              </w:r>
            </w:hyperlink>
          </w:p>
        </w:tc>
        <w:tc>
          <w:tcPr>
            <w:tcW w:w="102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8"/>
              </w:rPr>
              <w:t>5/24/2024</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10.1</w:t>
            </w:r>
          </w:p>
        </w:tc>
      </w:tr>
      <w:tr>
        <w:trPr>
          <w:trHeight w:val="34"/>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10"/>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Executive Officer and Interim Chief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20" w:type="dxa"/>
            <w:vAlign w:val="bottom"/>
            <w:tcBorders>
              <w:top w:val="single" w:sz="8" w:color="0000FF"/>
            </w:tcBorders>
            <w:gridSpan w:val="6"/>
            <w:shd w:val="clear" w:color="auto" w:fill="CCEEFF"/>
          </w:tcPr>
          <w:p>
            <w:pPr>
              <w:spacing w:after="0" w:line="183" w:lineRule="exact"/>
              <w:rPr>
                <w:sz w:val="20"/>
                <w:szCs w:val="20"/>
                <w:color w:val="auto"/>
              </w:rPr>
            </w:pPr>
            <w:r>
              <w:rPr>
                <w:rFonts w:ascii="Arial" w:cs="Arial" w:eastAsia="Arial" w:hAnsi="Arial"/>
                <w:sz w:val="20"/>
                <w:szCs w:val="20"/>
                <w:color w:val="0000FF"/>
                <w:w w:val="96"/>
              </w:rPr>
              <w:t>Financial Officer, as required by Section 302 of the Sarbanes</w:t>
            </w:r>
          </w:p>
        </w:tc>
        <w:tc>
          <w:tcPr>
            <w:tcW w:w="620" w:type="dxa"/>
            <w:vAlign w:val="bottom"/>
            <w:tcBorders>
              <w:top w:val="single" w:sz="8" w:color="CCEEFF"/>
            </w:tcBorders>
            <w:gridSpan w:val="4"/>
            <w:shd w:val="clear" w:color="auto" w:fill="CCEEFF"/>
          </w:tcPr>
          <w:p>
            <w:pPr>
              <w:jc w:val="right"/>
              <w:ind w:right="460"/>
              <w:spacing w:after="0" w:line="183" w:lineRule="exact"/>
              <w:rPr>
                <w:sz w:val="20"/>
                <w:szCs w:val="20"/>
                <w:color w:val="auto"/>
              </w:rPr>
            </w:pPr>
            <w:r>
              <w:rPr>
                <w:rFonts w:ascii="Arial" w:cs="Arial" w:eastAsia="Arial" w:hAnsi="Arial"/>
                <w:sz w:val="20"/>
                <w:szCs w:val="20"/>
                <w:color w:val="0000FF"/>
              </w:rPr>
              <w:t>-</w:t>
            </w: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03"/>
        </w:trPr>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100" w:type="dxa"/>
            <w:vAlign w:val="bottom"/>
            <w:tcBorders>
              <w:top w:val="single" w:sz="8" w:color="0000FF"/>
              <w:bottom w:val="single" w:sz="8" w:color="0000FF"/>
            </w:tcBorders>
            <w:gridSpan w:val="2"/>
            <w:shd w:val="clear" w:color="auto" w:fill="CCEEFF"/>
          </w:tcPr>
          <w:p>
            <w:pPr>
              <w:spacing w:after="0" w:line="169" w:lineRule="exact"/>
              <w:rPr>
                <w:sz w:val="20"/>
                <w:szCs w:val="20"/>
                <w:color w:val="auto"/>
              </w:rPr>
            </w:pPr>
            <w:r>
              <w:rPr>
                <w:rFonts w:ascii="Arial" w:cs="Arial" w:eastAsia="Arial" w:hAnsi="Arial"/>
                <w:sz w:val="19"/>
                <w:szCs w:val="19"/>
                <w:color w:val="0000FF"/>
              </w:rPr>
              <w:t>Oxley Act of 2002 (18 U.S.C. 1350)</w:t>
            </w:r>
          </w:p>
        </w:tc>
        <w:tc>
          <w:tcPr>
            <w:tcW w:w="2280" w:type="dxa"/>
            <w:vAlign w:val="bottom"/>
            <w:tcBorders>
              <w:top w:val="single" w:sz="8" w:color="0000FF"/>
              <w:bottom w:val="single" w:sz="8" w:color="CCEEFF"/>
            </w:tcBorders>
            <w:gridSpan w:val="5"/>
            <w:shd w:val="clear" w:color="auto" w:fill="CCEEFF"/>
          </w:tcPr>
          <w:p>
            <w:pPr>
              <w:spacing w:after="0"/>
              <w:rPr>
                <w:sz w:val="17"/>
                <w:szCs w:val="17"/>
                <w:color w:val="auto"/>
              </w:rPr>
            </w:pPr>
          </w:p>
        </w:tc>
        <w:tc>
          <w:tcPr>
            <w:tcW w:w="4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0"/>
          </w:tcPr>
          <w:p>
            <w:pPr>
              <w:spacing w:after="0" w:line="203" w:lineRule="exact"/>
              <w:rPr>
                <w:sz w:val="20"/>
                <w:szCs w:val="20"/>
                <w:color w:val="auto"/>
              </w:rPr>
            </w:pPr>
            <w:r>
              <w:rPr>
                <w:rFonts w:ascii="Arial" w:cs="Arial" w:eastAsia="Arial" w:hAnsi="Arial"/>
                <w:sz w:val="20"/>
                <w:szCs w:val="20"/>
                <w:color w:val="0000FF"/>
              </w:rPr>
              <w:t>Certification of the Chief Executive Officer and Interim Chief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top w:val="single" w:sz="8" w:color="0000FF"/>
            </w:tcBorders>
            <w:gridSpan w:val="6"/>
          </w:tcPr>
          <w:p>
            <w:pPr>
              <w:spacing w:after="0" w:line="183" w:lineRule="exact"/>
              <w:rPr>
                <w:sz w:val="20"/>
                <w:szCs w:val="20"/>
                <w:color w:val="auto"/>
              </w:rPr>
            </w:pPr>
            <w:r>
              <w:rPr>
                <w:rFonts w:ascii="Arial" w:cs="Arial" w:eastAsia="Arial" w:hAnsi="Arial"/>
                <w:sz w:val="20"/>
                <w:szCs w:val="20"/>
                <w:color w:val="0000FF"/>
                <w:w w:val="96"/>
              </w:rPr>
              <w:t>Financial Officer, as required by Section 906 of the Sarbanes</w:t>
            </w:r>
          </w:p>
        </w:tc>
        <w:tc>
          <w:tcPr>
            <w:tcW w:w="620" w:type="dxa"/>
            <w:vAlign w:val="bottom"/>
            <w:gridSpan w:val="4"/>
          </w:tcPr>
          <w:p>
            <w:pPr>
              <w:jc w:val="right"/>
              <w:ind w:right="460"/>
              <w:spacing w:after="0" w:line="183" w:lineRule="exact"/>
              <w:rPr>
                <w:sz w:val="20"/>
                <w:szCs w:val="20"/>
                <w:color w:val="auto"/>
              </w:rPr>
            </w:pPr>
            <w:r>
              <w:rPr>
                <w:rFonts w:ascii="Arial" w:cs="Arial" w:eastAsia="Arial" w:hAnsi="Arial"/>
                <w:sz w:val="20"/>
                <w:szCs w:val="20"/>
                <w:color w:val="0000FF"/>
              </w:rPr>
              <w: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9"/>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9"/>
                <w:szCs w:val="19"/>
                <w:color w:val="0000FF"/>
              </w:rPr>
              <w:t>Oxley Act of 2002 (18 U.S.C. 1350)</w:t>
            </w:r>
          </w:p>
        </w:tc>
        <w:tc>
          <w:tcPr>
            <w:tcW w:w="2280" w:type="dxa"/>
            <w:vAlign w:val="bottom"/>
            <w:tcBorders>
              <w:top w:val="single" w:sz="8" w:color="0000FF"/>
            </w:tcBorders>
            <w:gridSpan w:val="5"/>
          </w:tcPr>
          <w:p>
            <w:pPr>
              <w:spacing w:after="0"/>
              <w:rPr>
                <w:sz w:val="14"/>
                <w:szCs w:val="14"/>
                <w:color w:val="auto"/>
              </w:rPr>
            </w:pPr>
          </w:p>
        </w:tc>
        <w:tc>
          <w:tcPr>
            <w:tcW w:w="46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67"/>
        </w:trPr>
        <w:tc>
          <w:tcPr>
            <w:tcW w:w="1660" w:type="dxa"/>
            <w:vAlign w:val="bottom"/>
            <w:gridSpan w:val="2"/>
          </w:tcPr>
          <w:p>
            <w:pPr>
              <w:ind w:left="400"/>
              <w:spacing w:after="0"/>
              <w:rPr>
                <w:sz w:val="20"/>
                <w:szCs w:val="20"/>
                <w:color w:val="auto"/>
              </w:rPr>
            </w:pPr>
            <w:r>
              <w:rPr>
                <w:rFonts w:ascii="Arial" w:cs="Arial" w:eastAsia="Arial" w:hAnsi="Arial"/>
                <w:sz w:val="20"/>
                <w:szCs w:val="20"/>
                <w:b w:val="1"/>
                <w:bCs w:val="1"/>
                <w:color w:val="auto"/>
              </w:rPr>
              <w:t>Number</w:t>
            </w:r>
          </w:p>
        </w:tc>
        <w:tc>
          <w:tcPr>
            <w:tcW w:w="5860" w:type="dxa"/>
            <w:vAlign w:val="bottom"/>
            <w:gridSpan w:val="2"/>
          </w:tcPr>
          <w:p>
            <w:pPr>
              <w:ind w:left="1980"/>
              <w:spacing w:after="0"/>
              <w:rPr>
                <w:sz w:val="20"/>
                <w:szCs w:val="20"/>
                <w:color w:val="auto"/>
              </w:rPr>
            </w:pPr>
            <w:r>
              <w:rPr>
                <w:rFonts w:ascii="Arial" w:cs="Arial" w:eastAsia="Arial" w:hAnsi="Arial"/>
                <w:sz w:val="20"/>
                <w:szCs w:val="20"/>
                <w:b w:val="1"/>
                <w:bCs w:val="1"/>
                <w:color w:val="auto"/>
              </w:rPr>
              <w:t>Exhibit Description</w:t>
            </w:r>
          </w:p>
        </w:tc>
        <w:tc>
          <w:tcPr>
            <w:tcW w:w="1040" w:type="dxa"/>
            <w:vAlign w:val="bottom"/>
            <w:gridSpan w:val="2"/>
          </w:tcPr>
          <w:p>
            <w:pPr>
              <w:ind w:left="240"/>
              <w:spacing w:after="0"/>
              <w:rPr>
                <w:sz w:val="20"/>
                <w:szCs w:val="20"/>
                <w:color w:val="auto"/>
              </w:rPr>
            </w:pPr>
            <w:r>
              <w:rPr>
                <w:rFonts w:ascii="Arial" w:cs="Arial" w:eastAsia="Arial" w:hAnsi="Arial"/>
                <w:sz w:val="20"/>
                <w:szCs w:val="20"/>
                <w:b w:val="1"/>
                <w:bCs w:val="1"/>
                <w:color w:val="auto"/>
              </w:rPr>
              <w:t>Form</w:t>
            </w:r>
          </w:p>
        </w:tc>
        <w:tc>
          <w:tcPr>
            <w:tcW w:w="1620" w:type="dxa"/>
            <w:vAlign w:val="bottom"/>
            <w:gridSpan w:val="2"/>
          </w:tcPr>
          <w:p>
            <w:pPr>
              <w:ind w:left="5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88"/>
        </w:trPr>
        <w:tc>
          <w:tcPr>
            <w:tcW w:w="1540" w:type="dxa"/>
            <w:vAlign w:val="bottom"/>
            <w:tcBorders>
              <w:top w:val="single" w:sz="8" w:color="auto"/>
            </w:tcBorders>
            <w:shd w:val="clear" w:color="auto" w:fill="CCEEFF"/>
          </w:tcPr>
          <w:p>
            <w:pPr>
              <w:ind w:left="420"/>
              <w:spacing w:after="0" w:line="188" w:lineRule="exact"/>
              <w:rPr>
                <w:sz w:val="20"/>
                <w:szCs w:val="20"/>
                <w:color w:val="auto"/>
              </w:rPr>
            </w:pPr>
            <w:r>
              <w:rPr>
                <w:rFonts w:ascii="Arial" w:cs="Arial" w:eastAsia="Arial" w:hAnsi="Arial"/>
                <w:sz w:val="20"/>
                <w:szCs w:val="20"/>
                <w:color w:val="auto"/>
              </w:rPr>
              <w:t>101.INS</w:t>
            </w:r>
          </w:p>
        </w:tc>
        <w:tc>
          <w:tcPr>
            <w:tcW w:w="120" w:type="dxa"/>
            <w:vAlign w:val="bottom"/>
            <w:tcBorders>
              <w:top w:val="single" w:sz="8" w:color="CCEEFF"/>
            </w:tcBorders>
            <w:shd w:val="clear" w:color="auto" w:fill="CCEEFF"/>
          </w:tcPr>
          <w:p>
            <w:pPr>
              <w:spacing w:after="0"/>
              <w:rPr>
                <w:sz w:val="16"/>
                <w:szCs w:val="16"/>
                <w:color w:val="auto"/>
              </w:rPr>
            </w:pPr>
          </w:p>
        </w:tc>
        <w:tc>
          <w:tcPr>
            <w:tcW w:w="5780" w:type="dxa"/>
            <w:vAlign w:val="bottom"/>
            <w:tcBorders>
              <w:top w:val="single" w:sz="8" w:color="auto"/>
            </w:tcBorders>
            <w:shd w:val="clear" w:color="auto" w:fill="CCEEFF"/>
          </w:tcPr>
          <w:p>
            <w:pPr>
              <w:ind w:left="20"/>
              <w:spacing w:after="0" w:line="188" w:lineRule="exact"/>
              <w:rPr>
                <w:sz w:val="20"/>
                <w:szCs w:val="20"/>
                <w:color w:val="auto"/>
              </w:rPr>
            </w:pPr>
            <w:r>
              <w:rPr>
                <w:rFonts w:ascii="Arial" w:cs="Arial" w:eastAsia="Arial" w:hAnsi="Arial"/>
                <w:sz w:val="20"/>
                <w:szCs w:val="20"/>
                <w:color w:val="auto"/>
              </w:rPr>
              <w:t>XBRL Instance Document – the instance document does not</w:t>
            </w: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7"/>
        </w:trPr>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60" w:type="dxa"/>
            <w:vAlign w:val="bottom"/>
            <w:gridSpan w:val="2"/>
            <w:shd w:val="clear" w:color="auto" w:fill="CCEEFF"/>
          </w:tcPr>
          <w:p>
            <w:pPr>
              <w:ind w:left="20"/>
              <w:spacing w:after="0" w:line="197" w:lineRule="exact"/>
              <w:rPr>
                <w:sz w:val="20"/>
                <w:szCs w:val="20"/>
                <w:color w:val="auto"/>
              </w:rPr>
            </w:pPr>
            <w:r>
              <w:rPr>
                <w:rFonts w:ascii="Arial" w:cs="Arial" w:eastAsia="Arial" w:hAnsi="Arial"/>
                <w:sz w:val="20"/>
                <w:szCs w:val="20"/>
                <w:color w:val="auto"/>
              </w:rPr>
              <w:t>appear in the Interactive Data file because its XBRL tags are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7"/>
        </w:trPr>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embedded within the Inline XBRL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7"/>
        </w:trPr>
        <w:tc>
          <w:tcPr>
            <w:tcW w:w="1660" w:type="dxa"/>
            <w:vAlign w:val="bottom"/>
            <w:gridSpan w:val="2"/>
          </w:tcPr>
          <w:p>
            <w:pPr>
              <w:ind w:left="380"/>
              <w:spacing w:after="0"/>
              <w:rPr>
                <w:sz w:val="20"/>
                <w:szCs w:val="20"/>
                <w:color w:val="auto"/>
              </w:rPr>
            </w:pPr>
            <w:r>
              <w:rPr>
                <w:rFonts w:ascii="Arial" w:cs="Arial" w:eastAsia="Arial" w:hAnsi="Arial"/>
                <w:sz w:val="20"/>
                <w:szCs w:val="20"/>
                <w:color w:val="auto"/>
              </w:rPr>
              <w:t>101.SCH</w:t>
            </w: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XBRL Taxonomy Extension Schema Document</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166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101.CAL</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XBRL Taxonomy Extension Calculation Linkbase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6"/>
        </w:trPr>
        <w:tc>
          <w:tcPr>
            <w:tcW w:w="1660" w:type="dxa"/>
            <w:vAlign w:val="bottom"/>
            <w:gridSpan w:val="2"/>
          </w:tcPr>
          <w:p>
            <w:pPr>
              <w:ind w:left="380"/>
              <w:spacing w:after="0"/>
              <w:rPr>
                <w:sz w:val="20"/>
                <w:szCs w:val="20"/>
                <w:color w:val="auto"/>
              </w:rPr>
            </w:pPr>
            <w:r>
              <w:rPr>
                <w:rFonts w:ascii="Arial" w:cs="Arial" w:eastAsia="Arial" w:hAnsi="Arial"/>
                <w:sz w:val="20"/>
                <w:szCs w:val="20"/>
                <w:color w:val="auto"/>
              </w:rPr>
              <w:t>101.DEF</w:t>
            </w: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XBRL Taxonomy Extension Definition Linkbase Document</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166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101.LAB</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XBRL Taxonomy Extension Presentation Linkbase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1"/>
        </w:trPr>
        <w:tc>
          <w:tcPr>
            <w:tcW w:w="1660" w:type="dxa"/>
            <w:vAlign w:val="bottom"/>
            <w:gridSpan w:val="2"/>
          </w:tcPr>
          <w:p>
            <w:pPr>
              <w:ind w:left="380"/>
              <w:spacing w:after="0"/>
              <w:rPr>
                <w:sz w:val="20"/>
                <w:szCs w:val="20"/>
                <w:color w:val="auto"/>
              </w:rPr>
            </w:pPr>
            <w:r>
              <w:rPr>
                <w:rFonts w:ascii="Arial" w:cs="Arial" w:eastAsia="Arial" w:hAnsi="Arial"/>
                <w:sz w:val="20"/>
                <w:szCs w:val="20"/>
                <w:color w:val="auto"/>
              </w:rPr>
              <w:t>101.PRE</w:t>
            </w: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XBRL Taxonomy Extension Presentation Linkbase Document</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680" w:hanging="1068"/>
        <w:spacing w:after="0"/>
        <w:tabs>
          <w:tab w:leader="none" w:pos="16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5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spacing w:after="0" w:line="17" w:lineRule="exact"/>
        <w:rPr>
          <w:rFonts w:ascii="Arial" w:cs="Arial" w:eastAsia="Arial" w:hAnsi="Arial"/>
          <w:sz w:val="20"/>
          <w:szCs w:val="20"/>
          <w:color w:val="auto"/>
        </w:rPr>
      </w:pPr>
    </w:p>
    <w:p>
      <w:pPr>
        <w:ind w:left="220" w:hanging="212"/>
        <w:spacing w:after="0"/>
        <w:tabs>
          <w:tab w:leader="none" w:pos="2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58" w:name="page59"/>
    <w:bookmarkEnd w:id="58"/>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83" w:lineRule="exact"/>
        <w:rPr>
          <w:sz w:val="20"/>
          <w:szCs w:val="20"/>
          <w:color w:val="auto"/>
        </w:rPr>
      </w:pPr>
    </w:p>
    <w:p>
      <w:pPr>
        <w:ind w:left="20"/>
        <w:spacing w:after="0"/>
        <w:tabs>
          <w:tab w:leader="none" w:pos="880" w:val="left"/>
          <w:tab w:leader="none" w:pos="7600" w:val="left"/>
          <w:tab w:leader="none" w:pos="8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Kevin G. Hostetler</w:t>
      </w:r>
      <w:r>
        <w:rPr>
          <w:sz w:val="20"/>
          <w:szCs w:val="20"/>
          <w:color w:val="auto"/>
        </w:rPr>
        <w:tab/>
      </w:r>
      <w:r>
        <w:rPr>
          <w:rFonts w:ascii="Arial" w:cs="Arial" w:eastAsia="Arial" w:hAnsi="Arial"/>
          <w:sz w:val="20"/>
          <w:szCs w:val="20"/>
          <w:color w:val="auto"/>
        </w:rPr>
        <w:t>Date:</w:t>
      </w:r>
      <w:r>
        <w:rPr>
          <w:sz w:val="20"/>
          <w:szCs w:val="20"/>
          <w:color w:val="auto"/>
        </w:rPr>
        <w:tab/>
      </w:r>
      <w:r>
        <w:rPr>
          <w:rFonts w:ascii="Arial" w:cs="Arial" w:eastAsia="Arial" w:hAnsi="Arial"/>
          <w:sz w:val="19"/>
          <w:szCs w:val="19"/>
          <w:color w:val="auto"/>
        </w:rPr>
        <w:t>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22225</wp:posOffset>
            </wp:positionV>
            <wp:extent cx="63093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20" w:lineRule="exact"/>
        <w:rPr>
          <w:sz w:val="20"/>
          <w:szCs w:val="20"/>
          <w:color w:val="auto"/>
        </w:rPr>
      </w:pPr>
    </w:p>
    <w:p>
      <w:pPr>
        <w:ind w:left="900"/>
        <w:spacing w:after="0"/>
        <w:rPr>
          <w:sz w:val="20"/>
          <w:szCs w:val="20"/>
          <w:color w:val="auto"/>
        </w:rPr>
      </w:pPr>
      <w:r>
        <w:rPr>
          <w:rFonts w:ascii="Arial" w:cs="Arial" w:eastAsia="Arial" w:hAnsi="Arial"/>
          <w:sz w:val="20"/>
          <w:szCs w:val="20"/>
          <w:color w:val="auto"/>
        </w:rPr>
        <w:t>Kevin G. Hostetler</w:t>
      </w:r>
    </w:p>
    <w:p>
      <w:pPr>
        <w:spacing w:after="0" w:line="17" w:lineRule="exact"/>
        <w:rPr>
          <w:sz w:val="20"/>
          <w:szCs w:val="20"/>
          <w:color w:val="auto"/>
        </w:rPr>
      </w:pPr>
    </w:p>
    <w:p>
      <w:pPr>
        <w:ind w:left="900"/>
        <w:spacing w:after="0"/>
        <w:rPr>
          <w:sz w:val="20"/>
          <w:szCs w:val="20"/>
          <w:color w:val="auto"/>
        </w:rPr>
      </w:pPr>
      <w:r>
        <w:rPr>
          <w:rFonts w:ascii="Arial" w:cs="Arial" w:eastAsia="Arial" w:hAnsi="Arial"/>
          <w:sz w:val="20"/>
          <w:szCs w:val="20"/>
          <w:color w:val="auto"/>
        </w:rPr>
        <w:t>Chief Executive Officer and</w:t>
      </w:r>
    </w:p>
    <w:p>
      <w:pPr>
        <w:ind w:left="900"/>
        <w:spacing w:after="0"/>
        <w:rPr>
          <w:sz w:val="20"/>
          <w:szCs w:val="20"/>
          <w:color w:val="auto"/>
        </w:rPr>
      </w:pPr>
      <w:r>
        <w:rPr>
          <w:rFonts w:ascii="Arial" w:cs="Arial" w:eastAsia="Arial" w:hAnsi="Arial"/>
          <w:sz w:val="20"/>
          <w:szCs w:val="20"/>
          <w:color w:val="auto"/>
        </w:rPr>
        <w:t>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120"/>
          </w:cols>
          <w:pgMar w:left="320" w:top="1317" w:right="4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Kevin G. Hostetler, certify that:</w:t>
      </w:r>
    </w:p>
    <w:p>
      <w:pPr>
        <w:spacing w:after="0" w:line="266"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Array Technologies, Inc.;</w:t>
      </w:r>
    </w:p>
    <w:p>
      <w:pPr>
        <w:spacing w:after="0" w:line="242" w:lineRule="exact"/>
        <w:rPr>
          <w:rFonts w:ascii="Arial" w:cs="Arial" w:eastAsia="Arial" w:hAnsi="Arial"/>
          <w:sz w:val="20"/>
          <w:szCs w:val="20"/>
          <w:color w:val="auto"/>
        </w:rPr>
      </w:pPr>
    </w:p>
    <w:p>
      <w:pPr>
        <w:jc w:val="both"/>
        <w:ind w:left="660" w:hanging="328"/>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87"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084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w:t>
      </w:r>
    </w:p>
    <w:p>
      <w:pPr>
        <w:ind w:left="20"/>
        <w:spacing w:after="0"/>
        <w:rPr>
          <w:sz w:val="20"/>
          <w:szCs w:val="20"/>
          <w:color w:val="auto"/>
        </w:rPr>
      </w:pPr>
      <w:r>
        <w:rPr>
          <w:rFonts w:ascii="Arial" w:cs="Arial" w:eastAsia="Arial" w:hAnsi="Arial"/>
          <w:sz w:val="18"/>
          <w:szCs w:val="18"/>
          <w:color w:val="auto"/>
        </w:rPr>
        <w:t>Interim 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2024</w:t>
      </w:r>
    </w:p>
    <w:p>
      <w:pPr>
        <w:sectPr>
          <w:pgSz w:w="11900" w:h="16838" w:orient="portrait"/>
          <w:cols w:equalWidth="0" w:num="1">
            <w:col w:w="11240"/>
          </w:cols>
          <w:pgMar w:left="320" w:top="76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quarter ended September 30, 2024, as filed with the Securities and Exchange Commission on the date hereof (the “Report”), I, Kevin G. Hostetler, Chief Executive Officer and Interim Chief Financial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80" w:hanging="328"/>
        <w:spacing w:after="0" w:line="287" w:lineRule="auto"/>
        <w:tabs>
          <w:tab w:leader="none" w:pos="6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084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w:t>
      </w:r>
    </w:p>
    <w:p>
      <w:pPr>
        <w:ind w:left="20"/>
        <w:spacing w:after="0"/>
        <w:rPr>
          <w:sz w:val="20"/>
          <w:szCs w:val="20"/>
          <w:color w:val="auto"/>
        </w:rPr>
      </w:pPr>
      <w:r>
        <w:rPr>
          <w:rFonts w:ascii="Arial" w:cs="Arial" w:eastAsia="Arial" w:hAnsi="Arial"/>
          <w:sz w:val="18"/>
          <w:szCs w:val="18"/>
          <w:color w:val="auto"/>
        </w:rPr>
        <w:t>Interim Chief Financial Officer</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2024</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6"/>
    </w:lvl>
  </w:abstractNum>
  <w:abstractNum w:abstractNumId="10">
    <w:nsid w:val="3F2DBA31"/>
    <w:multiLevelType w:val="hybridMultilevel"/>
    <w:lvl w:ilvl="0">
      <w:lvlJc w:val="left"/>
      <w:lvlText w:val="%1."/>
      <w:numFmt w:val="decimal"/>
      <w:start w:val="7"/>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lowerRoman"/>
      <w:start w:val="3"/>
    </w:lvl>
  </w:abstractNum>
  <w:abstractNum w:abstractNumId="13">
    <w:nsid w:val="62BBD95A"/>
    <w:multiLevelType w:val="hybridMultilevel"/>
    <w:lvl w:ilvl="0">
      <w:lvlJc w:val="left"/>
      <w:lvlText w:val="%1."/>
      <w:numFmt w:val="decimal"/>
      <w:start w:val="9"/>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1."/>
      <w:numFmt w:val="decimal"/>
      <w:start w:val="11"/>
    </w:lvl>
  </w:abstractNum>
  <w:abstractNum w:abstractNumId="16">
    <w:nsid w:val="333AB105"/>
    <w:multiLevelType w:val="hybridMultilevel"/>
    <w:lvl w:ilvl="0">
      <w:lvlJc w:val="left"/>
      <w:lvlText w:val="(%1)"/>
      <w:numFmt w:val="decimal"/>
      <w:start w:val="5"/>
    </w:lvl>
  </w:abstractNum>
  <w:abstractNum w:abstractNumId="17">
    <w:nsid w:val="721DA317"/>
    <w:multiLevelType w:val="hybridMultilevel"/>
    <w:lvl w:ilvl="0">
      <w:lvlJc w:val="left"/>
      <w:lvlText w:val="%1."/>
      <w:numFmt w:val="decimal"/>
      <w:start w:val="12"/>
    </w:lvl>
  </w:abstractNum>
  <w:abstractNum w:abstractNumId="18">
    <w:nsid w:val="2443A858"/>
    <w:multiLevelType w:val="hybridMultilevel"/>
    <w:lvl w:ilvl="0">
      <w:lvlJc w:val="left"/>
      <w:lvlText w:val="%1."/>
      <w:numFmt w:val="decimal"/>
      <w:start w:val="13"/>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lvl w:ilvl="1">
      <w:lvlJc w:val="left"/>
      <w:lvlText w:val="%2"/>
      <w:numFmt w:val="decimal"/>
      <w:start w:val="104"/>
    </w:lvl>
  </w:abstractNum>
  <w:abstractNum w:abstractNumId="23">
    <w:nsid w:val="79838CB2"/>
    <w:multiLevelType w:val="hybridMultilevel"/>
    <w:lvl w:ilvl="0">
      <w:lvlJc w:val="left"/>
      <w:lvlText w:val="**"/>
      <w:numFmt w:val="bullet"/>
      <w:start w:val="1"/>
    </w:lvl>
    <w:lvl w:ilvl="1">
      <w:lvlJc w:val="left"/>
      <w:lvlText w:val="%2"/>
      <w:numFmt w:val="decimal"/>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98" Type="http://schemas.openxmlformats.org/officeDocument/2006/relationships/hyperlink" Target="https://www.sec.gov/ix?doc=/Archives/edgar/data/1820721/000182072122000033/arry-20211231.htm#icfe32c6b4ab54bfe857c57aaba5fa86c_22" TargetMode="External"/><Relationship Id="rId101" Type="http://schemas.openxmlformats.org/officeDocument/2006/relationships/hyperlink" Target="https://www.sec.gov/Archives/edgar/data/1820721/000119312520272092/d50569dex31.htm" TargetMode="External"/><Relationship Id="rId102" Type="http://schemas.openxmlformats.org/officeDocument/2006/relationships/hyperlink" Target="https://www.sec.gov/Archives/edgar/data/1820721/000119312520272092/d50569dex32.htm" TargetMode="External"/><Relationship Id="rId103" Type="http://schemas.openxmlformats.org/officeDocument/2006/relationships/hyperlink" Target="https://www.sec.gov/Archives/edgar/data/0001820721/000182072121000057/helios-certificateofdesign.htm" TargetMode="External"/><Relationship Id="rId104" Type="http://schemas.openxmlformats.org/officeDocument/2006/relationships/hyperlink" Target="https://www.sec.gov/Archives/edgar/data/1820721/000119312524147322/d84433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2024-11-07T16:52:15Z</dcterms:created>
  <dcterms:modified xsi:type="dcterms:W3CDTF">2024-11-07T16:52:15Z</dcterms:modified>
</cp:coreProperties>
</file>