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2"/>
          <w:szCs w:val="22"/>
          <w:b w:val="1"/>
          <w:bCs w:val="1"/>
          <w:color w:val="auto"/>
        </w:rPr>
        <w:t>UNITED STATES SECURITIES AND EXCHANGE COMMISSION</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Washington, D.C. 20549</w:t>
      </w:r>
    </w:p>
    <w:p>
      <w:pPr>
        <w:spacing w:after="0" w:line="235"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FORM 10-Q</w:t>
      </w:r>
    </w:p>
    <w:p>
      <w:pPr>
        <w:spacing w:after="0" w:line="263" w:lineRule="exact"/>
        <w:rPr>
          <w:sz w:val="24"/>
          <w:szCs w:val="24"/>
          <w:color w:val="auto"/>
        </w:rPr>
      </w:pPr>
    </w:p>
    <w:p>
      <w:pPr>
        <w:ind w:left="3780" w:right="2780" w:hanging="3772"/>
        <w:spacing w:after="0" w:line="304" w:lineRule="auto"/>
        <w:tabs>
          <w:tab w:leader="none" w:pos="204"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QUARTERLY REPORT PURSUANT TO SECTION 13 OR 15(d) OF THE SECURITIES EXCHANGE ACT OF 1934 For the quarterly period ended September 30, 2025</w:t>
      </w:r>
    </w:p>
    <w:p>
      <w:pPr>
        <w:spacing w:after="0" w:line="168" w:lineRule="exact"/>
        <w:rPr>
          <w:sz w:val="24"/>
          <w:szCs w:val="24"/>
          <w:color w:val="auto"/>
        </w:rPr>
      </w:pPr>
    </w:p>
    <w:p>
      <w:pPr>
        <w:spacing w:after="0"/>
        <w:rPr>
          <w:sz w:val="20"/>
          <w:szCs w:val="20"/>
          <w:color w:val="auto"/>
        </w:rPr>
      </w:pPr>
      <w:r>
        <w:rPr>
          <w:rFonts w:ascii="Arial" w:cs="Arial" w:eastAsia="Arial" w:hAnsi="Arial"/>
          <w:sz w:val="16"/>
          <w:szCs w:val="16"/>
          <w:color w:val="auto"/>
        </w:rPr>
        <w:t>or</w:t>
      </w:r>
    </w:p>
    <w:p>
      <w:pPr>
        <w:spacing w:after="0" w:line="248" w:lineRule="exact"/>
        <w:rPr>
          <w:sz w:val="24"/>
          <w:szCs w:val="24"/>
          <w:color w:val="auto"/>
        </w:rPr>
      </w:pPr>
    </w:p>
    <w:p>
      <w:pPr>
        <w:ind w:left="3640" w:right="2780" w:hanging="3632"/>
        <w:spacing w:after="0" w:line="304" w:lineRule="auto"/>
        <w:tabs>
          <w:tab w:leader="none" w:pos="204" w:val="left"/>
        </w:tabs>
        <w:numPr>
          <w:ilvl w:val="0"/>
          <w:numId w:val="2"/>
        </w:numPr>
        <w:rPr>
          <w:rFonts w:ascii="MS PGothic" w:cs="MS PGothic" w:eastAsia="MS PGothic" w:hAnsi="MS PGothic"/>
          <w:sz w:val="16"/>
          <w:szCs w:val="16"/>
          <w:color w:val="auto"/>
        </w:rPr>
      </w:pPr>
      <w:r>
        <w:rPr>
          <w:rFonts w:ascii="Arial" w:cs="Arial" w:eastAsia="Arial" w:hAnsi="Arial"/>
          <w:sz w:val="16"/>
          <w:szCs w:val="16"/>
          <w:color w:val="auto"/>
        </w:rPr>
        <w:t>TRANSITION REPORT PURSUANT TO SECTION 13 OR 15(d) OF THE SECURITIES EXCHANGE ACT OF 1934 For the transition period from _________ to _________</w:t>
      </w:r>
    </w:p>
    <w:p>
      <w:pPr>
        <w:spacing w:after="0" w:line="16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Commission File Number: 001-39613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2713990</wp:posOffset>
            </wp:positionH>
            <wp:positionV relativeFrom="paragraph">
              <wp:posOffset>172085</wp:posOffset>
            </wp:positionV>
            <wp:extent cx="1722755" cy="10369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722755" cy="10369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7"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ARRAY TECHNOLOGIES, INC.</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(Exact Name of Registrant as Specified in its Charter)</w:t>
      </w:r>
    </w:p>
    <w:p>
      <w:pPr>
        <w:spacing w:after="0" w:line="277" w:lineRule="exact"/>
        <w:rPr>
          <w:sz w:val="24"/>
          <w:szCs w:val="24"/>
          <w:color w:val="auto"/>
        </w:rPr>
      </w:pPr>
    </w:p>
    <w:tbl>
      <w:tblPr>
        <w:tblLayout w:type="fixed"/>
        <w:tblInd w:w="380" w:type="dxa"/>
        <w:tblCellMar>
          <w:top w:w="0" w:type="dxa"/>
          <w:left w:w="0" w:type="dxa"/>
          <w:bottom w:w="0" w:type="dxa"/>
          <w:right w:w="0" w:type="dxa"/>
        </w:tblCellMar>
      </w:tblPr>
      <w:tr>
        <w:trPr>
          <w:trHeight w:val="267"/>
        </w:trPr>
        <w:tc>
          <w:tcPr>
            <w:tcW w:w="5140" w:type="dxa"/>
            <w:vAlign w:val="bottom"/>
            <w:gridSpan w:val="3"/>
          </w:tcPr>
          <w:p>
            <w:pPr>
              <w:jc w:val="center"/>
              <w:ind w:right="100"/>
              <w:spacing w:after="0"/>
              <w:rPr>
                <w:sz w:val="20"/>
                <w:szCs w:val="20"/>
                <w:color w:val="auto"/>
              </w:rPr>
            </w:pPr>
            <w:r>
              <w:rPr>
                <w:rFonts w:ascii="Arial" w:cs="Arial" w:eastAsia="Arial" w:hAnsi="Arial"/>
                <w:sz w:val="20"/>
                <w:szCs w:val="20"/>
                <w:b w:val="1"/>
                <w:bCs w:val="1"/>
                <w:color w:val="auto"/>
              </w:rPr>
              <w:t>Delaware</w:t>
            </w:r>
          </w:p>
        </w:tc>
        <w:tc>
          <w:tcPr>
            <w:tcW w:w="1780" w:type="dxa"/>
            <w:vAlign w:val="bottom"/>
          </w:tcPr>
          <w:p>
            <w:pPr>
              <w:spacing w:after="0"/>
              <w:rPr>
                <w:sz w:val="23"/>
                <w:szCs w:val="23"/>
                <w:color w:val="auto"/>
              </w:rPr>
            </w:pPr>
          </w:p>
        </w:tc>
        <w:tc>
          <w:tcPr>
            <w:tcW w:w="3580" w:type="dxa"/>
            <w:vAlign w:val="bottom"/>
            <w:gridSpan w:val="3"/>
          </w:tcPr>
          <w:p>
            <w:pPr>
              <w:jc w:val="right"/>
              <w:ind w:right="1839"/>
              <w:spacing w:after="0"/>
              <w:rPr>
                <w:sz w:val="20"/>
                <w:szCs w:val="20"/>
                <w:color w:val="auto"/>
              </w:rPr>
            </w:pPr>
            <w:r>
              <w:rPr>
                <w:rFonts w:ascii="Arial" w:cs="Arial" w:eastAsia="Arial" w:hAnsi="Arial"/>
                <w:sz w:val="20"/>
                <w:szCs w:val="20"/>
                <w:b w:val="1"/>
                <w:bCs w:val="1"/>
                <w:color w:val="auto"/>
              </w:rPr>
              <w:t>83-2747826</w:t>
            </w:r>
          </w:p>
        </w:tc>
      </w:tr>
      <w:tr>
        <w:trPr>
          <w:trHeight w:val="208"/>
        </w:trPr>
        <w:tc>
          <w:tcPr>
            <w:tcW w:w="5040" w:type="dxa"/>
            <w:vAlign w:val="bottom"/>
            <w:tcBorders>
              <w:top w:val="single" w:sz="8" w:color="auto"/>
            </w:tcBorders>
            <w:gridSpan w:val="2"/>
          </w:tcPr>
          <w:p>
            <w:pPr>
              <w:jc w:val="center"/>
              <w:spacing w:after="0"/>
              <w:rPr>
                <w:sz w:val="20"/>
                <w:szCs w:val="20"/>
                <w:color w:val="auto"/>
              </w:rPr>
            </w:pPr>
            <w:r>
              <w:rPr>
                <w:rFonts w:ascii="Arial" w:cs="Arial" w:eastAsia="Arial" w:hAnsi="Arial"/>
                <w:sz w:val="16"/>
                <w:szCs w:val="16"/>
                <w:color w:val="auto"/>
              </w:rPr>
              <w:t>(State or Other Jurisdiction)</w:t>
            </w:r>
          </w:p>
        </w:tc>
        <w:tc>
          <w:tcPr>
            <w:tcW w:w="100" w:type="dxa"/>
            <w:vAlign w:val="bottom"/>
          </w:tcPr>
          <w:p>
            <w:pPr>
              <w:spacing w:after="0"/>
              <w:rPr>
                <w:sz w:val="18"/>
                <w:szCs w:val="18"/>
                <w:color w:val="auto"/>
              </w:rPr>
            </w:pPr>
          </w:p>
        </w:tc>
        <w:tc>
          <w:tcPr>
            <w:tcW w:w="5360" w:type="dxa"/>
            <w:vAlign w:val="bottom"/>
            <w:tcBorders>
              <w:top w:val="single" w:sz="8" w:color="auto"/>
            </w:tcBorders>
            <w:gridSpan w:val="4"/>
          </w:tcPr>
          <w:p>
            <w:pPr>
              <w:jc w:val="right"/>
              <w:ind w:right="1359"/>
              <w:spacing w:after="0"/>
              <w:rPr>
                <w:sz w:val="20"/>
                <w:szCs w:val="20"/>
                <w:color w:val="auto"/>
              </w:rPr>
            </w:pPr>
            <w:r>
              <w:rPr>
                <w:rFonts w:ascii="Arial" w:cs="Arial" w:eastAsia="Arial" w:hAnsi="Arial"/>
                <w:sz w:val="16"/>
                <w:szCs w:val="16"/>
                <w:color w:val="auto"/>
              </w:rPr>
              <w:t>(I.R.S. Employer Identification No.)</w:t>
            </w:r>
          </w:p>
        </w:tc>
      </w:tr>
      <w:tr>
        <w:trPr>
          <w:trHeight w:val="528"/>
        </w:trPr>
        <w:tc>
          <w:tcPr>
            <w:tcW w:w="2540" w:type="dxa"/>
            <w:vAlign w:val="bottom"/>
          </w:tcPr>
          <w:p>
            <w:pPr>
              <w:ind w:left="320"/>
              <w:spacing w:after="0"/>
              <w:rPr>
                <w:sz w:val="20"/>
                <w:szCs w:val="20"/>
                <w:color w:val="auto"/>
              </w:rPr>
            </w:pPr>
            <w:r>
              <w:rPr>
                <w:rFonts w:ascii="Arial" w:cs="Arial" w:eastAsia="Arial" w:hAnsi="Arial"/>
                <w:sz w:val="20"/>
                <w:szCs w:val="20"/>
                <w:b w:val="1"/>
                <w:bCs w:val="1"/>
                <w:color w:val="auto"/>
              </w:rPr>
              <w:t>3901 Midway Place NE</w:t>
            </w:r>
          </w:p>
        </w:tc>
        <w:tc>
          <w:tcPr>
            <w:tcW w:w="2600" w:type="dxa"/>
            <w:vAlign w:val="bottom"/>
            <w:gridSpan w:val="2"/>
          </w:tcPr>
          <w:p>
            <w:pPr>
              <w:ind w:left="760"/>
              <w:spacing w:after="0"/>
              <w:rPr>
                <w:sz w:val="20"/>
                <w:szCs w:val="20"/>
                <w:color w:val="auto"/>
              </w:rPr>
            </w:pPr>
            <w:r>
              <w:rPr>
                <w:rFonts w:ascii="Arial" w:cs="Arial" w:eastAsia="Arial" w:hAnsi="Arial"/>
                <w:sz w:val="20"/>
                <w:szCs w:val="20"/>
                <w:b w:val="1"/>
                <w:bCs w:val="1"/>
                <w:color w:val="auto"/>
              </w:rPr>
              <w:t>Albuquerque</w:t>
            </w:r>
          </w:p>
        </w:tc>
        <w:tc>
          <w:tcPr>
            <w:tcW w:w="1780" w:type="dxa"/>
            <w:vAlign w:val="bottom"/>
          </w:tcPr>
          <w:p>
            <w:pPr>
              <w:ind w:left="580"/>
              <w:spacing w:after="0"/>
              <w:rPr>
                <w:sz w:val="20"/>
                <w:szCs w:val="20"/>
                <w:color w:val="auto"/>
              </w:rPr>
            </w:pPr>
            <w:r>
              <w:rPr>
                <w:rFonts w:ascii="Arial" w:cs="Arial" w:eastAsia="Arial" w:hAnsi="Arial"/>
                <w:sz w:val="20"/>
                <w:szCs w:val="20"/>
                <w:b w:val="1"/>
                <w:bCs w:val="1"/>
                <w:color w:val="auto"/>
              </w:rPr>
              <w:t>New Mexico</w:t>
            </w:r>
          </w:p>
        </w:tc>
        <w:tc>
          <w:tcPr>
            <w:tcW w:w="3580" w:type="dxa"/>
            <w:vAlign w:val="bottom"/>
            <w:gridSpan w:val="3"/>
          </w:tcPr>
          <w:p>
            <w:pPr>
              <w:jc w:val="right"/>
              <w:ind w:right="1139"/>
              <w:spacing w:after="0"/>
              <w:rPr>
                <w:sz w:val="20"/>
                <w:szCs w:val="20"/>
                <w:color w:val="auto"/>
              </w:rPr>
            </w:pPr>
            <w:r>
              <w:rPr>
                <w:rFonts w:ascii="Arial" w:cs="Arial" w:eastAsia="Arial" w:hAnsi="Arial"/>
                <w:sz w:val="20"/>
                <w:szCs w:val="20"/>
                <w:b w:val="1"/>
                <w:bCs w:val="1"/>
                <w:color w:val="auto"/>
              </w:rPr>
              <w:t>87109</w:t>
            </w:r>
          </w:p>
        </w:tc>
      </w:tr>
      <w:tr>
        <w:trPr>
          <w:trHeight w:val="208"/>
        </w:trPr>
        <w:tc>
          <w:tcPr>
            <w:tcW w:w="5140" w:type="dxa"/>
            <w:vAlign w:val="bottom"/>
            <w:tcBorders>
              <w:top w:val="single" w:sz="8" w:color="auto"/>
            </w:tcBorders>
            <w:gridSpan w:val="3"/>
          </w:tcPr>
          <w:p>
            <w:pPr>
              <w:ind w:left="2320"/>
              <w:spacing w:after="0"/>
              <w:rPr>
                <w:sz w:val="20"/>
                <w:szCs w:val="20"/>
                <w:color w:val="auto"/>
              </w:rPr>
            </w:pPr>
            <w:r>
              <w:rPr>
                <w:rFonts w:ascii="Arial" w:cs="Arial" w:eastAsia="Arial" w:hAnsi="Arial"/>
                <w:sz w:val="16"/>
                <w:szCs w:val="16"/>
                <w:color w:val="auto"/>
              </w:rPr>
              <w:t>(Address of principal executive offices)</w:t>
            </w:r>
          </w:p>
        </w:tc>
        <w:tc>
          <w:tcPr>
            <w:tcW w:w="178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98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rPr>
              <w:t>(Zip Code)</w:t>
            </w:r>
          </w:p>
        </w:tc>
      </w:tr>
      <w:tr>
        <w:trPr>
          <w:trHeight w:val="615"/>
        </w:trPr>
        <w:tc>
          <w:tcPr>
            <w:tcW w:w="2540" w:type="dxa"/>
            <w:vAlign w:val="bottom"/>
          </w:tcPr>
          <w:p>
            <w:pPr>
              <w:spacing w:after="0"/>
              <w:rPr>
                <w:sz w:val="24"/>
                <w:szCs w:val="24"/>
                <w:color w:val="auto"/>
              </w:rPr>
            </w:pPr>
          </w:p>
        </w:tc>
        <w:tc>
          <w:tcPr>
            <w:tcW w:w="4380" w:type="dxa"/>
            <w:vAlign w:val="bottom"/>
            <w:gridSpan w:val="3"/>
          </w:tcPr>
          <w:p>
            <w:pPr>
              <w:ind w:left="120"/>
              <w:spacing w:after="0"/>
              <w:rPr>
                <w:sz w:val="20"/>
                <w:szCs w:val="20"/>
                <w:color w:val="auto"/>
              </w:rPr>
            </w:pPr>
            <w:r>
              <w:rPr>
                <w:rFonts w:ascii="Arial" w:cs="Arial" w:eastAsia="Arial" w:hAnsi="Arial"/>
                <w:sz w:val="16"/>
                <w:szCs w:val="16"/>
                <w:color w:val="auto"/>
              </w:rPr>
              <w:t>(Registrant’s telephone number, including area code)</w:t>
            </w:r>
          </w:p>
        </w:tc>
        <w:tc>
          <w:tcPr>
            <w:tcW w:w="3580" w:type="dxa"/>
            <w:vAlign w:val="bottom"/>
            <w:gridSpan w:val="3"/>
          </w:tcPr>
          <w:p>
            <w:pPr>
              <w:jc w:val="right"/>
              <w:ind w:right="2079"/>
              <w:spacing w:after="0"/>
              <w:rPr>
                <w:sz w:val="20"/>
                <w:szCs w:val="20"/>
                <w:color w:val="auto"/>
              </w:rPr>
            </w:pPr>
            <w:r>
              <w:rPr>
                <w:rFonts w:ascii="Arial" w:cs="Arial" w:eastAsia="Arial" w:hAnsi="Arial"/>
                <w:sz w:val="20"/>
                <w:szCs w:val="20"/>
                <w:b w:val="1"/>
                <w:bCs w:val="1"/>
                <w:color w:val="auto"/>
              </w:rPr>
              <w:t>(505) 881-7567</w:t>
            </w:r>
          </w:p>
        </w:tc>
      </w:tr>
    </w:tbl>
    <w:p>
      <w:pPr>
        <w:spacing w:after="0" w:line="307"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 xml:space="preserve">(Former name, former address and former fiscal year, if changed since last report) </w:t>
      </w:r>
      <w:r>
        <w:rPr>
          <w:rFonts w:ascii="Arial" w:cs="Arial" w:eastAsia="Arial" w:hAnsi="Arial"/>
          <w:sz w:val="19"/>
          <w:szCs w:val="19"/>
          <w:b w:val="1"/>
          <w:bCs w:val="1"/>
          <w:color w:val="auto"/>
        </w:rPr>
        <w:t>N/A</w:t>
      </w:r>
    </w:p>
    <w:p>
      <w:pPr>
        <w:spacing w:after="0" w:line="264" w:lineRule="exact"/>
        <w:rPr>
          <w:sz w:val="24"/>
          <w:szCs w:val="24"/>
          <w:color w:val="auto"/>
        </w:rPr>
      </w:pPr>
    </w:p>
    <w:tbl>
      <w:tblPr>
        <w:tblLayout w:type="fixed"/>
        <w:tblInd w:w="0" w:type="dxa"/>
        <w:tblCellMar>
          <w:top w:w="0" w:type="dxa"/>
          <w:left w:w="0" w:type="dxa"/>
          <w:bottom w:w="0" w:type="dxa"/>
          <w:right w:w="0" w:type="dxa"/>
        </w:tblCellMar>
      </w:tblPr>
      <w:tr>
        <w:trPr>
          <w:trHeight w:val="215"/>
        </w:trPr>
        <w:tc>
          <w:tcPr>
            <w:tcW w:w="3480" w:type="dxa"/>
            <w:vAlign w:val="bottom"/>
          </w:tcPr>
          <w:p>
            <w:pPr>
              <w:spacing w:after="0"/>
              <w:rPr>
                <w:sz w:val="18"/>
                <w:szCs w:val="18"/>
                <w:color w:val="auto"/>
              </w:rPr>
            </w:pPr>
          </w:p>
        </w:tc>
        <w:tc>
          <w:tcPr>
            <w:tcW w:w="7760" w:type="dxa"/>
            <w:vAlign w:val="bottom"/>
            <w:gridSpan w:val="5"/>
          </w:tcPr>
          <w:p>
            <w:pPr>
              <w:ind w:left="80"/>
              <w:spacing w:after="0"/>
              <w:rPr>
                <w:sz w:val="20"/>
                <w:szCs w:val="20"/>
                <w:color w:val="auto"/>
              </w:rPr>
            </w:pPr>
            <w:r>
              <w:rPr>
                <w:rFonts w:ascii="Arial" w:cs="Arial" w:eastAsia="Arial" w:hAnsi="Arial"/>
                <w:sz w:val="16"/>
                <w:szCs w:val="16"/>
                <w:color w:val="auto"/>
              </w:rPr>
              <w:t>Securities registered pursuant to Section 12(b) of the Act:</w:t>
            </w:r>
          </w:p>
        </w:tc>
      </w:tr>
      <w:tr>
        <w:trPr>
          <w:trHeight w:val="244"/>
        </w:trPr>
        <w:tc>
          <w:tcPr>
            <w:tcW w:w="3480" w:type="dxa"/>
            <w:vAlign w:val="bottom"/>
          </w:tcPr>
          <w:p>
            <w:pPr>
              <w:jc w:val="center"/>
              <w:ind w:left="130"/>
              <w:spacing w:after="0"/>
              <w:rPr>
                <w:sz w:val="20"/>
                <w:szCs w:val="20"/>
                <w:color w:val="auto"/>
              </w:rPr>
            </w:pPr>
            <w:r>
              <w:rPr>
                <w:rFonts w:ascii="Arial" w:cs="Arial" w:eastAsia="Arial" w:hAnsi="Arial"/>
                <w:sz w:val="16"/>
                <w:szCs w:val="16"/>
                <w:color w:val="auto"/>
              </w:rPr>
              <w:t>Title of each class</w:t>
            </w:r>
          </w:p>
        </w:tc>
        <w:tc>
          <w:tcPr>
            <w:tcW w:w="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20" w:type="dxa"/>
            <w:vAlign w:val="bottom"/>
            <w:gridSpan w:val="2"/>
          </w:tcPr>
          <w:p>
            <w:pPr>
              <w:jc w:val="center"/>
              <w:ind w:right="80"/>
              <w:spacing w:after="0"/>
              <w:rPr>
                <w:sz w:val="20"/>
                <w:szCs w:val="20"/>
                <w:color w:val="auto"/>
              </w:rPr>
            </w:pPr>
            <w:r>
              <w:rPr>
                <w:rFonts w:ascii="Arial" w:cs="Arial" w:eastAsia="Arial" w:hAnsi="Arial"/>
                <w:sz w:val="16"/>
                <w:szCs w:val="16"/>
                <w:color w:val="auto"/>
                <w:w w:val="99"/>
              </w:rPr>
              <w:t>Trading Symbol(s)</w:t>
            </w:r>
          </w:p>
        </w:tc>
        <w:tc>
          <w:tcPr>
            <w:tcW w:w="5040" w:type="dxa"/>
            <w:vAlign w:val="bottom"/>
          </w:tcPr>
          <w:p>
            <w:pPr>
              <w:jc w:val="center"/>
              <w:spacing w:after="0"/>
              <w:rPr>
                <w:sz w:val="20"/>
                <w:szCs w:val="20"/>
                <w:color w:val="auto"/>
              </w:rPr>
            </w:pPr>
            <w:r>
              <w:rPr>
                <w:rFonts w:ascii="Arial" w:cs="Arial" w:eastAsia="Arial" w:hAnsi="Arial"/>
                <w:sz w:val="16"/>
                <w:szCs w:val="16"/>
                <w:color w:val="auto"/>
              </w:rPr>
              <w:t>Name of each exchange on which registered</w:t>
            </w:r>
          </w:p>
        </w:tc>
      </w:tr>
      <w:tr>
        <w:trPr>
          <w:trHeight w:val="268"/>
        </w:trPr>
        <w:tc>
          <w:tcPr>
            <w:tcW w:w="3480" w:type="dxa"/>
            <w:vAlign w:val="bottom"/>
            <w:tcBorders>
              <w:top w:val="single" w:sz="8" w:color="auto"/>
            </w:tcBorders>
          </w:tcPr>
          <w:p>
            <w:pPr>
              <w:jc w:val="center"/>
              <w:ind w:left="130"/>
              <w:spacing w:after="0"/>
              <w:rPr>
                <w:sz w:val="20"/>
                <w:szCs w:val="20"/>
                <w:color w:val="auto"/>
              </w:rPr>
            </w:pPr>
            <w:r>
              <w:rPr>
                <w:rFonts w:ascii="Arial" w:cs="Arial" w:eastAsia="Arial" w:hAnsi="Arial"/>
                <w:sz w:val="20"/>
                <w:szCs w:val="20"/>
                <w:b w:val="1"/>
                <w:bCs w:val="1"/>
                <w:color w:val="auto"/>
                <w:w w:val="98"/>
              </w:rPr>
              <w:t>Common stock, $0.001 par value</w:t>
            </w:r>
          </w:p>
        </w:tc>
        <w:tc>
          <w:tcPr>
            <w:tcW w:w="220" w:type="dxa"/>
            <w:vAlign w:val="bottom"/>
            <w:tcBorders>
              <w:top w:val="single" w:sz="8" w:color="auto"/>
            </w:tcBorders>
          </w:tcPr>
          <w:p>
            <w:pPr>
              <w:spacing w:after="0"/>
              <w:rPr>
                <w:sz w:val="23"/>
                <w:szCs w:val="23"/>
                <w:color w:val="auto"/>
              </w:rPr>
            </w:pPr>
          </w:p>
        </w:tc>
        <w:tc>
          <w:tcPr>
            <w:tcW w:w="80" w:type="dxa"/>
            <w:vAlign w:val="bottom"/>
          </w:tcPr>
          <w:p>
            <w:pPr>
              <w:spacing w:after="0"/>
              <w:rPr>
                <w:sz w:val="23"/>
                <w:szCs w:val="23"/>
                <w:color w:val="auto"/>
              </w:rPr>
            </w:pPr>
          </w:p>
        </w:tc>
        <w:tc>
          <w:tcPr>
            <w:tcW w:w="2340" w:type="dxa"/>
            <w:vAlign w:val="bottom"/>
            <w:tcBorders>
              <w:top w:val="single" w:sz="8" w:color="auto"/>
            </w:tcBorders>
          </w:tcPr>
          <w:p>
            <w:pPr>
              <w:jc w:val="center"/>
              <w:spacing w:after="0"/>
              <w:rPr>
                <w:sz w:val="20"/>
                <w:szCs w:val="20"/>
                <w:color w:val="auto"/>
              </w:rPr>
            </w:pPr>
            <w:r>
              <w:rPr>
                <w:rFonts w:ascii="Arial" w:cs="Arial" w:eastAsia="Arial" w:hAnsi="Arial"/>
                <w:sz w:val="20"/>
                <w:szCs w:val="20"/>
                <w:b w:val="1"/>
                <w:bCs w:val="1"/>
                <w:color w:val="auto"/>
                <w:w w:val="95"/>
              </w:rPr>
              <w:t>ARRY</w:t>
            </w:r>
          </w:p>
        </w:tc>
        <w:tc>
          <w:tcPr>
            <w:tcW w:w="80" w:type="dxa"/>
            <w:vAlign w:val="bottom"/>
          </w:tcPr>
          <w:p>
            <w:pPr>
              <w:spacing w:after="0"/>
              <w:rPr>
                <w:sz w:val="23"/>
                <w:szCs w:val="23"/>
                <w:color w:val="auto"/>
              </w:rPr>
            </w:pPr>
          </w:p>
        </w:tc>
        <w:tc>
          <w:tcPr>
            <w:tcW w:w="5040" w:type="dxa"/>
            <w:vAlign w:val="bottom"/>
            <w:tcBorders>
              <w:top w:val="single" w:sz="8" w:color="auto"/>
            </w:tcBorders>
          </w:tcPr>
          <w:p>
            <w:pPr>
              <w:jc w:val="center"/>
              <w:spacing w:after="0"/>
              <w:rPr>
                <w:sz w:val="20"/>
                <w:szCs w:val="20"/>
                <w:color w:val="auto"/>
              </w:rPr>
            </w:pPr>
            <w:r>
              <w:rPr>
                <w:rFonts w:ascii="Arial" w:cs="Arial" w:eastAsia="Arial" w:hAnsi="Arial"/>
                <w:sz w:val="20"/>
                <w:szCs w:val="20"/>
                <w:b w:val="1"/>
                <w:bCs w:val="1"/>
                <w:color w:val="auto"/>
                <w:w w:val="98"/>
              </w:rPr>
              <w:t>Nasdaq Global Market</w:t>
            </w:r>
          </w:p>
        </w:tc>
      </w:tr>
    </w:tbl>
    <w:p>
      <w:pPr>
        <w:spacing w:after="0" w:line="307" w:lineRule="exact"/>
        <w:rPr>
          <w:sz w:val="24"/>
          <w:szCs w:val="24"/>
          <w:color w:val="auto"/>
        </w:rPr>
      </w:pPr>
    </w:p>
    <w:p>
      <w:pPr>
        <w:ind w:right="460"/>
        <w:spacing w:after="0" w:line="254" w:lineRule="auto"/>
        <w:rPr>
          <w:sz w:val="20"/>
          <w:szCs w:val="20"/>
          <w:color w:val="auto"/>
        </w:rPr>
      </w:pPr>
      <w:r>
        <w:rPr>
          <w:rFonts w:ascii="Arial" w:cs="Arial" w:eastAsia="Arial" w:hAnsi="Arial"/>
          <w:sz w:val="16"/>
          <w:szCs w:val="16"/>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w:t>
      </w:r>
    </w:p>
    <w:p>
      <w:pPr>
        <w:spacing w:after="0" w:line="1" w:lineRule="exact"/>
        <w:rPr>
          <w:sz w:val="24"/>
          <w:szCs w:val="24"/>
          <w:color w:val="auto"/>
        </w:rPr>
      </w:pPr>
    </w:p>
    <w:p>
      <w:pPr>
        <w:spacing w:after="0" w:line="184" w:lineRule="exact"/>
        <w:tabs>
          <w:tab w:leader="none" w:pos="3400" w:val="left"/>
        </w:tabs>
        <w:rPr>
          <w:sz w:val="20"/>
          <w:szCs w:val="20"/>
          <w:color w:val="auto"/>
        </w:rPr>
      </w:pPr>
      <w:r>
        <w:rPr>
          <w:rFonts w:ascii="Arial" w:cs="Arial" w:eastAsia="Arial" w:hAnsi="Arial"/>
          <w:sz w:val="16"/>
          <w:szCs w:val="16"/>
          <w:color w:val="auto"/>
        </w:rPr>
        <w:t>requirements for the past 90 days.</w:t>
      </w:r>
      <w:r>
        <w:rPr>
          <w:sz w:val="20"/>
          <w:szCs w:val="20"/>
          <w:color w:val="auto"/>
        </w:rPr>
        <w:tab/>
      </w:r>
      <w:r>
        <w:rPr>
          <w:rFonts w:ascii="MS PGothic" w:cs="MS PGothic" w:eastAsia="MS PGothic" w:hAnsi="MS PGothic"/>
          <w:sz w:val="15"/>
          <w:szCs w:val="15"/>
          <w:color w:val="auto"/>
        </w:rPr>
        <w:t xml:space="preserve">☒ </w:t>
      </w:r>
      <w:r>
        <w:rPr>
          <w:rFonts w:ascii="Arial" w:cs="Arial" w:eastAsia="Arial" w:hAnsi="Arial"/>
          <w:sz w:val="15"/>
          <w:szCs w:val="15"/>
          <w:color w:val="auto"/>
        </w:rPr>
        <w:t>Yes</w:t>
      </w:r>
      <w:r>
        <w:rPr>
          <w:rFonts w:ascii="MS PGothic" w:cs="MS PGothic" w:eastAsia="MS PGothic" w:hAnsi="MS PGothic"/>
          <w:sz w:val="15"/>
          <w:szCs w:val="15"/>
          <w:color w:val="auto"/>
        </w:rPr>
        <w:t xml:space="preserve"> ☐ </w:t>
      </w:r>
      <w:r>
        <w:rPr>
          <w:rFonts w:ascii="Arial" w:cs="Arial" w:eastAsia="Arial" w:hAnsi="Arial"/>
          <w:sz w:val="15"/>
          <w:szCs w:val="15"/>
          <w:color w:val="auto"/>
        </w:rPr>
        <w:t>No</w:t>
      </w:r>
    </w:p>
    <w:p>
      <w:pPr>
        <w:spacing w:after="0" w:line="249" w:lineRule="exact"/>
        <w:rPr>
          <w:sz w:val="24"/>
          <w:szCs w:val="24"/>
          <w:color w:val="auto"/>
        </w:rPr>
      </w:pPr>
    </w:p>
    <w:p>
      <w:pPr>
        <w:ind w:right="220"/>
        <w:spacing w:after="0" w:line="254" w:lineRule="auto"/>
        <w:rPr>
          <w:sz w:val="20"/>
          <w:szCs w:val="20"/>
          <w:color w:val="auto"/>
        </w:rPr>
      </w:pPr>
      <w:r>
        <w:rPr>
          <w:rFonts w:ascii="Arial" w:cs="Arial" w:eastAsia="Arial" w:hAnsi="Arial"/>
          <w:sz w:val="16"/>
          <w:szCs w:val="16"/>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spacing w:after="0" w:line="1" w:lineRule="exact"/>
        <w:rPr>
          <w:sz w:val="24"/>
          <w:szCs w:val="24"/>
          <w:color w:val="auto"/>
        </w:rPr>
      </w:pPr>
    </w:p>
    <w:p>
      <w:pPr>
        <w:ind w:left="2000" w:hanging="192"/>
        <w:spacing w:after="0" w:line="184" w:lineRule="exact"/>
        <w:tabs>
          <w:tab w:leader="none" w:pos="2000" w:val="left"/>
        </w:tabs>
        <w:numPr>
          <w:ilvl w:val="0"/>
          <w:numId w:val="3"/>
        </w:numPr>
        <w:rPr>
          <w:rFonts w:ascii="MS PGothic" w:cs="MS PGothic" w:eastAsia="MS PGothic" w:hAnsi="MS PGothic"/>
          <w:sz w:val="16"/>
          <w:szCs w:val="16"/>
          <w:color w:val="auto"/>
        </w:rPr>
      </w:pPr>
      <w:r>
        <w:rPr>
          <w:rFonts w:ascii="Arial" w:cs="Arial" w:eastAsia="Arial" w:hAnsi="Arial"/>
          <w:sz w:val="16"/>
          <w:szCs w:val="16"/>
          <w:color w:val="auto"/>
        </w:rPr>
        <w:t xml:space="preserve">Yes </w:t>
      </w:r>
      <w:r>
        <w:rPr>
          <w:rFonts w:ascii="MS PGothic" w:cs="MS PGothic" w:eastAsia="MS PGothic" w:hAnsi="MS PGothic"/>
          <w:sz w:val="16"/>
          <w:szCs w:val="16"/>
          <w:color w:val="auto"/>
        </w:rPr>
        <w:t>☐</w:t>
      </w:r>
      <w:r>
        <w:rPr>
          <w:rFonts w:ascii="Arial" w:cs="Arial" w:eastAsia="Arial" w:hAnsi="Arial"/>
          <w:sz w:val="16"/>
          <w:szCs w:val="16"/>
          <w:color w:val="auto"/>
        </w:rPr>
        <w:t xml:space="preserve"> No</w:t>
      </w:r>
    </w:p>
    <w:p>
      <w:pPr>
        <w:spacing w:after="0" w:line="22" w:lineRule="exact"/>
        <w:rPr>
          <w:sz w:val="24"/>
          <w:szCs w:val="24"/>
          <w:color w:val="auto"/>
        </w:rPr>
      </w:pPr>
    </w:p>
    <w:p>
      <w:pPr>
        <w:ind w:right="20"/>
        <w:spacing w:after="0" w:line="264"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205"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2780" w:type="dxa"/>
            <w:vAlign w:val="bottom"/>
          </w:tcPr>
          <w:p>
            <w:pPr>
              <w:ind w:left="900"/>
              <w:spacing w:after="0"/>
              <w:rPr>
                <w:sz w:val="20"/>
                <w:szCs w:val="20"/>
                <w:color w:val="auto"/>
              </w:rPr>
            </w:pPr>
            <w:r>
              <w:rPr>
                <w:rFonts w:ascii="Arial" w:cs="Arial" w:eastAsia="Arial" w:hAnsi="Arial"/>
                <w:sz w:val="16"/>
                <w:szCs w:val="16"/>
                <w:color w:val="auto"/>
              </w:rPr>
              <w:t>Large accelerated filer</w:t>
            </w:r>
          </w:p>
        </w:tc>
        <w:tc>
          <w:tcPr>
            <w:tcW w:w="1120" w:type="dxa"/>
            <w:vAlign w:val="bottom"/>
          </w:tcPr>
          <w:p>
            <w:pPr>
              <w:ind w:left="280"/>
              <w:spacing w:after="0" w:line="161" w:lineRule="exact"/>
              <w:rPr>
                <w:sz w:val="20"/>
                <w:szCs w:val="20"/>
                <w:color w:val="auto"/>
              </w:rPr>
            </w:pPr>
            <w:r>
              <w:rPr>
                <w:rFonts w:ascii="MS PGothic" w:cs="MS PGothic" w:eastAsia="MS PGothic" w:hAnsi="MS PGothic"/>
                <w:sz w:val="16"/>
                <w:szCs w:val="16"/>
                <w:color w:val="auto"/>
              </w:rPr>
              <w:t>☒</w:t>
            </w:r>
          </w:p>
        </w:tc>
        <w:tc>
          <w:tcPr>
            <w:tcW w:w="2940" w:type="dxa"/>
            <w:vAlign w:val="bottom"/>
          </w:tcPr>
          <w:p>
            <w:pPr>
              <w:ind w:left="700"/>
              <w:spacing w:after="0"/>
              <w:rPr>
                <w:sz w:val="20"/>
                <w:szCs w:val="20"/>
                <w:color w:val="auto"/>
              </w:rPr>
            </w:pPr>
            <w:r>
              <w:rPr>
                <w:rFonts w:ascii="Arial" w:cs="Arial" w:eastAsia="Arial" w:hAnsi="Arial"/>
                <w:sz w:val="16"/>
                <w:szCs w:val="16"/>
                <w:color w:val="auto"/>
              </w:rPr>
              <w:t>Accelerated filer</w:t>
            </w:r>
          </w:p>
        </w:tc>
        <w:tc>
          <w:tcPr>
            <w:tcW w:w="4400" w:type="dxa"/>
            <w:vAlign w:val="bottom"/>
          </w:tcPr>
          <w:p>
            <w:pPr>
              <w:ind w:left="320"/>
              <w:spacing w:after="0" w:line="161" w:lineRule="exact"/>
              <w:rPr>
                <w:sz w:val="20"/>
                <w:szCs w:val="20"/>
                <w:color w:val="auto"/>
              </w:rPr>
            </w:pPr>
            <w:r>
              <w:rPr>
                <w:rFonts w:ascii="MS PGothic" w:cs="MS PGothic" w:eastAsia="MS PGothic" w:hAnsi="MS PGothic"/>
                <w:sz w:val="16"/>
                <w:szCs w:val="16"/>
                <w:color w:val="auto"/>
              </w:rPr>
              <w:t>☐</w:t>
            </w:r>
          </w:p>
        </w:tc>
      </w:tr>
      <w:tr>
        <w:trPr>
          <w:trHeight w:val="216"/>
        </w:trPr>
        <w:tc>
          <w:tcPr>
            <w:tcW w:w="2780" w:type="dxa"/>
            <w:vAlign w:val="bottom"/>
          </w:tcPr>
          <w:p>
            <w:pPr>
              <w:ind w:left="900"/>
              <w:spacing w:after="0"/>
              <w:rPr>
                <w:sz w:val="20"/>
                <w:szCs w:val="20"/>
                <w:color w:val="auto"/>
              </w:rPr>
            </w:pPr>
            <w:r>
              <w:rPr>
                <w:rFonts w:ascii="Arial" w:cs="Arial" w:eastAsia="Arial" w:hAnsi="Arial"/>
                <w:sz w:val="16"/>
                <w:szCs w:val="16"/>
                <w:color w:val="auto"/>
              </w:rPr>
              <w:t>Non-accelerated filer</w:t>
            </w:r>
          </w:p>
        </w:tc>
        <w:tc>
          <w:tcPr>
            <w:tcW w:w="1120" w:type="dxa"/>
            <w:vAlign w:val="bottom"/>
          </w:tcPr>
          <w:p>
            <w:pPr>
              <w:ind w:left="280"/>
              <w:spacing w:after="0" w:line="161" w:lineRule="exact"/>
              <w:rPr>
                <w:sz w:val="20"/>
                <w:szCs w:val="20"/>
                <w:color w:val="auto"/>
              </w:rPr>
            </w:pPr>
            <w:r>
              <w:rPr>
                <w:rFonts w:ascii="MS PGothic" w:cs="MS PGothic" w:eastAsia="MS PGothic" w:hAnsi="MS PGothic"/>
                <w:sz w:val="16"/>
                <w:szCs w:val="16"/>
                <w:color w:val="auto"/>
              </w:rPr>
              <w:t>☐</w:t>
            </w:r>
          </w:p>
        </w:tc>
        <w:tc>
          <w:tcPr>
            <w:tcW w:w="2940" w:type="dxa"/>
            <w:vAlign w:val="bottom"/>
          </w:tcPr>
          <w:p>
            <w:pPr>
              <w:ind w:left="700"/>
              <w:spacing w:after="0"/>
              <w:rPr>
                <w:sz w:val="20"/>
                <w:szCs w:val="20"/>
                <w:color w:val="auto"/>
              </w:rPr>
            </w:pPr>
            <w:r>
              <w:rPr>
                <w:rFonts w:ascii="Arial" w:cs="Arial" w:eastAsia="Arial" w:hAnsi="Arial"/>
                <w:sz w:val="16"/>
                <w:szCs w:val="16"/>
                <w:color w:val="auto"/>
              </w:rPr>
              <w:t>Smaller reporting company</w:t>
            </w:r>
          </w:p>
        </w:tc>
        <w:tc>
          <w:tcPr>
            <w:tcW w:w="4400" w:type="dxa"/>
            <w:vAlign w:val="bottom"/>
          </w:tcPr>
          <w:p>
            <w:pPr>
              <w:ind w:left="320"/>
              <w:spacing w:after="0" w:line="161" w:lineRule="exact"/>
              <w:rPr>
                <w:sz w:val="20"/>
                <w:szCs w:val="20"/>
                <w:color w:val="auto"/>
              </w:rPr>
            </w:pPr>
            <w:r>
              <w:rPr>
                <w:rFonts w:ascii="MS PGothic" w:cs="MS PGothic" w:eastAsia="MS PGothic" w:hAnsi="MS PGothic"/>
                <w:sz w:val="16"/>
                <w:szCs w:val="16"/>
                <w:color w:val="auto"/>
              </w:rPr>
              <w:t>☐</w:t>
            </w:r>
          </w:p>
        </w:tc>
      </w:tr>
      <w:tr>
        <w:trPr>
          <w:trHeight w:val="272"/>
        </w:trPr>
        <w:tc>
          <w:tcPr>
            <w:tcW w:w="278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2940" w:type="dxa"/>
            <w:vAlign w:val="bottom"/>
          </w:tcPr>
          <w:p>
            <w:pPr>
              <w:ind w:left="700"/>
              <w:spacing w:after="0"/>
              <w:rPr>
                <w:sz w:val="20"/>
                <w:szCs w:val="20"/>
                <w:color w:val="auto"/>
              </w:rPr>
            </w:pPr>
            <w:r>
              <w:rPr>
                <w:rFonts w:ascii="Arial" w:cs="Arial" w:eastAsia="Arial" w:hAnsi="Arial"/>
                <w:sz w:val="16"/>
                <w:szCs w:val="16"/>
                <w:color w:val="auto"/>
              </w:rPr>
              <w:t>Emerging growth company</w:t>
            </w:r>
          </w:p>
        </w:tc>
        <w:tc>
          <w:tcPr>
            <w:tcW w:w="4400" w:type="dxa"/>
            <w:vAlign w:val="bottom"/>
          </w:tcPr>
          <w:p>
            <w:pPr>
              <w:ind w:left="320"/>
              <w:spacing w:after="0" w:line="161" w:lineRule="exact"/>
              <w:rPr>
                <w:sz w:val="20"/>
                <w:szCs w:val="20"/>
                <w:color w:val="auto"/>
              </w:rPr>
            </w:pPr>
            <w:r>
              <w:rPr>
                <w:rFonts w:ascii="MS PGothic" w:cs="MS PGothic" w:eastAsia="MS PGothic" w:hAnsi="MS PGothic"/>
                <w:sz w:val="16"/>
                <w:szCs w:val="16"/>
                <w:color w:val="auto"/>
              </w:rPr>
              <w:t>☐</w:t>
            </w:r>
          </w:p>
        </w:tc>
      </w:tr>
      <w:tr>
        <w:trPr>
          <w:trHeight w:val="838"/>
        </w:trPr>
        <w:tc>
          <w:tcPr>
            <w:tcW w:w="278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2940" w:type="dxa"/>
            <w:vAlign w:val="bottom"/>
            <w:tcBorders>
              <w:bottom w:val="single" w:sz="8" w:color="9A9A9A"/>
            </w:tcBorders>
          </w:tcPr>
          <w:p>
            <w:pPr>
              <w:spacing w:after="0"/>
              <w:rPr>
                <w:sz w:val="24"/>
                <w:szCs w:val="24"/>
                <w:color w:val="auto"/>
              </w:rPr>
            </w:pPr>
          </w:p>
        </w:tc>
        <w:tc>
          <w:tcPr>
            <w:tcW w:w="4400" w:type="dxa"/>
            <w:vAlign w:val="bottom"/>
            <w:tcBorders>
              <w:bottom w:val="single" w:sz="8" w:color="9A9A9A"/>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24" w:right="339" w:bottom="1440" w:gutter="0" w:footer="0" w:header="0"/>
        </w:sectPr>
      </w:pPr>
    </w:p>
    <w:bookmarkStart w:id="1" w:name="page2"/>
    <w:bookmarkEnd w:id="1"/>
    <w:p>
      <w:pPr>
        <w:spacing w:after="0" w:line="213"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174" w:lineRule="exact"/>
        <w:rPr>
          <w:sz w:val="20"/>
          <w:szCs w:val="20"/>
          <w:color w:val="auto"/>
        </w:rPr>
      </w:pPr>
    </w:p>
    <w:p>
      <w:pPr>
        <w:spacing w:after="0" w:line="184" w:lineRule="exact"/>
        <w:tabs>
          <w:tab w:leader="none" w:pos="8300" w:val="left"/>
        </w:tabs>
        <w:rPr>
          <w:sz w:val="20"/>
          <w:szCs w:val="20"/>
          <w:color w:val="auto"/>
        </w:rPr>
      </w:pPr>
      <w:r>
        <w:rPr>
          <w:rFonts w:ascii="Arial" w:cs="Arial" w:eastAsia="Arial" w:hAnsi="Arial"/>
          <w:sz w:val="16"/>
          <w:szCs w:val="16"/>
          <w:color w:val="auto"/>
        </w:rPr>
        <w:t>Indicate by check mark whether the registrant is a shell company (as defined in Rule 12b-2 of the Exchange Act).</w:t>
      </w:r>
      <w:r>
        <w:rPr>
          <w:sz w:val="20"/>
          <w:szCs w:val="20"/>
          <w:color w:val="auto"/>
        </w:rPr>
        <w:tab/>
      </w:r>
      <w:r>
        <w:rPr>
          <w:rFonts w:ascii="MS PGothic" w:cs="MS PGothic" w:eastAsia="MS PGothic" w:hAnsi="MS PGothic"/>
          <w:sz w:val="15"/>
          <w:szCs w:val="15"/>
          <w:color w:val="auto"/>
        </w:rPr>
        <w:t xml:space="preserve">☐ </w:t>
      </w:r>
      <w:r>
        <w:rPr>
          <w:rFonts w:ascii="Arial" w:cs="Arial" w:eastAsia="Arial" w:hAnsi="Arial"/>
          <w:sz w:val="15"/>
          <w:szCs w:val="15"/>
          <w:color w:val="auto"/>
        </w:rPr>
        <w:t>Yes</w:t>
      </w:r>
      <w:r>
        <w:rPr>
          <w:rFonts w:ascii="MS PGothic" w:cs="MS PGothic" w:eastAsia="MS PGothic" w:hAnsi="MS PGothic"/>
          <w:sz w:val="15"/>
          <w:szCs w:val="15"/>
          <w:color w:val="auto"/>
        </w:rPr>
        <w:t xml:space="preserve"> ☒ </w:t>
      </w:r>
      <w:r>
        <w:rPr>
          <w:rFonts w:ascii="Arial" w:cs="Arial" w:eastAsia="Arial" w:hAnsi="Arial"/>
          <w:sz w:val="15"/>
          <w:szCs w:val="15"/>
          <w:color w:val="auto"/>
        </w:rPr>
        <w:t>No</w:t>
      </w:r>
    </w:p>
    <w:p>
      <w:pPr>
        <w:spacing w:after="0" w:line="324" w:lineRule="exact"/>
        <w:rPr>
          <w:sz w:val="20"/>
          <w:szCs w:val="20"/>
          <w:color w:val="auto"/>
        </w:rPr>
      </w:pPr>
    </w:p>
    <w:p>
      <w:pPr>
        <w:spacing w:after="0"/>
        <w:rPr>
          <w:sz w:val="20"/>
          <w:szCs w:val="20"/>
          <w:color w:val="auto"/>
        </w:rPr>
      </w:pPr>
      <w:r>
        <w:rPr>
          <w:rFonts w:ascii="Arial" w:cs="Arial" w:eastAsia="Arial" w:hAnsi="Arial"/>
          <w:sz w:val="16"/>
          <w:szCs w:val="16"/>
          <w:color w:val="auto"/>
        </w:rPr>
        <w:t>Indicate the number of shares outstanding of each of the issuer’s classes of common stock, as of the latest practicable date:</w:t>
      </w:r>
    </w:p>
    <w:p>
      <w:pPr>
        <w:spacing w:after="0" w:line="100" w:lineRule="exact"/>
        <w:rPr>
          <w:sz w:val="20"/>
          <w:szCs w:val="20"/>
          <w:color w:val="auto"/>
        </w:rPr>
      </w:pPr>
    </w:p>
    <w:p>
      <w:pPr>
        <w:spacing w:after="0"/>
        <w:rPr>
          <w:sz w:val="20"/>
          <w:szCs w:val="20"/>
          <w:color w:val="auto"/>
        </w:rPr>
      </w:pPr>
      <w:r>
        <w:rPr>
          <w:rFonts w:ascii="Arial" w:cs="Arial" w:eastAsia="Arial" w:hAnsi="Arial"/>
          <w:sz w:val="16"/>
          <w:szCs w:val="16"/>
          <w:color w:val="auto"/>
        </w:rPr>
        <w:t>As of November 3, 2025, there were 152,747,767 shares of common stock, par value $0.001 per share, issued and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513715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773" w:right="479" w:bottom="1440" w:gutter="0" w:footer="0" w:header="0"/>
        </w:sectPr>
      </w:pPr>
    </w:p>
    <w:bookmarkStart w:id="2" w:name="page3"/>
    <w:bookmarkEnd w:id="2"/>
    <w:p>
      <w:pPr>
        <w:jc w:val="center"/>
        <w:spacing w:after="0"/>
        <w:rPr>
          <w:sz w:val="20"/>
          <w:szCs w:val="20"/>
          <w:color w:val="auto"/>
        </w:rPr>
      </w:pPr>
      <w:r>
        <w:rPr>
          <w:rFonts w:ascii="Arial" w:cs="Arial" w:eastAsia="Arial" w:hAnsi="Arial"/>
          <w:sz w:val="20"/>
          <w:szCs w:val="20"/>
          <w:b w:val="1"/>
          <w:bCs w:val="1"/>
          <w:color w:val="auto"/>
        </w:rPr>
        <w:t>Array Technologies, Inc.</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Index to Form 10-Q</w:t>
      </w:r>
    </w:p>
    <w:p>
      <w:pPr>
        <w:spacing w:after="0" w:line="269" w:lineRule="exact"/>
        <w:rPr>
          <w:sz w:val="20"/>
          <w:szCs w:val="20"/>
          <w:color w:val="auto"/>
        </w:rPr>
      </w:pPr>
    </w:p>
    <w:tbl>
      <w:tblPr>
        <w:tblLayout w:type="fixed"/>
        <w:tblInd w:w="12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280" w:type="dxa"/>
            <w:vAlign w:val="bottom"/>
            <w:gridSpan w:val="11"/>
          </w:tcPr>
          <w:p>
            <w:pPr>
              <w:spacing w:after="0"/>
              <w:rPr>
                <w:sz w:val="20"/>
                <w:szCs w:val="20"/>
                <w:color w:val="auto"/>
              </w:rPr>
            </w:pPr>
            <w:r>
              <w:rPr>
                <w:rFonts w:ascii="Arial" w:cs="Arial" w:eastAsia="Arial" w:hAnsi="Arial"/>
                <w:sz w:val="18"/>
                <w:szCs w:val="18"/>
                <w:b w:val="1"/>
                <w:bCs w:val="1"/>
                <w:color w:val="0000FF"/>
              </w:rPr>
              <w:t>PART I - FINANCIAL INFORMATION</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40" w:type="dxa"/>
            <w:vAlign w:val="bottom"/>
            <w:tcBorders>
              <w:top w:val="single" w:sz="8" w:color="0000FF"/>
            </w:tcBorders>
          </w:tcPr>
          <w:p>
            <w:pPr>
              <w:spacing w:after="0"/>
              <w:rPr>
                <w:sz w:val="14"/>
                <w:szCs w:val="14"/>
                <w:color w:val="auto"/>
              </w:rPr>
            </w:pPr>
          </w:p>
        </w:tc>
        <w:tc>
          <w:tcPr>
            <w:tcW w:w="780" w:type="dxa"/>
            <w:vAlign w:val="bottom"/>
            <w:tcBorders>
              <w:top w:val="single" w:sz="8" w:color="0000FF"/>
            </w:tcBorders>
          </w:tcPr>
          <w:p>
            <w:pPr>
              <w:spacing w:after="0"/>
              <w:rPr>
                <w:sz w:val="14"/>
                <w:szCs w:val="14"/>
                <w:color w:val="auto"/>
              </w:rPr>
            </w:pPr>
          </w:p>
        </w:tc>
        <w:tc>
          <w:tcPr>
            <w:tcW w:w="60" w:type="dxa"/>
            <w:vAlign w:val="bottom"/>
            <w:tcBorders>
              <w:top w:val="single" w:sz="8" w:color="0000FF"/>
            </w:tcBorders>
          </w:tcPr>
          <w:p>
            <w:pPr>
              <w:spacing w:after="0"/>
              <w:rPr>
                <w:sz w:val="14"/>
                <w:szCs w:val="14"/>
                <w:color w:val="auto"/>
              </w:rPr>
            </w:pPr>
          </w:p>
        </w:tc>
        <w:tc>
          <w:tcPr>
            <w:tcW w:w="220" w:type="dxa"/>
            <w:vAlign w:val="bottom"/>
            <w:tcBorders>
              <w:top w:val="single" w:sz="8" w:color="0000FF"/>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800" w:type="dxa"/>
            <w:vAlign w:val="bottom"/>
            <w:tcBorders>
              <w:top w:val="single" w:sz="8" w:color="0000FF"/>
            </w:tcBorders>
          </w:tcPr>
          <w:p>
            <w:pPr>
              <w:spacing w:after="0"/>
              <w:rPr>
                <w:sz w:val="14"/>
                <w:szCs w:val="14"/>
                <w:color w:val="auto"/>
              </w:rPr>
            </w:pPr>
          </w:p>
        </w:tc>
        <w:tc>
          <w:tcPr>
            <w:tcW w:w="3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line="189" w:lineRule="exact"/>
              <w:rPr>
                <w:sz w:val="20"/>
                <w:szCs w:val="20"/>
                <w:color w:val="auto"/>
              </w:rPr>
            </w:pPr>
            <w:r>
              <w:rPr>
                <w:rFonts w:ascii="Arial" w:cs="Arial" w:eastAsia="Arial" w:hAnsi="Arial"/>
                <w:sz w:val="18"/>
                <w:szCs w:val="18"/>
                <w:color w:val="0000FF"/>
                <w:w w:val="98"/>
              </w:rPr>
              <w:t>Item 1.</w:t>
            </w:r>
          </w:p>
        </w:tc>
        <w:tc>
          <w:tcPr>
            <w:tcW w:w="900" w:type="dxa"/>
            <w:vAlign w:val="bottom"/>
            <w:shd w:val="clear" w:color="auto" w:fill="CCEEFF"/>
          </w:tcPr>
          <w:p>
            <w:pPr>
              <w:spacing w:after="0"/>
              <w:rPr>
                <w:sz w:val="18"/>
                <w:szCs w:val="18"/>
                <w:color w:val="auto"/>
              </w:rPr>
            </w:pPr>
          </w:p>
        </w:tc>
        <w:tc>
          <w:tcPr>
            <w:tcW w:w="8800" w:type="dxa"/>
            <w:vAlign w:val="bottom"/>
            <w:gridSpan w:val="15"/>
            <w:shd w:val="clear" w:color="auto" w:fill="CCEEFF"/>
          </w:tcPr>
          <w:p>
            <w:pPr>
              <w:spacing w:after="0" w:line="189" w:lineRule="exact"/>
              <w:rPr>
                <w:sz w:val="20"/>
                <w:szCs w:val="20"/>
                <w:color w:val="auto"/>
              </w:rPr>
            </w:pPr>
            <w:r>
              <w:rPr>
                <w:rFonts w:ascii="Arial" w:cs="Arial" w:eastAsia="Arial" w:hAnsi="Arial"/>
                <w:sz w:val="18"/>
                <w:szCs w:val="18"/>
                <w:color w:val="0000FF"/>
              </w:rPr>
              <w:t>Unaudited Condensed Consolidated Financial Statements</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20" w:type="dxa"/>
            <w:vAlign w:val="bottom"/>
            <w:tcBorders>
              <w:top w:val="single" w:sz="8" w:color="CCEEFF"/>
            </w:tcBorders>
          </w:tcPr>
          <w:p>
            <w:pPr>
              <w:spacing w:after="0"/>
              <w:rPr>
                <w:sz w:val="16"/>
                <w:szCs w:val="16"/>
                <w:color w:val="auto"/>
              </w:rPr>
            </w:pPr>
          </w:p>
        </w:tc>
        <w:tc>
          <w:tcPr>
            <w:tcW w:w="560" w:type="dxa"/>
            <w:vAlign w:val="bottom"/>
            <w:tcBorders>
              <w:top w:val="single" w:sz="8" w:color="0000FF"/>
            </w:tcBorders>
          </w:tcPr>
          <w:p>
            <w:pPr>
              <w:spacing w:after="0"/>
              <w:rPr>
                <w:sz w:val="16"/>
                <w:szCs w:val="16"/>
                <w:color w:val="auto"/>
              </w:rPr>
            </w:pPr>
          </w:p>
        </w:tc>
        <w:tc>
          <w:tcPr>
            <w:tcW w:w="900" w:type="dxa"/>
            <w:vAlign w:val="bottom"/>
            <w:tcBorders>
              <w:top w:val="single" w:sz="8" w:color="CCEEFF"/>
            </w:tcBorders>
          </w:tcPr>
          <w:p>
            <w:pPr>
              <w:spacing w:after="0"/>
              <w:rPr>
                <w:sz w:val="16"/>
                <w:szCs w:val="16"/>
                <w:color w:val="auto"/>
              </w:rPr>
            </w:pPr>
          </w:p>
        </w:tc>
        <w:tc>
          <w:tcPr>
            <w:tcW w:w="220" w:type="dxa"/>
            <w:vAlign w:val="bottom"/>
            <w:tcBorders>
              <w:top w:val="single" w:sz="8" w:color="0000FF"/>
            </w:tcBorders>
          </w:tcPr>
          <w:p>
            <w:pPr>
              <w:spacing w:after="0"/>
              <w:rPr>
                <w:sz w:val="16"/>
                <w:szCs w:val="16"/>
                <w:color w:val="auto"/>
              </w:rPr>
            </w:pPr>
          </w:p>
        </w:tc>
        <w:tc>
          <w:tcPr>
            <w:tcW w:w="4400" w:type="dxa"/>
            <w:vAlign w:val="bottom"/>
            <w:tcBorders>
              <w:top w:val="single" w:sz="8" w:color="0000FF"/>
            </w:tcBorders>
            <w:gridSpan w:val="7"/>
          </w:tcPr>
          <w:p>
            <w:pPr>
              <w:spacing w:after="0" w:line="189" w:lineRule="exact"/>
              <w:rPr>
                <w:sz w:val="20"/>
                <w:szCs w:val="20"/>
                <w:color w:val="auto"/>
              </w:rPr>
            </w:pPr>
            <w:r>
              <w:rPr>
                <w:rFonts w:ascii="Arial" w:cs="Arial" w:eastAsia="Arial" w:hAnsi="Arial"/>
                <w:sz w:val="18"/>
                <w:szCs w:val="18"/>
                <w:color w:val="0000FF"/>
              </w:rPr>
              <w:t>Condensed Consolidated Balance Sheets</w:t>
            </w:r>
          </w:p>
        </w:tc>
        <w:tc>
          <w:tcPr>
            <w:tcW w:w="4180" w:type="dxa"/>
            <w:vAlign w:val="bottom"/>
            <w:tcBorders>
              <w:top w:val="single" w:sz="8" w:color="CCEEFF"/>
            </w:tcBorders>
            <w:gridSpan w:val="7"/>
          </w:tcPr>
          <w:p>
            <w:pPr>
              <w:spacing w:after="0"/>
              <w:rPr>
                <w:sz w:val="16"/>
                <w:szCs w:val="16"/>
                <w:color w:val="auto"/>
              </w:rPr>
            </w:pPr>
          </w:p>
        </w:tc>
        <w:tc>
          <w:tcPr>
            <w:tcW w:w="180" w:type="dxa"/>
            <w:vAlign w:val="bottom"/>
            <w:tcBorders>
              <w:top w:val="single" w:sz="8" w:color="CCEEFF"/>
            </w:tcBorders>
            <w:gridSpan w:val="3"/>
          </w:tcPr>
          <w:p>
            <w:pPr>
              <w:jc w:val="center"/>
              <w:spacing w:after="0" w:line="189" w:lineRule="exact"/>
              <w:rPr>
                <w:sz w:val="20"/>
                <w:szCs w:val="20"/>
                <w:color w:val="auto"/>
              </w:rPr>
            </w:pPr>
            <w:r>
              <w:rPr>
                <w:rFonts w:ascii="Arial" w:cs="Arial" w:eastAsia="Arial" w:hAnsi="Arial"/>
                <w:sz w:val="18"/>
                <w:szCs w:val="18"/>
                <w:color w:val="0000FF"/>
                <w:w w:val="99"/>
              </w:rPr>
              <w:t>1</w:t>
            </w:r>
          </w:p>
        </w:tc>
        <w:tc>
          <w:tcPr>
            <w:tcW w:w="20" w:type="dxa"/>
            <w:vAlign w:val="bottom"/>
            <w:tcBorders>
              <w:top w:val="single" w:sz="8" w:color="CCEEFF"/>
            </w:tcBorders>
          </w:tcPr>
          <w:p>
            <w:pPr>
              <w:spacing w:after="0"/>
              <w:rPr>
                <w:sz w:val="16"/>
                <w:szCs w:val="16"/>
                <w:color w:val="auto"/>
              </w:rPr>
            </w:pPr>
          </w:p>
        </w:tc>
        <w:tc>
          <w:tcPr>
            <w:tcW w:w="52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4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520" w:type="dxa"/>
            <w:vAlign w:val="bottom"/>
            <w:tcBorders>
              <w:top w:val="single" w:sz="8" w:color="0000FF"/>
            </w:tcBorders>
          </w:tcPr>
          <w:p>
            <w:pPr>
              <w:spacing w:after="0" w:line="20" w:lineRule="exact"/>
              <w:rPr>
                <w:sz w:val="1"/>
                <w:szCs w:val="1"/>
                <w:color w:val="auto"/>
              </w:rPr>
            </w:pPr>
          </w:p>
        </w:tc>
        <w:tc>
          <w:tcPr>
            <w:tcW w:w="1040" w:type="dxa"/>
            <w:vAlign w:val="bottom"/>
            <w:tcBorders>
              <w:top w:val="single" w:sz="8" w:color="0000FF"/>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4120" w:type="dxa"/>
            <w:vAlign w:val="bottom"/>
            <w:gridSpan w:val="5"/>
            <w:shd w:val="clear" w:color="auto" w:fill="CCEEFF"/>
          </w:tcPr>
          <w:p>
            <w:pPr>
              <w:spacing w:after="0" w:line="189" w:lineRule="exact"/>
              <w:rPr>
                <w:sz w:val="20"/>
                <w:szCs w:val="20"/>
                <w:color w:val="auto"/>
              </w:rPr>
            </w:pPr>
            <w:r>
              <w:rPr>
                <w:rFonts w:ascii="Arial" w:cs="Arial" w:eastAsia="Arial" w:hAnsi="Arial"/>
                <w:sz w:val="18"/>
                <w:szCs w:val="18"/>
                <w:color w:val="0000FF"/>
                <w:w w:val="99"/>
              </w:rPr>
              <w:t>Condensed Consolidated Statements of Operations</w:t>
            </w:r>
          </w:p>
        </w:tc>
        <w:tc>
          <w:tcPr>
            <w:tcW w:w="4460" w:type="dxa"/>
            <w:vAlign w:val="bottom"/>
            <w:gridSpan w:val="9"/>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40" w:type="dxa"/>
            <w:vAlign w:val="bottom"/>
            <w:gridSpan w:val="2"/>
            <w:shd w:val="clear" w:color="auto" w:fill="CCEEFF"/>
          </w:tcPr>
          <w:p>
            <w:pPr>
              <w:jc w:val="center"/>
              <w:ind w:right="40"/>
              <w:spacing w:after="0" w:line="189" w:lineRule="exact"/>
              <w:rPr>
                <w:sz w:val="20"/>
                <w:szCs w:val="20"/>
                <w:color w:val="auto"/>
              </w:rPr>
            </w:pPr>
            <w:r>
              <w:rPr>
                <w:rFonts w:ascii="Arial" w:cs="Arial" w:eastAsia="Arial" w:hAnsi="Arial"/>
                <w:sz w:val="18"/>
                <w:szCs w:val="18"/>
                <w:color w:val="0000FF"/>
                <w:w w:val="99"/>
              </w:rPr>
              <w:t>3</w:t>
            </w:r>
          </w:p>
        </w:tc>
        <w:tc>
          <w:tcPr>
            <w:tcW w:w="2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64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520" w:type="dxa"/>
            <w:vAlign w:val="bottom"/>
            <w:tcBorders>
              <w:top w:val="single" w:sz="8" w:color="0000FF"/>
            </w:tcBorders>
            <w:shd w:val="clear" w:color="auto" w:fill="CCEEFF"/>
          </w:tcPr>
          <w:p>
            <w:pPr>
              <w:spacing w:after="0" w:line="20" w:lineRule="exact"/>
              <w:rPr>
                <w:sz w:val="1"/>
                <w:szCs w:val="1"/>
                <w:color w:val="auto"/>
              </w:rPr>
            </w:pPr>
          </w:p>
        </w:tc>
        <w:tc>
          <w:tcPr>
            <w:tcW w:w="1040" w:type="dxa"/>
            <w:vAlign w:val="bottom"/>
            <w:tcBorders>
              <w:top w:val="single" w:sz="8" w:color="0000FF"/>
            </w:tcBorders>
            <w:shd w:val="clear" w:color="auto" w:fill="CCEEFF"/>
          </w:tcPr>
          <w:p>
            <w:pPr>
              <w:spacing w:after="0" w:line="20" w:lineRule="exact"/>
              <w:rPr>
                <w:sz w:val="1"/>
                <w:szCs w:val="1"/>
                <w:color w:val="auto"/>
              </w:rPr>
            </w:pPr>
          </w:p>
        </w:tc>
        <w:tc>
          <w:tcPr>
            <w:tcW w:w="78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118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580" w:type="dxa"/>
            <w:vAlign w:val="bottom"/>
            <w:gridSpan w:val="14"/>
          </w:tcPr>
          <w:p>
            <w:pPr>
              <w:spacing w:after="0" w:line="189" w:lineRule="exact"/>
              <w:rPr>
                <w:sz w:val="20"/>
                <w:szCs w:val="20"/>
                <w:color w:val="auto"/>
              </w:rPr>
            </w:pPr>
            <w:r>
              <w:rPr>
                <w:rFonts w:ascii="Arial" w:cs="Arial" w:eastAsia="Arial" w:hAnsi="Arial"/>
                <w:sz w:val="18"/>
                <w:szCs w:val="18"/>
                <w:color w:val="0000FF"/>
              </w:rPr>
              <w:t>Condensed Consolidated Statements of Comprehensive Income (Loss)</w:t>
            </w:r>
          </w:p>
        </w:tc>
        <w:tc>
          <w:tcPr>
            <w:tcW w:w="180" w:type="dxa"/>
            <w:vAlign w:val="bottom"/>
            <w:gridSpan w:val="3"/>
          </w:tcPr>
          <w:p>
            <w:pPr>
              <w:jc w:val="center"/>
              <w:spacing w:after="0" w:line="189" w:lineRule="exact"/>
              <w:rPr>
                <w:sz w:val="20"/>
                <w:szCs w:val="20"/>
                <w:color w:val="auto"/>
              </w:rPr>
            </w:pPr>
            <w:r>
              <w:rPr>
                <w:rFonts w:ascii="Arial" w:cs="Arial" w:eastAsia="Arial" w:hAnsi="Arial"/>
                <w:sz w:val="18"/>
                <w:szCs w:val="18"/>
                <w:color w:val="0000FF"/>
                <w:w w:val="99"/>
              </w:rPr>
              <w:t>4</w:t>
            </w:r>
          </w:p>
        </w:tc>
        <w:tc>
          <w:tcPr>
            <w:tcW w:w="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4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520" w:type="dxa"/>
            <w:vAlign w:val="bottom"/>
            <w:tcBorders>
              <w:top w:val="single" w:sz="8" w:color="0000FF"/>
            </w:tcBorders>
          </w:tcPr>
          <w:p>
            <w:pPr>
              <w:spacing w:after="0" w:line="20" w:lineRule="exact"/>
              <w:rPr>
                <w:sz w:val="1"/>
                <w:szCs w:val="1"/>
                <w:color w:val="auto"/>
              </w:rPr>
            </w:pPr>
          </w:p>
        </w:tc>
        <w:tc>
          <w:tcPr>
            <w:tcW w:w="1040" w:type="dxa"/>
            <w:vAlign w:val="bottom"/>
            <w:tcBorders>
              <w:top w:val="single" w:sz="8" w:color="0000FF"/>
            </w:tcBorders>
          </w:tcPr>
          <w:p>
            <w:pPr>
              <w:spacing w:after="0" w:line="20" w:lineRule="exact"/>
              <w:rPr>
                <w:sz w:val="1"/>
                <w:szCs w:val="1"/>
                <w:color w:val="auto"/>
              </w:rPr>
            </w:pPr>
          </w:p>
        </w:tc>
        <w:tc>
          <w:tcPr>
            <w:tcW w:w="78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800" w:type="dxa"/>
            <w:vAlign w:val="bottom"/>
            <w:tcBorders>
              <w:top w:val="single" w:sz="8" w:color="0000FF"/>
            </w:tcBorders>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580" w:type="dxa"/>
            <w:vAlign w:val="bottom"/>
            <w:gridSpan w:val="14"/>
            <w:shd w:val="clear" w:color="auto" w:fill="CCEEFF"/>
          </w:tcPr>
          <w:p>
            <w:pPr>
              <w:spacing w:after="0" w:line="189" w:lineRule="exact"/>
              <w:rPr>
                <w:sz w:val="20"/>
                <w:szCs w:val="20"/>
                <w:color w:val="auto"/>
              </w:rPr>
            </w:pPr>
            <w:r>
              <w:rPr>
                <w:rFonts w:ascii="Arial" w:cs="Arial" w:eastAsia="Arial" w:hAnsi="Arial"/>
                <w:sz w:val="18"/>
                <w:szCs w:val="18"/>
                <w:color w:val="0000FF"/>
              </w:rPr>
              <w:t>Condensed Consolidated Statements of Changes in Redeemable Perpetual Preferred Stock and</w:t>
            </w:r>
          </w:p>
        </w:tc>
        <w:tc>
          <w:tcPr>
            <w:tcW w:w="40" w:type="dxa"/>
            <w:vAlign w:val="bottom"/>
            <w:vMerge w:val="restart"/>
            <w:shd w:val="clear" w:color="auto" w:fill="CCEEFF"/>
          </w:tcPr>
          <w:p>
            <w:pPr>
              <w:spacing w:after="0"/>
              <w:rPr>
                <w:sz w:val="16"/>
                <w:szCs w:val="16"/>
                <w:color w:val="auto"/>
              </w:rPr>
            </w:pPr>
          </w:p>
        </w:tc>
        <w:tc>
          <w:tcPr>
            <w:tcW w:w="140" w:type="dxa"/>
            <w:vAlign w:val="bottom"/>
            <w:gridSpan w:val="2"/>
            <w:vMerge w:val="restart"/>
            <w:shd w:val="clear" w:color="auto" w:fill="CCEEFF"/>
          </w:tcPr>
          <w:p>
            <w:pPr>
              <w:jc w:val="center"/>
              <w:ind w:right="40"/>
              <w:spacing w:after="0"/>
              <w:rPr>
                <w:sz w:val="20"/>
                <w:szCs w:val="20"/>
                <w:color w:val="auto"/>
              </w:rPr>
            </w:pPr>
            <w:r>
              <w:rPr>
                <w:rFonts w:ascii="Arial" w:cs="Arial" w:eastAsia="Arial" w:hAnsi="Arial"/>
                <w:sz w:val="18"/>
                <w:szCs w:val="18"/>
                <w:color w:val="0000FF"/>
                <w:w w:val="99"/>
              </w:rPr>
              <w:t>5</w:t>
            </w:r>
          </w:p>
        </w:tc>
        <w:tc>
          <w:tcPr>
            <w:tcW w:w="2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20" w:type="dxa"/>
            <w:vAlign w:val="bottom"/>
            <w:tcBorders>
              <w:top w:val="single" w:sz="8" w:color="CCEEFF"/>
            </w:tcBorders>
            <w:shd w:val="clear" w:color="auto" w:fill="CCEEFF"/>
          </w:tcPr>
          <w:p>
            <w:pPr>
              <w:spacing w:after="0"/>
              <w:rPr>
                <w:sz w:val="15"/>
                <w:szCs w:val="15"/>
                <w:color w:val="auto"/>
              </w:rPr>
            </w:pPr>
          </w:p>
        </w:tc>
        <w:tc>
          <w:tcPr>
            <w:tcW w:w="560" w:type="dxa"/>
            <w:vAlign w:val="bottom"/>
            <w:tcBorders>
              <w:top w:val="single" w:sz="8" w:color="CCEEFF"/>
            </w:tcBorders>
            <w:shd w:val="clear" w:color="auto" w:fill="CCEEFF"/>
          </w:tcPr>
          <w:p>
            <w:pPr>
              <w:spacing w:after="0"/>
              <w:rPr>
                <w:sz w:val="15"/>
                <w:szCs w:val="15"/>
                <w:color w:val="auto"/>
              </w:rPr>
            </w:pPr>
          </w:p>
        </w:tc>
        <w:tc>
          <w:tcPr>
            <w:tcW w:w="90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1640" w:type="dxa"/>
            <w:vAlign w:val="bottom"/>
            <w:tcBorders>
              <w:top w:val="single" w:sz="8" w:color="0000FF"/>
            </w:tcBorders>
            <w:shd w:val="clear" w:color="auto" w:fill="CCEEFF"/>
          </w:tcPr>
          <w:p>
            <w:pPr>
              <w:spacing w:after="0" w:line="142" w:lineRule="exact"/>
              <w:rPr>
                <w:sz w:val="20"/>
                <w:szCs w:val="20"/>
                <w:color w:val="auto"/>
              </w:rPr>
            </w:pPr>
            <w:r>
              <w:rPr>
                <w:rFonts w:ascii="Arial" w:cs="Arial" w:eastAsia="Arial" w:hAnsi="Arial"/>
                <w:sz w:val="16"/>
                <w:szCs w:val="16"/>
                <w:color w:val="0000FF"/>
              </w:rPr>
              <w:t>Stockholders’ Equity</w:t>
            </w:r>
          </w:p>
        </w:tc>
        <w:tc>
          <w:tcPr>
            <w:tcW w:w="6040" w:type="dxa"/>
            <w:vAlign w:val="bottom"/>
            <w:tcBorders>
              <w:top w:val="single" w:sz="8" w:color="0000FF"/>
            </w:tcBorders>
            <w:gridSpan w:val="12"/>
            <w:shd w:val="clear" w:color="auto" w:fill="CCEEFF"/>
          </w:tcPr>
          <w:p>
            <w:pPr>
              <w:spacing w:after="0"/>
              <w:rPr>
                <w:sz w:val="15"/>
                <w:szCs w:val="15"/>
                <w:color w:val="auto"/>
              </w:rPr>
            </w:pPr>
          </w:p>
        </w:tc>
        <w:tc>
          <w:tcPr>
            <w:tcW w:w="90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CCEEFF"/>
            </w:tcBorders>
            <w:vMerge w:val="continue"/>
            <w:shd w:val="clear" w:color="auto" w:fill="CCEEFF"/>
          </w:tcPr>
          <w:p>
            <w:pPr>
              <w:spacing w:after="0"/>
              <w:rPr>
                <w:sz w:val="15"/>
                <w:szCs w:val="15"/>
                <w:color w:val="auto"/>
              </w:rPr>
            </w:pPr>
          </w:p>
        </w:tc>
        <w:tc>
          <w:tcPr>
            <w:tcW w:w="140" w:type="dxa"/>
            <w:vAlign w:val="bottom"/>
            <w:tcBorders>
              <w:top w:val="single" w:sz="8" w:color="CCEEFF"/>
            </w:tcBorders>
            <w:gridSpan w:val="2"/>
            <w:vMerge w:val="continue"/>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52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64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104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118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580" w:type="dxa"/>
            <w:vAlign w:val="bottom"/>
            <w:gridSpan w:val="14"/>
          </w:tcPr>
          <w:p>
            <w:pPr>
              <w:spacing w:after="0" w:line="183" w:lineRule="exact"/>
              <w:rPr>
                <w:sz w:val="20"/>
                <w:szCs w:val="20"/>
                <w:color w:val="auto"/>
              </w:rPr>
            </w:pPr>
            <w:r>
              <w:rPr>
                <w:rFonts w:ascii="Arial" w:cs="Arial" w:eastAsia="Arial" w:hAnsi="Arial"/>
                <w:sz w:val="18"/>
                <w:szCs w:val="18"/>
                <w:color w:val="0000FF"/>
              </w:rPr>
              <w:t>Condensed Consolidated Statements of Cash Flows</w:t>
            </w:r>
          </w:p>
        </w:tc>
        <w:tc>
          <w:tcPr>
            <w:tcW w:w="180" w:type="dxa"/>
            <w:vAlign w:val="bottom"/>
            <w:gridSpan w:val="3"/>
          </w:tcPr>
          <w:p>
            <w:pPr>
              <w:jc w:val="center"/>
              <w:spacing w:after="0" w:line="183" w:lineRule="exact"/>
              <w:rPr>
                <w:sz w:val="20"/>
                <w:szCs w:val="20"/>
                <w:color w:val="auto"/>
              </w:rPr>
            </w:pPr>
            <w:r>
              <w:rPr>
                <w:rFonts w:ascii="Arial" w:cs="Arial" w:eastAsia="Arial" w:hAnsi="Arial"/>
                <w:sz w:val="18"/>
                <w:szCs w:val="18"/>
                <w:color w:val="0000FF"/>
                <w:w w:val="99"/>
              </w:rPr>
              <w:t>9</w:t>
            </w:r>
          </w:p>
        </w:tc>
        <w:tc>
          <w:tcPr>
            <w:tcW w:w="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4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520" w:type="dxa"/>
            <w:vAlign w:val="bottom"/>
            <w:tcBorders>
              <w:top w:val="single" w:sz="8" w:color="0000FF"/>
            </w:tcBorders>
          </w:tcPr>
          <w:p>
            <w:pPr>
              <w:spacing w:after="0" w:line="20" w:lineRule="exact"/>
              <w:rPr>
                <w:sz w:val="1"/>
                <w:szCs w:val="1"/>
                <w:color w:val="auto"/>
              </w:rPr>
            </w:pPr>
          </w:p>
        </w:tc>
        <w:tc>
          <w:tcPr>
            <w:tcW w:w="1040" w:type="dxa"/>
            <w:vAlign w:val="bottom"/>
            <w:tcBorders>
              <w:top w:val="single" w:sz="8" w:color="0000FF"/>
            </w:tcBorders>
          </w:tcPr>
          <w:p>
            <w:pPr>
              <w:spacing w:after="0" w:line="20" w:lineRule="exact"/>
              <w:rPr>
                <w:sz w:val="1"/>
                <w:szCs w:val="1"/>
                <w:color w:val="auto"/>
              </w:rPr>
            </w:pPr>
          </w:p>
        </w:tc>
        <w:tc>
          <w:tcPr>
            <w:tcW w:w="78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4480" w:type="dxa"/>
            <w:vAlign w:val="bottom"/>
            <w:gridSpan w:val="8"/>
            <w:shd w:val="clear" w:color="auto" w:fill="CCEEFF"/>
          </w:tcPr>
          <w:p>
            <w:pPr>
              <w:spacing w:after="0" w:line="189" w:lineRule="exact"/>
              <w:rPr>
                <w:sz w:val="20"/>
                <w:szCs w:val="20"/>
                <w:color w:val="auto"/>
              </w:rPr>
            </w:pPr>
            <w:r>
              <w:rPr>
                <w:rFonts w:ascii="Arial" w:cs="Arial" w:eastAsia="Arial" w:hAnsi="Arial"/>
                <w:sz w:val="18"/>
                <w:szCs w:val="18"/>
                <w:color w:val="0000FF"/>
                <w:w w:val="99"/>
              </w:rPr>
              <w:t>Notes to Condensed Consolidated Financial Statements</w:t>
            </w:r>
          </w:p>
        </w:tc>
        <w:tc>
          <w:tcPr>
            <w:tcW w:w="4100" w:type="dxa"/>
            <w:vAlign w:val="bottom"/>
            <w:gridSpan w:val="6"/>
            <w:shd w:val="clear" w:color="auto" w:fill="CCEEFF"/>
          </w:tcPr>
          <w:p>
            <w:pPr>
              <w:spacing w:after="0"/>
              <w:rPr>
                <w:sz w:val="16"/>
                <w:szCs w:val="16"/>
                <w:color w:val="auto"/>
              </w:rPr>
            </w:pPr>
          </w:p>
        </w:tc>
        <w:tc>
          <w:tcPr>
            <w:tcW w:w="200" w:type="dxa"/>
            <w:vAlign w:val="bottom"/>
            <w:gridSpan w:val="4"/>
            <w:shd w:val="clear" w:color="auto" w:fill="CCEEFF"/>
          </w:tcPr>
          <w:p>
            <w:pPr>
              <w:jc w:val="center"/>
              <w:ind w:right="20"/>
              <w:spacing w:after="0" w:line="189" w:lineRule="exact"/>
              <w:rPr>
                <w:sz w:val="20"/>
                <w:szCs w:val="20"/>
                <w:color w:val="auto"/>
              </w:rPr>
            </w:pPr>
            <w:r>
              <w:rPr>
                <w:rFonts w:ascii="Arial" w:cs="Arial" w:eastAsia="Arial" w:hAnsi="Arial"/>
                <w:sz w:val="18"/>
                <w:szCs w:val="18"/>
                <w:color w:val="0000FF"/>
                <w:w w:val="89"/>
              </w:rPr>
              <w:t>11</w:t>
            </w:r>
          </w:p>
        </w:tc>
        <w:tc>
          <w:tcPr>
            <w:tcW w:w="5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64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520" w:type="dxa"/>
            <w:vAlign w:val="bottom"/>
            <w:tcBorders>
              <w:top w:val="single" w:sz="8" w:color="0000FF"/>
            </w:tcBorders>
            <w:shd w:val="clear" w:color="auto" w:fill="CCEEFF"/>
          </w:tcPr>
          <w:p>
            <w:pPr>
              <w:spacing w:after="0" w:line="20" w:lineRule="exact"/>
              <w:rPr>
                <w:sz w:val="1"/>
                <w:szCs w:val="1"/>
                <w:color w:val="auto"/>
              </w:rPr>
            </w:pPr>
          </w:p>
        </w:tc>
        <w:tc>
          <w:tcPr>
            <w:tcW w:w="1040" w:type="dxa"/>
            <w:vAlign w:val="bottom"/>
            <w:tcBorders>
              <w:top w:val="single" w:sz="8" w:color="0000FF"/>
            </w:tcBorders>
            <w:shd w:val="clear" w:color="auto" w:fill="CCEEFF"/>
          </w:tcPr>
          <w:p>
            <w:pPr>
              <w:spacing w:after="0" w:line="20" w:lineRule="exact"/>
              <w:rPr>
                <w:sz w:val="1"/>
                <w:szCs w:val="1"/>
                <w:color w:val="auto"/>
              </w:rPr>
            </w:pPr>
          </w:p>
        </w:tc>
        <w:tc>
          <w:tcPr>
            <w:tcW w:w="78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118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560" w:type="dxa"/>
            <w:vAlign w:val="bottom"/>
          </w:tcPr>
          <w:p>
            <w:pPr>
              <w:spacing w:after="0" w:line="189" w:lineRule="exact"/>
              <w:rPr>
                <w:sz w:val="20"/>
                <w:szCs w:val="20"/>
                <w:color w:val="auto"/>
              </w:rPr>
            </w:pPr>
            <w:r>
              <w:rPr>
                <w:rFonts w:ascii="Arial" w:cs="Arial" w:eastAsia="Arial" w:hAnsi="Arial"/>
                <w:sz w:val="18"/>
                <w:szCs w:val="18"/>
                <w:color w:val="0000FF"/>
                <w:w w:val="98"/>
              </w:rPr>
              <w:t>Item 2.</w:t>
            </w:r>
          </w:p>
        </w:tc>
        <w:tc>
          <w:tcPr>
            <w:tcW w:w="9700" w:type="dxa"/>
            <w:vAlign w:val="bottom"/>
            <w:gridSpan w:val="16"/>
          </w:tcPr>
          <w:p>
            <w:pPr>
              <w:ind w:left="900"/>
              <w:spacing w:after="0" w:line="189" w:lineRule="exact"/>
              <w:rPr>
                <w:sz w:val="20"/>
                <w:szCs w:val="20"/>
                <w:color w:val="auto"/>
              </w:rPr>
            </w:pPr>
            <w:r>
              <w:rPr>
                <w:rFonts w:ascii="Arial" w:cs="Arial" w:eastAsia="Arial" w:hAnsi="Arial"/>
                <w:sz w:val="18"/>
                <w:szCs w:val="18"/>
                <w:color w:val="0000FF"/>
              </w:rPr>
              <w:t>Management’s Discussion and Analysis of Financial Condition and Results of Operations</w:t>
            </w:r>
          </w:p>
        </w:tc>
        <w:tc>
          <w:tcPr>
            <w:tcW w:w="720" w:type="dxa"/>
            <w:vAlign w:val="bottom"/>
            <w:gridSpan w:val="5"/>
          </w:tcPr>
          <w:p>
            <w:pPr>
              <w:jc w:val="center"/>
              <w:ind w:right="520"/>
              <w:spacing w:after="0" w:line="189" w:lineRule="exact"/>
              <w:rPr>
                <w:sz w:val="20"/>
                <w:szCs w:val="20"/>
                <w:color w:val="auto"/>
              </w:rPr>
            </w:pPr>
            <w:r>
              <w:rPr>
                <w:rFonts w:ascii="Arial" w:cs="Arial" w:eastAsia="Arial" w:hAnsi="Arial"/>
                <w:sz w:val="18"/>
                <w:szCs w:val="18"/>
                <w:color w:val="0000FF"/>
                <w:w w:val="99"/>
              </w:rPr>
              <w:t>39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 w:type="dxa"/>
            <w:vAlign w:val="bottom"/>
            <w:tcBorders>
              <w:top w:val="single" w:sz="8" w:color="0000FF"/>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164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520" w:type="dxa"/>
            <w:vAlign w:val="bottom"/>
            <w:tcBorders>
              <w:top w:val="single" w:sz="8" w:color="0000FF"/>
            </w:tcBorders>
          </w:tcPr>
          <w:p>
            <w:pPr>
              <w:spacing w:after="0" w:line="20" w:lineRule="exact"/>
              <w:rPr>
                <w:sz w:val="1"/>
                <w:szCs w:val="1"/>
                <w:color w:val="auto"/>
              </w:rPr>
            </w:pPr>
          </w:p>
        </w:tc>
        <w:tc>
          <w:tcPr>
            <w:tcW w:w="1040" w:type="dxa"/>
            <w:vAlign w:val="bottom"/>
            <w:tcBorders>
              <w:top w:val="single" w:sz="8" w:color="0000FF"/>
            </w:tcBorders>
          </w:tcPr>
          <w:p>
            <w:pPr>
              <w:spacing w:after="0" w:line="20" w:lineRule="exact"/>
              <w:rPr>
                <w:sz w:val="1"/>
                <w:szCs w:val="1"/>
                <w:color w:val="auto"/>
              </w:rPr>
            </w:pPr>
          </w:p>
        </w:tc>
        <w:tc>
          <w:tcPr>
            <w:tcW w:w="78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800" w:type="dxa"/>
            <w:vAlign w:val="bottom"/>
            <w:tcBorders>
              <w:top w:val="single" w:sz="8" w:color="0000FF"/>
            </w:tcBorders>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1180" w:type="dxa"/>
            <w:vAlign w:val="bottom"/>
            <w:tcBorders>
              <w:top w:val="single" w:sz="8" w:color="0000FF"/>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0000FF"/>
            </w:tcBorders>
            <w:shd w:val="clear" w:color="auto" w:fill="CCEEFF"/>
          </w:tcPr>
          <w:p>
            <w:pPr>
              <w:spacing w:after="0" w:line="189" w:lineRule="exact"/>
              <w:rPr>
                <w:sz w:val="20"/>
                <w:szCs w:val="20"/>
                <w:color w:val="auto"/>
              </w:rPr>
            </w:pPr>
            <w:r>
              <w:rPr>
                <w:rFonts w:ascii="Arial" w:cs="Arial" w:eastAsia="Arial" w:hAnsi="Arial"/>
                <w:sz w:val="18"/>
                <w:szCs w:val="18"/>
                <w:color w:val="0000FF"/>
                <w:w w:val="98"/>
              </w:rPr>
              <w:t>Item 3.</w:t>
            </w:r>
          </w:p>
        </w:tc>
        <w:tc>
          <w:tcPr>
            <w:tcW w:w="900" w:type="dxa"/>
            <w:vAlign w:val="bottom"/>
            <w:tcBorders>
              <w:bottom w:val="single" w:sz="8" w:color="CCEEFF"/>
            </w:tcBorders>
            <w:shd w:val="clear" w:color="auto" w:fill="CCEEFF"/>
          </w:tcPr>
          <w:p>
            <w:pPr>
              <w:spacing w:after="0"/>
              <w:rPr>
                <w:sz w:val="18"/>
                <w:szCs w:val="18"/>
                <w:color w:val="auto"/>
              </w:rPr>
            </w:pPr>
          </w:p>
        </w:tc>
        <w:tc>
          <w:tcPr>
            <w:tcW w:w="4720" w:type="dxa"/>
            <w:vAlign w:val="bottom"/>
            <w:tcBorders>
              <w:bottom w:val="single" w:sz="8" w:color="0000FF"/>
            </w:tcBorders>
            <w:gridSpan w:val="10"/>
            <w:shd w:val="clear" w:color="auto" w:fill="CCEEFF"/>
          </w:tcPr>
          <w:p>
            <w:pPr>
              <w:spacing w:after="0" w:line="189" w:lineRule="exact"/>
              <w:rPr>
                <w:sz w:val="20"/>
                <w:szCs w:val="20"/>
                <w:color w:val="auto"/>
              </w:rPr>
            </w:pPr>
            <w:r>
              <w:rPr>
                <w:rFonts w:ascii="Arial" w:cs="Arial" w:eastAsia="Arial" w:hAnsi="Arial"/>
                <w:sz w:val="18"/>
                <w:szCs w:val="18"/>
                <w:color w:val="0000FF"/>
                <w:w w:val="99"/>
              </w:rPr>
              <w:t>Quantitative and Qualitative Disclosures About Market Risk</w:t>
            </w:r>
          </w:p>
        </w:tc>
        <w:tc>
          <w:tcPr>
            <w:tcW w:w="4080" w:type="dxa"/>
            <w:vAlign w:val="bottom"/>
            <w:tcBorders>
              <w:bottom w:val="single" w:sz="8" w:color="CCEEFF"/>
            </w:tcBorders>
            <w:gridSpan w:val="5"/>
            <w:shd w:val="clear" w:color="auto" w:fill="CCEEFF"/>
          </w:tcPr>
          <w:p>
            <w:pPr>
              <w:spacing w:after="0"/>
              <w:rPr>
                <w:sz w:val="18"/>
                <w:szCs w:val="18"/>
                <w:color w:val="auto"/>
              </w:rPr>
            </w:pPr>
          </w:p>
        </w:tc>
        <w:tc>
          <w:tcPr>
            <w:tcW w:w="200" w:type="dxa"/>
            <w:vAlign w:val="bottom"/>
            <w:tcBorders>
              <w:bottom w:val="single" w:sz="8" w:color="0000FF"/>
            </w:tcBorders>
            <w:gridSpan w:val="4"/>
            <w:shd w:val="clear" w:color="auto" w:fill="CCEEFF"/>
          </w:tcPr>
          <w:p>
            <w:pPr>
              <w:jc w:val="center"/>
              <w:spacing w:after="0" w:line="189" w:lineRule="exact"/>
              <w:rPr>
                <w:sz w:val="20"/>
                <w:szCs w:val="20"/>
                <w:color w:val="auto"/>
              </w:rPr>
            </w:pPr>
            <w:r>
              <w:rPr>
                <w:rFonts w:ascii="Arial" w:cs="Arial" w:eastAsia="Arial" w:hAnsi="Arial"/>
                <w:sz w:val="18"/>
                <w:szCs w:val="18"/>
                <w:color w:val="0000FF"/>
                <w:w w:val="99"/>
              </w:rPr>
              <w:t>58</w:t>
            </w:r>
          </w:p>
        </w:tc>
        <w:tc>
          <w:tcPr>
            <w:tcW w:w="5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60" w:type="dxa"/>
            <w:vAlign w:val="bottom"/>
            <w:tcBorders>
              <w:bottom w:val="single" w:sz="8" w:color="0000FF"/>
            </w:tcBorders>
          </w:tcPr>
          <w:p>
            <w:pPr>
              <w:spacing w:after="0" w:line="189" w:lineRule="exact"/>
              <w:rPr>
                <w:sz w:val="20"/>
                <w:szCs w:val="20"/>
                <w:color w:val="auto"/>
              </w:rPr>
            </w:pPr>
            <w:r>
              <w:rPr>
                <w:rFonts w:ascii="Arial" w:cs="Arial" w:eastAsia="Arial" w:hAnsi="Arial"/>
                <w:sz w:val="18"/>
                <w:szCs w:val="18"/>
                <w:color w:val="0000FF"/>
                <w:w w:val="98"/>
              </w:rPr>
              <w:t>Item 4.</w:t>
            </w:r>
          </w:p>
        </w:tc>
        <w:tc>
          <w:tcPr>
            <w:tcW w:w="900" w:type="dxa"/>
            <w:vAlign w:val="bottom"/>
          </w:tcPr>
          <w:p>
            <w:pPr>
              <w:spacing w:after="0"/>
              <w:rPr>
                <w:sz w:val="16"/>
                <w:szCs w:val="16"/>
                <w:color w:val="auto"/>
              </w:rPr>
            </w:pPr>
          </w:p>
        </w:tc>
        <w:tc>
          <w:tcPr>
            <w:tcW w:w="2000" w:type="dxa"/>
            <w:vAlign w:val="bottom"/>
            <w:tcBorders>
              <w:bottom w:val="single" w:sz="8" w:color="0000FF"/>
            </w:tcBorders>
            <w:gridSpan w:val="3"/>
          </w:tcPr>
          <w:p>
            <w:pPr>
              <w:spacing w:after="0" w:line="189" w:lineRule="exact"/>
              <w:rPr>
                <w:sz w:val="20"/>
                <w:szCs w:val="20"/>
                <w:color w:val="auto"/>
              </w:rPr>
            </w:pPr>
            <w:r>
              <w:rPr>
                <w:rFonts w:ascii="Arial" w:cs="Arial" w:eastAsia="Arial" w:hAnsi="Arial"/>
                <w:sz w:val="18"/>
                <w:szCs w:val="18"/>
                <w:color w:val="0000FF"/>
                <w:w w:val="99"/>
              </w:rPr>
              <w:t>Controls and Procedures</w:t>
            </w:r>
          </w:p>
        </w:tc>
        <w:tc>
          <w:tcPr>
            <w:tcW w:w="6800" w:type="dxa"/>
            <w:vAlign w:val="bottom"/>
            <w:gridSpan w:val="12"/>
          </w:tcPr>
          <w:p>
            <w:pPr>
              <w:spacing w:after="0"/>
              <w:rPr>
                <w:sz w:val="16"/>
                <w:szCs w:val="16"/>
                <w:color w:val="auto"/>
              </w:rPr>
            </w:pPr>
          </w:p>
        </w:tc>
        <w:tc>
          <w:tcPr>
            <w:tcW w:w="200" w:type="dxa"/>
            <w:vAlign w:val="bottom"/>
            <w:tcBorders>
              <w:bottom w:val="single" w:sz="8" w:color="0000FF"/>
            </w:tcBorders>
            <w:gridSpan w:val="4"/>
          </w:tcPr>
          <w:p>
            <w:pPr>
              <w:jc w:val="center"/>
              <w:spacing w:after="0" w:line="189" w:lineRule="exact"/>
              <w:rPr>
                <w:sz w:val="20"/>
                <w:szCs w:val="20"/>
                <w:color w:val="auto"/>
              </w:rPr>
            </w:pPr>
            <w:r>
              <w:rPr>
                <w:rFonts w:ascii="Arial" w:cs="Arial" w:eastAsia="Arial" w:hAnsi="Arial"/>
                <w:sz w:val="18"/>
                <w:szCs w:val="18"/>
                <w:color w:val="0000FF"/>
                <w:w w:val="99"/>
              </w:rPr>
              <w:t>58</w:t>
            </w:r>
          </w:p>
        </w:tc>
        <w:tc>
          <w:tcPr>
            <w:tcW w:w="52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240" w:type="dxa"/>
            <w:vAlign w:val="bottom"/>
            <w:gridSpan w:val="4"/>
          </w:tcPr>
          <w:p>
            <w:pPr>
              <w:ind w:left="100"/>
              <w:spacing w:after="0"/>
              <w:rPr>
                <w:sz w:val="20"/>
                <w:szCs w:val="20"/>
                <w:color w:val="auto"/>
              </w:rPr>
            </w:pPr>
            <w:r>
              <w:rPr>
                <w:rFonts w:ascii="Arial" w:cs="Arial" w:eastAsia="Arial" w:hAnsi="Arial"/>
                <w:sz w:val="18"/>
                <w:szCs w:val="18"/>
                <w:b w:val="1"/>
                <w:bCs w:val="1"/>
                <w:color w:val="0000FF"/>
              </w:rPr>
              <w:t>PART II - OTHER INFORMATION</w:t>
            </w:r>
          </w:p>
        </w:tc>
        <w:tc>
          <w:tcPr>
            <w:tcW w:w="2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169"/>
        </w:trPr>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0" w:type="dxa"/>
            <w:vAlign w:val="bottom"/>
            <w:tcBorders>
              <w:top w:val="single" w:sz="8" w:color="0000FF"/>
            </w:tcBorders>
          </w:tcPr>
          <w:p>
            <w:pPr>
              <w:spacing w:after="0"/>
              <w:rPr>
                <w:sz w:val="14"/>
                <w:szCs w:val="14"/>
                <w:color w:val="auto"/>
              </w:rPr>
            </w:pPr>
          </w:p>
        </w:tc>
        <w:tc>
          <w:tcPr>
            <w:tcW w:w="520" w:type="dxa"/>
            <w:vAlign w:val="bottom"/>
            <w:tcBorders>
              <w:top w:val="single" w:sz="8" w:color="0000FF"/>
            </w:tcBorders>
          </w:tcPr>
          <w:p>
            <w:pPr>
              <w:spacing w:after="0"/>
              <w:rPr>
                <w:sz w:val="14"/>
                <w:szCs w:val="14"/>
                <w:color w:val="auto"/>
              </w:rPr>
            </w:pPr>
          </w:p>
        </w:tc>
        <w:tc>
          <w:tcPr>
            <w:tcW w:w="34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209"/>
        </w:trPr>
        <w:tc>
          <w:tcPr>
            <w:tcW w:w="140" w:type="dxa"/>
            <w:vAlign w:val="bottom"/>
            <w:tcBorders>
              <w:right w:val="single" w:sz="8" w:color="CCEEFF"/>
            </w:tcBorders>
          </w:tcPr>
          <w:p>
            <w:pPr>
              <w:spacing w:after="0"/>
              <w:rPr>
                <w:sz w:val="18"/>
                <w:szCs w:val="18"/>
                <w:color w:val="auto"/>
              </w:rPr>
            </w:pPr>
          </w:p>
        </w:tc>
        <w:tc>
          <w:tcPr>
            <w:tcW w:w="560" w:type="dxa"/>
            <w:vAlign w:val="bottom"/>
            <w:tcBorders>
              <w:bottom w:val="single" w:sz="8" w:color="0000FF"/>
            </w:tcBorders>
            <w:shd w:val="clear" w:color="auto" w:fill="CCEEFF"/>
          </w:tcPr>
          <w:p>
            <w:pPr>
              <w:spacing w:after="0" w:line="189" w:lineRule="exact"/>
              <w:rPr>
                <w:sz w:val="20"/>
                <w:szCs w:val="20"/>
                <w:color w:val="auto"/>
              </w:rPr>
            </w:pPr>
            <w:r>
              <w:rPr>
                <w:rFonts w:ascii="Arial" w:cs="Arial" w:eastAsia="Arial" w:hAnsi="Arial"/>
                <w:sz w:val="18"/>
                <w:szCs w:val="18"/>
                <w:color w:val="0000FF"/>
                <w:w w:val="98"/>
              </w:rPr>
              <w:t>Item 1.</w:t>
            </w:r>
          </w:p>
        </w:tc>
        <w:tc>
          <w:tcPr>
            <w:tcW w:w="520" w:type="dxa"/>
            <w:vAlign w:val="bottom"/>
            <w:tcBorders>
              <w:bottom w:val="single" w:sz="8" w:color="CCEEFF"/>
            </w:tcBorders>
            <w:gridSpan w:val="2"/>
            <w:shd w:val="clear" w:color="auto" w:fill="CCEEFF"/>
          </w:tcPr>
          <w:p>
            <w:pPr>
              <w:spacing w:after="0"/>
              <w:rPr>
                <w:sz w:val="18"/>
                <w:szCs w:val="18"/>
                <w:color w:val="auto"/>
              </w:rPr>
            </w:pPr>
          </w:p>
        </w:tc>
        <w:tc>
          <w:tcPr>
            <w:tcW w:w="380" w:type="dxa"/>
            <w:vAlign w:val="bottom"/>
            <w:tcBorders>
              <w:bottom w:val="single" w:sz="8" w:color="CCEEFF"/>
            </w:tcBorders>
            <w:shd w:val="clear" w:color="auto" w:fill="CCEEFF"/>
          </w:tcPr>
          <w:p>
            <w:pPr>
              <w:spacing w:after="0"/>
              <w:rPr>
                <w:sz w:val="18"/>
                <w:szCs w:val="18"/>
                <w:color w:val="auto"/>
              </w:rPr>
            </w:pPr>
          </w:p>
        </w:tc>
        <w:tc>
          <w:tcPr>
            <w:tcW w:w="1500" w:type="dxa"/>
            <w:vAlign w:val="bottom"/>
            <w:tcBorders>
              <w:bottom w:val="single" w:sz="8" w:color="0000FF"/>
            </w:tcBorders>
            <w:gridSpan w:val="4"/>
            <w:shd w:val="clear" w:color="auto" w:fill="CCEEFF"/>
          </w:tcPr>
          <w:p>
            <w:pPr>
              <w:spacing w:after="0" w:line="189" w:lineRule="exact"/>
              <w:rPr>
                <w:sz w:val="20"/>
                <w:szCs w:val="20"/>
                <w:color w:val="auto"/>
              </w:rPr>
            </w:pPr>
            <w:r>
              <w:rPr>
                <w:rFonts w:ascii="Arial" w:cs="Arial" w:eastAsia="Arial" w:hAnsi="Arial"/>
                <w:sz w:val="18"/>
                <w:szCs w:val="18"/>
                <w:color w:val="0000FF"/>
                <w:w w:val="99"/>
              </w:rPr>
              <w:t>Legal Proceedings</w:t>
            </w:r>
          </w:p>
        </w:tc>
        <w:tc>
          <w:tcPr>
            <w:tcW w:w="7300" w:type="dxa"/>
            <w:vAlign w:val="bottom"/>
            <w:tcBorders>
              <w:bottom w:val="single" w:sz="8" w:color="CCEEFF"/>
            </w:tcBorders>
            <w:gridSpan w:val="6"/>
            <w:shd w:val="clear" w:color="auto" w:fill="CCEEFF"/>
          </w:tcPr>
          <w:p>
            <w:pPr>
              <w:spacing w:after="0"/>
              <w:rPr>
                <w:sz w:val="18"/>
                <w:szCs w:val="18"/>
                <w:color w:val="auto"/>
              </w:rPr>
            </w:pPr>
          </w:p>
        </w:tc>
        <w:tc>
          <w:tcPr>
            <w:tcW w:w="200" w:type="dxa"/>
            <w:vAlign w:val="bottom"/>
            <w:tcBorders>
              <w:bottom w:val="single" w:sz="8" w:color="0000FF"/>
            </w:tcBorders>
            <w:shd w:val="clear" w:color="auto" w:fill="CCEEFF"/>
          </w:tcPr>
          <w:p>
            <w:pPr>
              <w:jc w:val="right"/>
              <w:spacing w:after="0" w:line="189" w:lineRule="exact"/>
              <w:rPr>
                <w:sz w:val="20"/>
                <w:szCs w:val="20"/>
                <w:color w:val="auto"/>
              </w:rPr>
            </w:pPr>
            <w:r>
              <w:rPr>
                <w:rFonts w:ascii="Arial" w:cs="Arial" w:eastAsia="Arial" w:hAnsi="Arial"/>
                <w:sz w:val="18"/>
                <w:szCs w:val="18"/>
                <w:color w:val="0000FF"/>
                <w:w w:val="89"/>
              </w:rPr>
              <w:t>59</w:t>
            </w:r>
          </w:p>
        </w:tc>
        <w:tc>
          <w:tcPr>
            <w:tcW w:w="520" w:type="dxa"/>
            <w:vAlign w:val="bottom"/>
            <w:tcBorders>
              <w:bottom w:val="single" w:sz="8" w:color="CCEEFF"/>
            </w:tcBorders>
            <w:shd w:val="clear" w:color="auto" w:fill="CCEEFF"/>
          </w:tcPr>
          <w:p>
            <w:pPr>
              <w:spacing w:after="0"/>
              <w:rPr>
                <w:sz w:val="18"/>
                <w:szCs w:val="18"/>
                <w:color w:val="auto"/>
              </w:rPr>
            </w:pPr>
          </w:p>
        </w:tc>
        <w:tc>
          <w:tcPr>
            <w:tcW w:w="120" w:type="dxa"/>
            <w:vAlign w:val="bottom"/>
          </w:tcPr>
          <w:p>
            <w:pPr>
              <w:spacing w:after="0"/>
              <w:rPr>
                <w:sz w:val="18"/>
                <w:szCs w:val="18"/>
                <w:color w:val="auto"/>
              </w:rPr>
            </w:pPr>
          </w:p>
        </w:tc>
      </w:tr>
      <w:tr>
        <w:trPr>
          <w:trHeight w:val="189"/>
        </w:trPr>
        <w:tc>
          <w:tcPr>
            <w:tcW w:w="140" w:type="dxa"/>
            <w:vAlign w:val="bottom"/>
          </w:tcPr>
          <w:p>
            <w:pPr>
              <w:spacing w:after="0"/>
              <w:rPr>
                <w:sz w:val="16"/>
                <w:szCs w:val="16"/>
                <w:color w:val="auto"/>
              </w:rPr>
            </w:pPr>
          </w:p>
        </w:tc>
        <w:tc>
          <w:tcPr>
            <w:tcW w:w="1080" w:type="dxa"/>
            <w:vAlign w:val="bottom"/>
            <w:gridSpan w:val="3"/>
          </w:tcPr>
          <w:p>
            <w:pPr>
              <w:spacing w:after="0" w:line="189" w:lineRule="exact"/>
              <w:rPr>
                <w:sz w:val="20"/>
                <w:szCs w:val="20"/>
                <w:color w:val="auto"/>
              </w:rPr>
            </w:pPr>
            <w:r>
              <w:rPr>
                <w:rFonts w:ascii="Arial" w:cs="Arial" w:eastAsia="Arial" w:hAnsi="Arial"/>
                <w:sz w:val="18"/>
                <w:szCs w:val="18"/>
                <w:color w:val="0000FF"/>
              </w:rPr>
              <w:t>Item 1A.</w:t>
            </w:r>
          </w:p>
        </w:tc>
        <w:tc>
          <w:tcPr>
            <w:tcW w:w="9180" w:type="dxa"/>
            <w:vAlign w:val="bottom"/>
            <w:gridSpan w:val="11"/>
          </w:tcPr>
          <w:p>
            <w:pPr>
              <w:ind w:left="380"/>
              <w:spacing w:after="0" w:line="189" w:lineRule="exact"/>
              <w:rPr>
                <w:sz w:val="20"/>
                <w:szCs w:val="20"/>
                <w:color w:val="auto"/>
              </w:rPr>
            </w:pPr>
            <w:r>
              <w:rPr>
                <w:rFonts w:ascii="Arial" w:cs="Arial" w:eastAsia="Arial" w:hAnsi="Arial"/>
                <w:sz w:val="18"/>
                <w:szCs w:val="18"/>
                <w:color w:val="0000FF"/>
              </w:rPr>
              <w:t>Risk Factors</w:t>
            </w:r>
          </w:p>
        </w:tc>
        <w:tc>
          <w:tcPr>
            <w:tcW w:w="720" w:type="dxa"/>
            <w:vAlign w:val="bottom"/>
            <w:gridSpan w:val="2"/>
          </w:tcPr>
          <w:p>
            <w:pPr>
              <w:jc w:val="right"/>
              <w:ind w:right="520"/>
              <w:spacing w:after="0" w:line="189" w:lineRule="exact"/>
              <w:rPr>
                <w:sz w:val="20"/>
                <w:szCs w:val="20"/>
                <w:color w:val="auto"/>
              </w:rPr>
            </w:pPr>
            <w:r>
              <w:rPr>
                <w:rFonts w:ascii="Arial" w:cs="Arial" w:eastAsia="Arial" w:hAnsi="Arial"/>
                <w:sz w:val="18"/>
                <w:szCs w:val="18"/>
                <w:color w:val="0000FF"/>
                <w:w w:val="89"/>
              </w:rPr>
              <w:t>59</w:t>
            </w:r>
          </w:p>
        </w:tc>
        <w:tc>
          <w:tcPr>
            <w:tcW w:w="120" w:type="dxa"/>
            <w:vAlign w:val="bottom"/>
          </w:tcPr>
          <w:p>
            <w:pPr>
              <w:spacing w:after="0"/>
              <w:rPr>
                <w:sz w:val="16"/>
                <w:szCs w:val="16"/>
                <w:color w:val="auto"/>
              </w:rPr>
            </w:pPr>
          </w:p>
        </w:tc>
      </w:tr>
      <w:tr>
        <w:trPr>
          <w:trHeight w:val="20"/>
        </w:trPr>
        <w:tc>
          <w:tcPr>
            <w:tcW w:w="140" w:type="dxa"/>
            <w:vAlign w:val="bottom"/>
          </w:tcPr>
          <w:p>
            <w:pPr>
              <w:spacing w:after="0" w:line="20" w:lineRule="exact"/>
              <w:rPr>
                <w:sz w:val="1"/>
                <w:szCs w:val="1"/>
                <w:color w:val="auto"/>
              </w:rPr>
            </w:pPr>
          </w:p>
        </w:tc>
        <w:tc>
          <w:tcPr>
            <w:tcW w:w="56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40" w:type="dxa"/>
            <w:vAlign w:val="bottom"/>
            <w:tcBorders>
              <w:top w:val="single" w:sz="8" w:color="0000FF"/>
            </w:tcBorders>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140" w:type="dxa"/>
            <w:vAlign w:val="bottom"/>
            <w:tcBorders>
              <w:right w:val="single" w:sz="8" w:color="CCEEFF"/>
            </w:tcBorders>
          </w:tcPr>
          <w:p>
            <w:pPr>
              <w:spacing w:after="0"/>
              <w:rPr>
                <w:sz w:val="18"/>
                <w:szCs w:val="18"/>
                <w:color w:val="auto"/>
              </w:rPr>
            </w:pPr>
          </w:p>
        </w:tc>
        <w:tc>
          <w:tcPr>
            <w:tcW w:w="560" w:type="dxa"/>
            <w:vAlign w:val="bottom"/>
            <w:tcBorders>
              <w:bottom w:val="single" w:sz="8" w:color="0000FF"/>
            </w:tcBorders>
            <w:shd w:val="clear" w:color="auto" w:fill="CCEEFF"/>
          </w:tcPr>
          <w:p>
            <w:pPr>
              <w:spacing w:after="0" w:line="189" w:lineRule="exact"/>
              <w:rPr>
                <w:sz w:val="20"/>
                <w:szCs w:val="20"/>
                <w:color w:val="auto"/>
              </w:rPr>
            </w:pPr>
            <w:r>
              <w:rPr>
                <w:rFonts w:ascii="Arial" w:cs="Arial" w:eastAsia="Arial" w:hAnsi="Arial"/>
                <w:sz w:val="18"/>
                <w:szCs w:val="18"/>
                <w:color w:val="0000FF"/>
                <w:w w:val="98"/>
              </w:rPr>
              <w:t>Item 2.</w:t>
            </w:r>
          </w:p>
        </w:tc>
        <w:tc>
          <w:tcPr>
            <w:tcW w:w="520" w:type="dxa"/>
            <w:vAlign w:val="bottom"/>
            <w:tcBorders>
              <w:bottom w:val="single" w:sz="8" w:color="CCEEFF"/>
            </w:tcBorders>
            <w:gridSpan w:val="2"/>
            <w:shd w:val="clear" w:color="auto" w:fill="CCEEFF"/>
          </w:tcPr>
          <w:p>
            <w:pPr>
              <w:spacing w:after="0"/>
              <w:rPr>
                <w:sz w:val="18"/>
                <w:szCs w:val="18"/>
                <w:color w:val="auto"/>
              </w:rPr>
            </w:pPr>
          </w:p>
        </w:tc>
        <w:tc>
          <w:tcPr>
            <w:tcW w:w="380" w:type="dxa"/>
            <w:vAlign w:val="bottom"/>
            <w:tcBorders>
              <w:bottom w:val="single" w:sz="8" w:color="CCEEFF"/>
            </w:tcBorders>
            <w:shd w:val="clear" w:color="auto" w:fill="CCEEFF"/>
          </w:tcPr>
          <w:p>
            <w:pPr>
              <w:spacing w:after="0"/>
              <w:rPr>
                <w:sz w:val="18"/>
                <w:szCs w:val="18"/>
                <w:color w:val="auto"/>
              </w:rPr>
            </w:pPr>
          </w:p>
        </w:tc>
        <w:tc>
          <w:tcPr>
            <w:tcW w:w="4860" w:type="dxa"/>
            <w:vAlign w:val="bottom"/>
            <w:tcBorders>
              <w:bottom w:val="single" w:sz="8" w:color="0000FF"/>
            </w:tcBorders>
            <w:gridSpan w:val="8"/>
            <w:shd w:val="clear" w:color="auto" w:fill="CCEEFF"/>
          </w:tcPr>
          <w:p>
            <w:pPr>
              <w:spacing w:after="0" w:line="189" w:lineRule="exact"/>
              <w:rPr>
                <w:sz w:val="20"/>
                <w:szCs w:val="20"/>
                <w:color w:val="auto"/>
              </w:rPr>
            </w:pPr>
            <w:r>
              <w:rPr>
                <w:rFonts w:ascii="Arial" w:cs="Arial" w:eastAsia="Arial" w:hAnsi="Arial"/>
                <w:sz w:val="18"/>
                <w:szCs w:val="18"/>
                <w:color w:val="0000FF"/>
                <w:w w:val="99"/>
              </w:rPr>
              <w:t>Unregistered Sales of Equity Securities and Use of Proceeds</w:t>
            </w:r>
          </w:p>
        </w:tc>
        <w:tc>
          <w:tcPr>
            <w:tcW w:w="3940" w:type="dxa"/>
            <w:vAlign w:val="bottom"/>
            <w:tcBorders>
              <w:bottom w:val="single" w:sz="8" w:color="CCEEFF"/>
            </w:tcBorders>
            <w:gridSpan w:val="2"/>
            <w:shd w:val="clear" w:color="auto" w:fill="CCEEFF"/>
          </w:tcPr>
          <w:p>
            <w:pPr>
              <w:spacing w:after="0"/>
              <w:rPr>
                <w:sz w:val="18"/>
                <w:szCs w:val="18"/>
                <w:color w:val="auto"/>
              </w:rPr>
            </w:pPr>
          </w:p>
        </w:tc>
        <w:tc>
          <w:tcPr>
            <w:tcW w:w="200" w:type="dxa"/>
            <w:vAlign w:val="bottom"/>
            <w:tcBorders>
              <w:bottom w:val="single" w:sz="8" w:color="0000FF"/>
            </w:tcBorders>
            <w:shd w:val="clear" w:color="auto" w:fill="CCEEFF"/>
          </w:tcPr>
          <w:p>
            <w:pPr>
              <w:jc w:val="right"/>
              <w:spacing w:after="0" w:line="189" w:lineRule="exact"/>
              <w:rPr>
                <w:sz w:val="20"/>
                <w:szCs w:val="20"/>
                <w:color w:val="auto"/>
              </w:rPr>
            </w:pPr>
            <w:r>
              <w:rPr>
                <w:rFonts w:ascii="Arial" w:cs="Arial" w:eastAsia="Arial" w:hAnsi="Arial"/>
                <w:sz w:val="18"/>
                <w:szCs w:val="18"/>
                <w:color w:val="0000FF"/>
                <w:w w:val="89"/>
              </w:rPr>
              <w:t>65</w:t>
            </w:r>
          </w:p>
        </w:tc>
        <w:tc>
          <w:tcPr>
            <w:tcW w:w="520" w:type="dxa"/>
            <w:vAlign w:val="bottom"/>
            <w:tcBorders>
              <w:bottom w:val="single" w:sz="8" w:color="CCEEFF"/>
            </w:tcBorders>
            <w:shd w:val="clear" w:color="auto" w:fill="CCEEFF"/>
          </w:tcPr>
          <w:p>
            <w:pPr>
              <w:spacing w:after="0"/>
              <w:rPr>
                <w:sz w:val="18"/>
                <w:szCs w:val="18"/>
                <w:color w:val="auto"/>
              </w:rPr>
            </w:pPr>
          </w:p>
        </w:tc>
        <w:tc>
          <w:tcPr>
            <w:tcW w:w="120" w:type="dxa"/>
            <w:vAlign w:val="bottom"/>
          </w:tcPr>
          <w:p>
            <w:pPr>
              <w:spacing w:after="0"/>
              <w:rPr>
                <w:sz w:val="18"/>
                <w:szCs w:val="18"/>
                <w:color w:val="auto"/>
              </w:rPr>
            </w:pPr>
          </w:p>
        </w:tc>
      </w:tr>
      <w:tr>
        <w:trPr>
          <w:trHeight w:val="189"/>
        </w:trPr>
        <w:tc>
          <w:tcPr>
            <w:tcW w:w="140" w:type="dxa"/>
            <w:vAlign w:val="bottom"/>
          </w:tcPr>
          <w:p>
            <w:pPr>
              <w:spacing w:after="0"/>
              <w:rPr>
                <w:sz w:val="16"/>
                <w:szCs w:val="16"/>
                <w:color w:val="auto"/>
              </w:rPr>
            </w:pPr>
          </w:p>
        </w:tc>
        <w:tc>
          <w:tcPr>
            <w:tcW w:w="1080" w:type="dxa"/>
            <w:vAlign w:val="bottom"/>
            <w:gridSpan w:val="3"/>
          </w:tcPr>
          <w:p>
            <w:pPr>
              <w:spacing w:after="0" w:line="189" w:lineRule="exact"/>
              <w:rPr>
                <w:sz w:val="20"/>
                <w:szCs w:val="20"/>
                <w:color w:val="auto"/>
              </w:rPr>
            </w:pPr>
            <w:r>
              <w:rPr>
                <w:rFonts w:ascii="Arial" w:cs="Arial" w:eastAsia="Arial" w:hAnsi="Arial"/>
                <w:sz w:val="18"/>
                <w:szCs w:val="18"/>
                <w:color w:val="0000FF"/>
              </w:rPr>
              <w:t>Item 3.</w:t>
            </w:r>
          </w:p>
        </w:tc>
        <w:tc>
          <w:tcPr>
            <w:tcW w:w="9180" w:type="dxa"/>
            <w:vAlign w:val="bottom"/>
            <w:gridSpan w:val="11"/>
          </w:tcPr>
          <w:p>
            <w:pPr>
              <w:ind w:left="380"/>
              <w:spacing w:after="0" w:line="189" w:lineRule="exact"/>
              <w:rPr>
                <w:sz w:val="20"/>
                <w:szCs w:val="20"/>
                <w:color w:val="auto"/>
              </w:rPr>
            </w:pPr>
            <w:r>
              <w:rPr>
                <w:rFonts w:ascii="Arial" w:cs="Arial" w:eastAsia="Arial" w:hAnsi="Arial"/>
                <w:sz w:val="18"/>
                <w:szCs w:val="18"/>
                <w:color w:val="0000FF"/>
              </w:rPr>
              <w:t>Defaults Upon Senior Securities</w:t>
            </w:r>
          </w:p>
        </w:tc>
        <w:tc>
          <w:tcPr>
            <w:tcW w:w="720" w:type="dxa"/>
            <w:vAlign w:val="bottom"/>
            <w:gridSpan w:val="2"/>
          </w:tcPr>
          <w:p>
            <w:pPr>
              <w:jc w:val="right"/>
              <w:ind w:right="520"/>
              <w:spacing w:after="0" w:line="189" w:lineRule="exact"/>
              <w:rPr>
                <w:sz w:val="20"/>
                <w:szCs w:val="20"/>
                <w:color w:val="auto"/>
              </w:rPr>
            </w:pPr>
            <w:r>
              <w:rPr>
                <w:rFonts w:ascii="Arial" w:cs="Arial" w:eastAsia="Arial" w:hAnsi="Arial"/>
                <w:sz w:val="18"/>
                <w:szCs w:val="18"/>
                <w:color w:val="0000FF"/>
                <w:w w:val="89"/>
              </w:rPr>
              <w:t>65</w:t>
            </w:r>
          </w:p>
        </w:tc>
        <w:tc>
          <w:tcPr>
            <w:tcW w:w="120" w:type="dxa"/>
            <w:vAlign w:val="bottom"/>
          </w:tcPr>
          <w:p>
            <w:pPr>
              <w:spacing w:after="0"/>
              <w:rPr>
                <w:sz w:val="16"/>
                <w:szCs w:val="16"/>
                <w:color w:val="auto"/>
              </w:rPr>
            </w:pPr>
          </w:p>
        </w:tc>
      </w:tr>
      <w:tr>
        <w:trPr>
          <w:trHeight w:val="21"/>
        </w:trPr>
        <w:tc>
          <w:tcPr>
            <w:tcW w:w="140" w:type="dxa"/>
            <w:vAlign w:val="bottom"/>
          </w:tcPr>
          <w:p>
            <w:pPr>
              <w:spacing w:after="0" w:line="20" w:lineRule="exact"/>
              <w:rPr>
                <w:sz w:val="1"/>
                <w:szCs w:val="1"/>
                <w:color w:val="auto"/>
              </w:rPr>
            </w:pPr>
          </w:p>
        </w:tc>
        <w:tc>
          <w:tcPr>
            <w:tcW w:w="560" w:type="dxa"/>
            <w:vAlign w:val="bottom"/>
            <w:tcBorders>
              <w:top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40" w:type="dxa"/>
            <w:vAlign w:val="bottom"/>
            <w:tcBorders>
              <w:top w:val="single" w:sz="8" w:color="0000FF"/>
            </w:tcBorders>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620" w:type="dxa"/>
            <w:vAlign w:val="bottom"/>
            <w:tcBorders>
              <w:top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09"/>
        </w:trPr>
        <w:tc>
          <w:tcPr>
            <w:tcW w:w="140" w:type="dxa"/>
            <w:vAlign w:val="bottom"/>
            <w:tcBorders>
              <w:right w:val="single" w:sz="8" w:color="CCEEFF"/>
            </w:tcBorders>
          </w:tcPr>
          <w:p>
            <w:pPr>
              <w:spacing w:after="0"/>
              <w:rPr>
                <w:sz w:val="18"/>
                <w:szCs w:val="18"/>
                <w:color w:val="auto"/>
              </w:rPr>
            </w:pPr>
          </w:p>
        </w:tc>
        <w:tc>
          <w:tcPr>
            <w:tcW w:w="560" w:type="dxa"/>
            <w:vAlign w:val="bottom"/>
            <w:tcBorders>
              <w:bottom w:val="single" w:sz="8" w:color="0000FF"/>
            </w:tcBorders>
            <w:shd w:val="clear" w:color="auto" w:fill="CCEEFF"/>
          </w:tcPr>
          <w:p>
            <w:pPr>
              <w:spacing w:after="0" w:line="189" w:lineRule="exact"/>
              <w:rPr>
                <w:sz w:val="20"/>
                <w:szCs w:val="20"/>
                <w:color w:val="auto"/>
              </w:rPr>
            </w:pPr>
            <w:r>
              <w:rPr>
                <w:rFonts w:ascii="Arial" w:cs="Arial" w:eastAsia="Arial" w:hAnsi="Arial"/>
                <w:sz w:val="18"/>
                <w:szCs w:val="18"/>
                <w:color w:val="0000FF"/>
                <w:w w:val="98"/>
              </w:rPr>
              <w:t>Item 4.</w:t>
            </w:r>
          </w:p>
        </w:tc>
        <w:tc>
          <w:tcPr>
            <w:tcW w:w="520" w:type="dxa"/>
            <w:vAlign w:val="bottom"/>
            <w:tcBorders>
              <w:bottom w:val="single" w:sz="8" w:color="CCEEFF"/>
            </w:tcBorders>
            <w:gridSpan w:val="2"/>
            <w:shd w:val="clear" w:color="auto" w:fill="CCEEFF"/>
          </w:tcPr>
          <w:p>
            <w:pPr>
              <w:spacing w:after="0"/>
              <w:rPr>
                <w:sz w:val="18"/>
                <w:szCs w:val="18"/>
                <w:color w:val="auto"/>
              </w:rPr>
            </w:pPr>
          </w:p>
        </w:tc>
        <w:tc>
          <w:tcPr>
            <w:tcW w:w="380" w:type="dxa"/>
            <w:vAlign w:val="bottom"/>
            <w:tcBorders>
              <w:bottom w:val="single" w:sz="8" w:color="CCEEFF"/>
            </w:tcBorders>
            <w:shd w:val="clear" w:color="auto" w:fill="CCEEFF"/>
          </w:tcPr>
          <w:p>
            <w:pPr>
              <w:spacing w:after="0"/>
              <w:rPr>
                <w:sz w:val="18"/>
                <w:szCs w:val="18"/>
                <w:color w:val="auto"/>
              </w:rPr>
            </w:pPr>
          </w:p>
        </w:tc>
        <w:tc>
          <w:tcPr>
            <w:tcW w:w="1940" w:type="dxa"/>
            <w:vAlign w:val="bottom"/>
            <w:tcBorders>
              <w:bottom w:val="single" w:sz="8" w:color="0000FF"/>
            </w:tcBorders>
            <w:gridSpan w:val="5"/>
            <w:shd w:val="clear" w:color="auto" w:fill="CCEEFF"/>
          </w:tcPr>
          <w:p>
            <w:pPr>
              <w:spacing w:after="0" w:line="189" w:lineRule="exact"/>
              <w:rPr>
                <w:sz w:val="20"/>
                <w:szCs w:val="20"/>
                <w:color w:val="auto"/>
              </w:rPr>
            </w:pPr>
            <w:r>
              <w:rPr>
                <w:rFonts w:ascii="Arial" w:cs="Arial" w:eastAsia="Arial" w:hAnsi="Arial"/>
                <w:sz w:val="18"/>
                <w:szCs w:val="18"/>
                <w:color w:val="0000FF"/>
                <w:w w:val="99"/>
              </w:rPr>
              <w:t>Mine Safety Disclosures</w:t>
            </w:r>
          </w:p>
        </w:tc>
        <w:tc>
          <w:tcPr>
            <w:tcW w:w="6860" w:type="dxa"/>
            <w:vAlign w:val="bottom"/>
            <w:tcBorders>
              <w:bottom w:val="single" w:sz="8" w:color="CCEEFF"/>
            </w:tcBorders>
            <w:gridSpan w:val="5"/>
            <w:shd w:val="clear" w:color="auto" w:fill="CCEEFF"/>
          </w:tcPr>
          <w:p>
            <w:pPr>
              <w:spacing w:after="0"/>
              <w:rPr>
                <w:sz w:val="18"/>
                <w:szCs w:val="18"/>
                <w:color w:val="auto"/>
              </w:rPr>
            </w:pPr>
          </w:p>
        </w:tc>
        <w:tc>
          <w:tcPr>
            <w:tcW w:w="200" w:type="dxa"/>
            <w:vAlign w:val="bottom"/>
            <w:tcBorders>
              <w:bottom w:val="single" w:sz="8" w:color="0000FF"/>
            </w:tcBorders>
            <w:shd w:val="clear" w:color="auto" w:fill="CCEEFF"/>
          </w:tcPr>
          <w:p>
            <w:pPr>
              <w:jc w:val="right"/>
              <w:spacing w:after="0" w:line="189" w:lineRule="exact"/>
              <w:rPr>
                <w:sz w:val="20"/>
                <w:szCs w:val="20"/>
                <w:color w:val="auto"/>
              </w:rPr>
            </w:pPr>
            <w:r>
              <w:rPr>
                <w:rFonts w:ascii="Arial" w:cs="Arial" w:eastAsia="Arial" w:hAnsi="Arial"/>
                <w:sz w:val="18"/>
                <w:szCs w:val="18"/>
                <w:color w:val="0000FF"/>
                <w:w w:val="89"/>
              </w:rPr>
              <w:t>65</w:t>
            </w:r>
          </w:p>
        </w:tc>
        <w:tc>
          <w:tcPr>
            <w:tcW w:w="520" w:type="dxa"/>
            <w:vAlign w:val="bottom"/>
            <w:tcBorders>
              <w:bottom w:val="single" w:sz="8" w:color="CCEEFF"/>
            </w:tcBorders>
            <w:shd w:val="clear" w:color="auto" w:fill="CCEEFF"/>
          </w:tcPr>
          <w:p>
            <w:pPr>
              <w:spacing w:after="0"/>
              <w:rPr>
                <w:sz w:val="18"/>
                <w:szCs w:val="18"/>
                <w:color w:val="auto"/>
              </w:rPr>
            </w:pPr>
          </w:p>
        </w:tc>
        <w:tc>
          <w:tcPr>
            <w:tcW w:w="120" w:type="dxa"/>
            <w:vAlign w:val="bottom"/>
          </w:tcPr>
          <w:p>
            <w:pPr>
              <w:spacing w:after="0"/>
              <w:rPr>
                <w:sz w:val="18"/>
                <w:szCs w:val="18"/>
                <w:color w:val="auto"/>
              </w:rPr>
            </w:pPr>
          </w:p>
        </w:tc>
      </w:tr>
      <w:tr>
        <w:trPr>
          <w:trHeight w:val="189"/>
        </w:trPr>
        <w:tc>
          <w:tcPr>
            <w:tcW w:w="140" w:type="dxa"/>
            <w:vAlign w:val="bottom"/>
          </w:tcPr>
          <w:p>
            <w:pPr>
              <w:spacing w:after="0"/>
              <w:rPr>
                <w:sz w:val="16"/>
                <w:szCs w:val="16"/>
                <w:color w:val="auto"/>
              </w:rPr>
            </w:pPr>
          </w:p>
        </w:tc>
        <w:tc>
          <w:tcPr>
            <w:tcW w:w="1080" w:type="dxa"/>
            <w:vAlign w:val="bottom"/>
            <w:gridSpan w:val="3"/>
          </w:tcPr>
          <w:p>
            <w:pPr>
              <w:spacing w:after="0" w:line="189" w:lineRule="exact"/>
              <w:rPr>
                <w:sz w:val="20"/>
                <w:szCs w:val="20"/>
                <w:color w:val="auto"/>
              </w:rPr>
            </w:pPr>
            <w:r>
              <w:rPr>
                <w:rFonts w:ascii="Arial" w:cs="Arial" w:eastAsia="Arial" w:hAnsi="Arial"/>
                <w:sz w:val="18"/>
                <w:szCs w:val="18"/>
                <w:color w:val="0000FF"/>
              </w:rPr>
              <w:t>Item 5.</w:t>
            </w:r>
          </w:p>
        </w:tc>
        <w:tc>
          <w:tcPr>
            <w:tcW w:w="9180" w:type="dxa"/>
            <w:vAlign w:val="bottom"/>
            <w:gridSpan w:val="11"/>
          </w:tcPr>
          <w:p>
            <w:pPr>
              <w:ind w:left="380"/>
              <w:spacing w:after="0" w:line="189" w:lineRule="exact"/>
              <w:rPr>
                <w:sz w:val="20"/>
                <w:szCs w:val="20"/>
                <w:color w:val="auto"/>
              </w:rPr>
            </w:pPr>
            <w:r>
              <w:rPr>
                <w:rFonts w:ascii="Arial" w:cs="Arial" w:eastAsia="Arial" w:hAnsi="Arial"/>
                <w:sz w:val="18"/>
                <w:szCs w:val="18"/>
                <w:color w:val="0000FF"/>
              </w:rPr>
              <w:t>Other Information</w:t>
            </w:r>
          </w:p>
        </w:tc>
        <w:tc>
          <w:tcPr>
            <w:tcW w:w="720" w:type="dxa"/>
            <w:vAlign w:val="bottom"/>
            <w:gridSpan w:val="2"/>
          </w:tcPr>
          <w:p>
            <w:pPr>
              <w:jc w:val="right"/>
              <w:ind w:right="520"/>
              <w:spacing w:after="0" w:line="189" w:lineRule="exact"/>
              <w:rPr>
                <w:sz w:val="20"/>
                <w:szCs w:val="20"/>
                <w:color w:val="auto"/>
              </w:rPr>
            </w:pPr>
            <w:r>
              <w:rPr>
                <w:rFonts w:ascii="Arial" w:cs="Arial" w:eastAsia="Arial" w:hAnsi="Arial"/>
                <w:sz w:val="18"/>
                <w:szCs w:val="18"/>
                <w:color w:val="0000FF"/>
                <w:w w:val="89"/>
              </w:rPr>
              <w:t>65</w:t>
            </w:r>
          </w:p>
        </w:tc>
        <w:tc>
          <w:tcPr>
            <w:tcW w:w="120" w:type="dxa"/>
            <w:vAlign w:val="bottom"/>
          </w:tcPr>
          <w:p>
            <w:pPr>
              <w:spacing w:after="0"/>
              <w:rPr>
                <w:sz w:val="16"/>
                <w:szCs w:val="16"/>
                <w:color w:val="auto"/>
              </w:rPr>
            </w:pPr>
          </w:p>
        </w:tc>
      </w:tr>
      <w:tr>
        <w:trPr>
          <w:trHeight w:val="21"/>
        </w:trPr>
        <w:tc>
          <w:tcPr>
            <w:tcW w:w="140" w:type="dxa"/>
            <w:vAlign w:val="bottom"/>
          </w:tcPr>
          <w:p>
            <w:pPr>
              <w:spacing w:after="0" w:line="20" w:lineRule="exact"/>
              <w:rPr>
                <w:sz w:val="1"/>
                <w:szCs w:val="1"/>
                <w:color w:val="auto"/>
              </w:rPr>
            </w:pPr>
          </w:p>
        </w:tc>
        <w:tc>
          <w:tcPr>
            <w:tcW w:w="560" w:type="dxa"/>
            <w:vAlign w:val="bottom"/>
            <w:tcBorders>
              <w:top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40" w:type="dxa"/>
            <w:vAlign w:val="bottom"/>
            <w:tcBorders>
              <w:top w:val="single" w:sz="8" w:color="0000FF"/>
            </w:tcBorders>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09"/>
        </w:trPr>
        <w:tc>
          <w:tcPr>
            <w:tcW w:w="140" w:type="dxa"/>
            <w:vAlign w:val="bottom"/>
            <w:tcBorders>
              <w:right w:val="single" w:sz="8" w:color="CCEEFF"/>
            </w:tcBorders>
          </w:tcPr>
          <w:p>
            <w:pPr>
              <w:spacing w:after="0"/>
              <w:rPr>
                <w:sz w:val="18"/>
                <w:szCs w:val="18"/>
                <w:color w:val="auto"/>
              </w:rPr>
            </w:pPr>
          </w:p>
        </w:tc>
        <w:tc>
          <w:tcPr>
            <w:tcW w:w="1080" w:type="dxa"/>
            <w:vAlign w:val="bottom"/>
            <w:gridSpan w:val="3"/>
            <w:shd w:val="clear" w:color="auto" w:fill="CCEEFF"/>
          </w:tcPr>
          <w:p>
            <w:pPr>
              <w:spacing w:after="0" w:line="189" w:lineRule="exact"/>
              <w:rPr>
                <w:sz w:val="20"/>
                <w:szCs w:val="20"/>
                <w:color w:val="auto"/>
              </w:rPr>
            </w:pPr>
            <w:r>
              <w:rPr>
                <w:rFonts w:ascii="Arial" w:cs="Arial" w:eastAsia="Arial" w:hAnsi="Arial"/>
                <w:sz w:val="18"/>
                <w:szCs w:val="18"/>
                <w:color w:val="0000FF"/>
              </w:rPr>
              <w:t>Item 6.</w:t>
            </w:r>
          </w:p>
        </w:tc>
        <w:tc>
          <w:tcPr>
            <w:tcW w:w="9180" w:type="dxa"/>
            <w:vAlign w:val="bottom"/>
            <w:gridSpan w:val="11"/>
            <w:shd w:val="clear" w:color="auto" w:fill="CCEEFF"/>
          </w:tcPr>
          <w:p>
            <w:pPr>
              <w:ind w:left="380"/>
              <w:spacing w:after="0" w:line="189" w:lineRule="exact"/>
              <w:rPr>
                <w:sz w:val="20"/>
                <w:szCs w:val="20"/>
                <w:color w:val="auto"/>
              </w:rPr>
            </w:pPr>
            <w:r>
              <w:rPr>
                <w:rFonts w:ascii="Arial" w:cs="Arial" w:eastAsia="Arial" w:hAnsi="Arial"/>
                <w:sz w:val="18"/>
                <w:szCs w:val="18"/>
                <w:color w:val="0000FF"/>
              </w:rPr>
              <w:t>Exhibits</w:t>
            </w:r>
          </w:p>
        </w:tc>
        <w:tc>
          <w:tcPr>
            <w:tcW w:w="720" w:type="dxa"/>
            <w:vAlign w:val="bottom"/>
            <w:gridSpan w:val="2"/>
            <w:shd w:val="clear" w:color="auto" w:fill="CCEEFF"/>
          </w:tcPr>
          <w:p>
            <w:pPr>
              <w:jc w:val="right"/>
              <w:ind w:right="520"/>
              <w:spacing w:after="0" w:line="189" w:lineRule="exact"/>
              <w:rPr>
                <w:sz w:val="20"/>
                <w:szCs w:val="20"/>
                <w:color w:val="auto"/>
              </w:rPr>
            </w:pPr>
            <w:r>
              <w:rPr>
                <w:rFonts w:ascii="Arial" w:cs="Arial" w:eastAsia="Arial" w:hAnsi="Arial"/>
                <w:sz w:val="18"/>
                <w:szCs w:val="18"/>
                <w:color w:val="0000FF"/>
                <w:w w:val="89"/>
              </w:rPr>
              <w:t>65</w:t>
            </w:r>
          </w:p>
        </w:tc>
        <w:tc>
          <w:tcPr>
            <w:tcW w:w="120" w:type="dxa"/>
            <w:vAlign w:val="bottom"/>
          </w:tcPr>
          <w:p>
            <w:pPr>
              <w:spacing w:after="0"/>
              <w:rPr>
                <w:sz w:val="18"/>
                <w:szCs w:val="18"/>
                <w:color w:val="auto"/>
              </w:rPr>
            </w:pPr>
          </w:p>
        </w:tc>
      </w:tr>
      <w:tr>
        <w:trPr>
          <w:trHeight w:val="1182"/>
        </w:trPr>
        <w:tc>
          <w:tcPr>
            <w:tcW w:w="140" w:type="dxa"/>
            <w:vAlign w:val="bottom"/>
            <w:tcBorders>
              <w:bottom w:val="single" w:sz="8" w:color="9A9A9A"/>
            </w:tcBorders>
          </w:tcPr>
          <w:p>
            <w:pPr>
              <w:spacing w:after="0"/>
              <w:rPr>
                <w:sz w:val="24"/>
                <w:szCs w:val="24"/>
                <w:color w:val="auto"/>
              </w:rPr>
            </w:pPr>
          </w:p>
        </w:tc>
        <w:tc>
          <w:tcPr>
            <w:tcW w:w="560" w:type="dxa"/>
            <w:vAlign w:val="bottom"/>
            <w:tcBorders>
              <w:top w:val="single" w:sz="8" w:color="0000FF"/>
              <w:bottom w:val="single" w:sz="8" w:color="9A9A9A"/>
            </w:tcBorders>
          </w:tcPr>
          <w:p>
            <w:pPr>
              <w:spacing w:after="0"/>
              <w:rPr>
                <w:sz w:val="24"/>
                <w:szCs w:val="24"/>
                <w:color w:val="auto"/>
              </w:rPr>
            </w:pPr>
          </w:p>
        </w:tc>
        <w:tc>
          <w:tcPr>
            <w:tcW w:w="120" w:type="dxa"/>
            <w:vAlign w:val="bottom"/>
            <w:tcBorders>
              <w:top w:val="single" w:sz="8" w:color="CCEEFF"/>
              <w:bottom w:val="single" w:sz="8" w:color="9A9A9A"/>
            </w:tcBorders>
          </w:tcPr>
          <w:p>
            <w:pPr>
              <w:spacing w:after="0"/>
              <w:rPr>
                <w:sz w:val="24"/>
                <w:szCs w:val="24"/>
                <w:color w:val="auto"/>
              </w:rPr>
            </w:pPr>
          </w:p>
        </w:tc>
        <w:tc>
          <w:tcPr>
            <w:tcW w:w="400" w:type="dxa"/>
            <w:vAlign w:val="bottom"/>
            <w:tcBorders>
              <w:top w:val="single" w:sz="8" w:color="CCEEFF"/>
              <w:bottom w:val="single" w:sz="8" w:color="9A9A9A"/>
            </w:tcBorders>
          </w:tcPr>
          <w:p>
            <w:pPr>
              <w:spacing w:after="0"/>
              <w:rPr>
                <w:sz w:val="24"/>
                <w:szCs w:val="24"/>
                <w:color w:val="auto"/>
              </w:rPr>
            </w:pPr>
          </w:p>
        </w:tc>
        <w:tc>
          <w:tcPr>
            <w:tcW w:w="380" w:type="dxa"/>
            <w:vAlign w:val="bottom"/>
            <w:tcBorders>
              <w:top w:val="single" w:sz="8" w:color="CCEEFF"/>
              <w:bottom w:val="single" w:sz="8" w:color="9A9A9A"/>
            </w:tcBorders>
          </w:tcPr>
          <w:p>
            <w:pPr>
              <w:spacing w:after="0"/>
              <w:rPr>
                <w:sz w:val="24"/>
                <w:szCs w:val="24"/>
                <w:color w:val="auto"/>
              </w:rPr>
            </w:pPr>
          </w:p>
        </w:tc>
        <w:tc>
          <w:tcPr>
            <w:tcW w:w="640" w:type="dxa"/>
            <w:vAlign w:val="bottom"/>
            <w:tcBorders>
              <w:top w:val="single" w:sz="8" w:color="0000FF"/>
              <w:bottom w:val="single" w:sz="8" w:color="9A9A9A"/>
            </w:tcBorders>
          </w:tcPr>
          <w:p>
            <w:pPr>
              <w:spacing w:after="0"/>
              <w:rPr>
                <w:sz w:val="24"/>
                <w:szCs w:val="24"/>
                <w:color w:val="auto"/>
              </w:rPr>
            </w:pPr>
          </w:p>
        </w:tc>
        <w:tc>
          <w:tcPr>
            <w:tcW w:w="360" w:type="dxa"/>
            <w:vAlign w:val="bottom"/>
            <w:tcBorders>
              <w:top w:val="single" w:sz="8" w:color="CCEEFF"/>
              <w:bottom w:val="single" w:sz="8" w:color="9A9A9A"/>
            </w:tcBorders>
          </w:tcPr>
          <w:p>
            <w:pPr>
              <w:spacing w:after="0"/>
              <w:rPr>
                <w:sz w:val="24"/>
                <w:szCs w:val="24"/>
                <w:color w:val="auto"/>
              </w:rPr>
            </w:pPr>
          </w:p>
        </w:tc>
        <w:tc>
          <w:tcPr>
            <w:tcW w:w="400" w:type="dxa"/>
            <w:vAlign w:val="bottom"/>
            <w:tcBorders>
              <w:top w:val="single" w:sz="8" w:color="CCEEFF"/>
              <w:bottom w:val="single" w:sz="8" w:color="9A9A9A"/>
            </w:tcBorders>
          </w:tcPr>
          <w:p>
            <w:pPr>
              <w:spacing w:after="0"/>
              <w:rPr>
                <w:sz w:val="24"/>
                <w:szCs w:val="24"/>
                <w:color w:val="auto"/>
              </w:rPr>
            </w:pPr>
          </w:p>
        </w:tc>
        <w:tc>
          <w:tcPr>
            <w:tcW w:w="100" w:type="dxa"/>
            <w:vAlign w:val="bottom"/>
            <w:tcBorders>
              <w:top w:val="single" w:sz="8" w:color="CCEEFF"/>
              <w:bottom w:val="single" w:sz="8" w:color="9A9A9A"/>
            </w:tcBorders>
          </w:tcPr>
          <w:p>
            <w:pPr>
              <w:spacing w:after="0"/>
              <w:rPr>
                <w:sz w:val="24"/>
                <w:szCs w:val="24"/>
                <w:color w:val="auto"/>
              </w:rPr>
            </w:pPr>
          </w:p>
        </w:tc>
        <w:tc>
          <w:tcPr>
            <w:tcW w:w="440" w:type="dxa"/>
            <w:vAlign w:val="bottom"/>
            <w:tcBorders>
              <w:top w:val="single" w:sz="8" w:color="CCEEFF"/>
              <w:bottom w:val="single" w:sz="8" w:color="9A9A9A"/>
            </w:tcBorders>
          </w:tcPr>
          <w:p>
            <w:pPr>
              <w:spacing w:after="0"/>
              <w:rPr>
                <w:sz w:val="24"/>
                <w:szCs w:val="24"/>
                <w:color w:val="auto"/>
              </w:rPr>
            </w:pPr>
          </w:p>
        </w:tc>
        <w:tc>
          <w:tcPr>
            <w:tcW w:w="620" w:type="dxa"/>
            <w:vAlign w:val="bottom"/>
            <w:tcBorders>
              <w:top w:val="single" w:sz="8" w:color="CCEEFF"/>
              <w:bottom w:val="single" w:sz="8" w:color="9A9A9A"/>
            </w:tcBorders>
          </w:tcPr>
          <w:p>
            <w:pPr>
              <w:spacing w:after="0"/>
              <w:rPr>
                <w:sz w:val="24"/>
                <w:szCs w:val="24"/>
                <w:color w:val="auto"/>
              </w:rPr>
            </w:pPr>
          </w:p>
        </w:tc>
        <w:tc>
          <w:tcPr>
            <w:tcW w:w="100" w:type="dxa"/>
            <w:vAlign w:val="bottom"/>
            <w:tcBorders>
              <w:top w:val="single" w:sz="8" w:color="CCEEFF"/>
              <w:bottom w:val="single" w:sz="8" w:color="9A9A9A"/>
            </w:tcBorders>
          </w:tcPr>
          <w:p>
            <w:pPr>
              <w:spacing w:after="0"/>
              <w:rPr>
                <w:sz w:val="24"/>
                <w:szCs w:val="24"/>
                <w:color w:val="auto"/>
              </w:rPr>
            </w:pPr>
          </w:p>
        </w:tc>
        <w:tc>
          <w:tcPr>
            <w:tcW w:w="2200" w:type="dxa"/>
            <w:vAlign w:val="bottom"/>
            <w:tcBorders>
              <w:top w:val="single" w:sz="8" w:color="CCEEFF"/>
              <w:bottom w:val="single" w:sz="8" w:color="9A9A9A"/>
            </w:tcBorders>
          </w:tcPr>
          <w:p>
            <w:pPr>
              <w:spacing w:after="0"/>
              <w:rPr>
                <w:sz w:val="24"/>
                <w:szCs w:val="24"/>
                <w:color w:val="auto"/>
              </w:rPr>
            </w:pPr>
          </w:p>
        </w:tc>
        <w:tc>
          <w:tcPr>
            <w:tcW w:w="520" w:type="dxa"/>
            <w:vAlign w:val="bottom"/>
            <w:tcBorders>
              <w:top w:val="single" w:sz="8" w:color="CCEEFF"/>
              <w:bottom w:val="single" w:sz="8" w:color="9A9A9A"/>
            </w:tcBorders>
          </w:tcPr>
          <w:p>
            <w:pPr>
              <w:spacing w:after="0"/>
              <w:rPr>
                <w:sz w:val="24"/>
                <w:szCs w:val="24"/>
                <w:color w:val="auto"/>
              </w:rPr>
            </w:pPr>
          </w:p>
        </w:tc>
        <w:tc>
          <w:tcPr>
            <w:tcW w:w="3420" w:type="dxa"/>
            <w:vAlign w:val="bottom"/>
            <w:tcBorders>
              <w:top w:val="single" w:sz="8" w:color="CCEEFF"/>
              <w:bottom w:val="single" w:sz="8" w:color="9A9A9A"/>
            </w:tcBorders>
          </w:tcPr>
          <w:p>
            <w:pPr>
              <w:spacing w:after="0"/>
              <w:rPr>
                <w:sz w:val="24"/>
                <w:szCs w:val="24"/>
                <w:color w:val="auto"/>
              </w:rPr>
            </w:pPr>
          </w:p>
        </w:tc>
        <w:tc>
          <w:tcPr>
            <w:tcW w:w="200" w:type="dxa"/>
            <w:vAlign w:val="bottom"/>
            <w:tcBorders>
              <w:top w:val="single" w:sz="8" w:color="0000FF"/>
              <w:bottom w:val="single" w:sz="8" w:color="9A9A9A"/>
            </w:tcBorders>
          </w:tcPr>
          <w:p>
            <w:pPr>
              <w:spacing w:after="0"/>
              <w:rPr>
                <w:sz w:val="24"/>
                <w:szCs w:val="24"/>
                <w:color w:val="auto"/>
              </w:rPr>
            </w:pPr>
          </w:p>
        </w:tc>
        <w:tc>
          <w:tcPr>
            <w:tcW w:w="520" w:type="dxa"/>
            <w:vAlign w:val="bottom"/>
            <w:tcBorders>
              <w:top w:val="single" w:sz="8" w:color="CCEEFF"/>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01" w:right="339" w:bottom="1440" w:gutter="0" w:footer="0" w:header="0"/>
        </w:sectPr>
      </w:pPr>
    </w:p>
    <w:bookmarkStart w:id="3" w:name="page4"/>
    <w:bookmarkEnd w:id="3"/>
    <w:p>
      <w:pPr>
        <w:spacing w:after="0" w:line="35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PART I—FINANCIAL INFORMATION</w:t>
      </w:r>
    </w:p>
    <w:p>
      <w:pPr>
        <w:spacing w:after="0" w:line="5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1. Financial Statements.</w:t>
      </w:r>
    </w:p>
    <w:p>
      <w:pPr>
        <w:spacing w:after="0" w:line="229" w:lineRule="exact"/>
        <w:rPr>
          <w:sz w:val="20"/>
          <w:szCs w:val="20"/>
          <w:color w:val="auto"/>
        </w:rPr>
      </w:pPr>
    </w:p>
    <w:p>
      <w:pPr>
        <w:ind w:left="4480"/>
        <w:spacing w:after="0"/>
        <w:rPr>
          <w:sz w:val="20"/>
          <w:szCs w:val="20"/>
          <w:color w:val="auto"/>
        </w:rPr>
      </w:pPr>
      <w:r>
        <w:rPr>
          <w:rFonts w:ascii="Arial" w:cs="Arial" w:eastAsia="Arial" w:hAnsi="Arial"/>
          <w:sz w:val="20"/>
          <w:szCs w:val="20"/>
          <w:b w:val="1"/>
          <w:bCs w:val="1"/>
          <w:color w:val="auto"/>
        </w:rPr>
        <w:t>Array Technologies, Inc.</w:t>
      </w:r>
    </w:p>
    <w:p>
      <w:pPr>
        <w:spacing w:after="0" w:line="33" w:lineRule="exact"/>
        <w:rPr>
          <w:sz w:val="20"/>
          <w:szCs w:val="20"/>
          <w:color w:val="auto"/>
        </w:rPr>
      </w:pPr>
    </w:p>
    <w:p>
      <w:pPr>
        <w:ind w:left="3100"/>
        <w:spacing w:after="0"/>
        <w:rPr>
          <w:sz w:val="20"/>
          <w:szCs w:val="20"/>
          <w:color w:val="auto"/>
        </w:rPr>
      </w:pPr>
      <w:r>
        <w:rPr>
          <w:rFonts w:ascii="Arial" w:cs="Arial" w:eastAsia="Arial" w:hAnsi="Arial"/>
          <w:sz w:val="20"/>
          <w:szCs w:val="20"/>
          <w:b w:val="1"/>
          <w:bCs w:val="1"/>
          <w:color w:val="auto"/>
        </w:rPr>
        <w:t xml:space="preserve">Condensed Consolidated Balance Sheets </w:t>
      </w:r>
      <w:r>
        <w:rPr>
          <w:rFonts w:ascii="Arial" w:cs="Arial" w:eastAsia="Arial" w:hAnsi="Arial"/>
          <w:sz w:val="20"/>
          <w:szCs w:val="20"/>
          <w:b w:val="1"/>
          <w:bCs w:val="1"/>
          <w:i w:val="1"/>
          <w:iCs w:val="1"/>
          <w:color w:val="auto"/>
        </w:rPr>
        <w:t>(unaudited)</w:t>
      </w:r>
    </w:p>
    <w:p>
      <w:pPr>
        <w:jc w:val="center"/>
        <w:spacing w:after="0"/>
        <w:rPr>
          <w:sz w:val="20"/>
          <w:szCs w:val="20"/>
          <w:color w:val="auto"/>
        </w:rPr>
      </w:pPr>
      <w:r>
        <w:rPr>
          <w:rFonts w:ascii="Arial" w:cs="Arial" w:eastAsia="Arial" w:hAnsi="Arial"/>
          <w:sz w:val="20"/>
          <w:szCs w:val="20"/>
          <w:i w:val="1"/>
          <w:iCs w:val="1"/>
          <w:color w:val="auto"/>
        </w:rPr>
        <w:t>(in thousands, except per share and share amounts)</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277"/>
        </w:trPr>
        <w:tc>
          <w:tcPr>
            <w:tcW w:w="6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20" w:type="dxa"/>
            <w:vAlign w:val="bottom"/>
            <w:gridSpan w:val="2"/>
          </w:tcPr>
          <w:p>
            <w:pPr>
              <w:ind w:left="60"/>
              <w:spacing w:after="0"/>
              <w:rPr>
                <w:sz w:val="20"/>
                <w:szCs w:val="20"/>
                <w:color w:val="auto"/>
              </w:rPr>
            </w:pPr>
            <w:r>
              <w:rPr>
                <w:rFonts w:ascii="Arial" w:cs="Arial" w:eastAsia="Arial" w:hAnsi="Arial"/>
                <w:sz w:val="20"/>
                <w:szCs w:val="20"/>
                <w:b w:val="1"/>
                <w:bCs w:val="1"/>
                <w:color w:val="auto"/>
              </w:rPr>
              <w:t>September 30, 2025</w:t>
            </w:r>
          </w:p>
        </w:tc>
        <w:tc>
          <w:tcPr>
            <w:tcW w:w="200" w:type="dxa"/>
            <w:vAlign w:val="bottom"/>
          </w:tcPr>
          <w:p>
            <w:pPr>
              <w:spacing w:after="0"/>
              <w:rPr>
                <w:sz w:val="24"/>
                <w:szCs w:val="24"/>
                <w:color w:val="auto"/>
              </w:rPr>
            </w:pPr>
          </w:p>
        </w:tc>
        <w:tc>
          <w:tcPr>
            <w:tcW w:w="2120" w:type="dxa"/>
            <w:vAlign w:val="bottom"/>
          </w:tcPr>
          <w:p>
            <w:pPr>
              <w:jc w:val="right"/>
              <w:ind w:right="161"/>
              <w:spacing w:after="0"/>
              <w:rPr>
                <w:sz w:val="20"/>
                <w:szCs w:val="20"/>
                <w:color w:val="auto"/>
              </w:rPr>
            </w:pPr>
            <w:r>
              <w:rPr>
                <w:rFonts w:ascii="Arial" w:cs="Arial" w:eastAsia="Arial" w:hAnsi="Arial"/>
                <w:sz w:val="20"/>
                <w:szCs w:val="20"/>
                <w:b w:val="1"/>
                <w:bCs w:val="1"/>
                <w:color w:val="auto"/>
              </w:rPr>
              <w:t>December 31, 2024</w:t>
            </w:r>
          </w:p>
        </w:tc>
        <w:tc>
          <w:tcPr>
            <w:tcW w:w="0" w:type="dxa"/>
            <w:vAlign w:val="bottom"/>
          </w:tcPr>
          <w:p>
            <w:pPr>
              <w:spacing w:after="0"/>
              <w:rPr>
                <w:sz w:val="1"/>
                <w:szCs w:val="1"/>
                <w:color w:val="auto"/>
              </w:rPr>
            </w:pPr>
          </w:p>
        </w:tc>
      </w:tr>
      <w:tr>
        <w:trPr>
          <w:trHeight w:val="240"/>
        </w:trPr>
        <w:tc>
          <w:tcPr>
            <w:tcW w:w="6520" w:type="dxa"/>
            <w:vAlign w:val="bottom"/>
            <w:tcBorders>
              <w:top w:val="single" w:sz="8" w:color="CCEEFF"/>
            </w:tcBorders>
            <w:shd w:val="clear" w:color="auto" w:fill="CCEEFF"/>
          </w:tcPr>
          <w:p>
            <w:pPr>
              <w:ind w:left="5220"/>
              <w:spacing w:after="0"/>
              <w:rPr>
                <w:sz w:val="20"/>
                <w:szCs w:val="20"/>
                <w:color w:val="auto"/>
              </w:rPr>
            </w:pPr>
            <w:r>
              <w:rPr>
                <w:rFonts w:ascii="Arial" w:cs="Arial" w:eastAsia="Arial" w:hAnsi="Arial"/>
                <w:sz w:val="20"/>
                <w:szCs w:val="20"/>
                <w:b w:val="1"/>
                <w:bCs w:val="1"/>
                <w:color w:val="auto"/>
              </w:rPr>
              <w:t>ASSETS</w:t>
            </w:r>
          </w:p>
        </w:tc>
        <w:tc>
          <w:tcPr>
            <w:tcW w:w="180" w:type="dxa"/>
            <w:vAlign w:val="bottom"/>
            <w:tcBorders>
              <w:top w:val="single" w:sz="8" w:color="auto"/>
            </w:tcBorders>
            <w:shd w:val="clear" w:color="auto" w:fill="CCEEFF"/>
          </w:tcPr>
          <w:p>
            <w:pPr>
              <w:spacing w:after="0"/>
              <w:rPr>
                <w:sz w:val="20"/>
                <w:szCs w:val="20"/>
                <w:color w:val="auto"/>
              </w:rPr>
            </w:pPr>
          </w:p>
        </w:tc>
        <w:tc>
          <w:tcPr>
            <w:tcW w:w="2140" w:type="dxa"/>
            <w:vAlign w:val="bottom"/>
            <w:tcBorders>
              <w:top w:val="single" w:sz="8" w:color="auto"/>
            </w:tcBorders>
            <w:shd w:val="clear" w:color="auto" w:fill="CCEEFF"/>
          </w:tcPr>
          <w:p>
            <w:pPr>
              <w:spacing w:after="0"/>
              <w:rPr>
                <w:sz w:val="20"/>
                <w:szCs w:val="20"/>
                <w:color w:val="auto"/>
              </w:rPr>
            </w:pPr>
          </w:p>
        </w:tc>
        <w:tc>
          <w:tcPr>
            <w:tcW w:w="80" w:type="dxa"/>
            <w:vAlign w:val="bottom"/>
            <w:tcBorders>
              <w:top w:val="single" w:sz="8" w:color="CCEEFF"/>
            </w:tcBorders>
            <w:shd w:val="clear" w:color="auto" w:fill="CCEEFF"/>
          </w:tcPr>
          <w:p>
            <w:pPr>
              <w:spacing w:after="0"/>
              <w:rPr>
                <w:sz w:val="20"/>
                <w:szCs w:val="20"/>
                <w:color w:val="auto"/>
              </w:rPr>
            </w:pPr>
          </w:p>
        </w:tc>
        <w:tc>
          <w:tcPr>
            <w:tcW w:w="200" w:type="dxa"/>
            <w:vAlign w:val="bottom"/>
            <w:tcBorders>
              <w:top w:val="single" w:sz="8" w:color="auto"/>
            </w:tcBorders>
            <w:shd w:val="clear" w:color="auto" w:fill="CCEEFF"/>
          </w:tcPr>
          <w:p>
            <w:pPr>
              <w:spacing w:after="0"/>
              <w:rPr>
                <w:sz w:val="20"/>
                <w:szCs w:val="20"/>
                <w:color w:val="auto"/>
              </w:rPr>
            </w:pPr>
          </w:p>
        </w:tc>
        <w:tc>
          <w:tcPr>
            <w:tcW w:w="2120" w:type="dxa"/>
            <w:vAlign w:val="bottom"/>
            <w:tcBorders>
              <w:top w:val="single" w:sz="8" w:color="auto"/>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6520" w:type="dxa"/>
            <w:vAlign w:val="bottom"/>
          </w:tcPr>
          <w:p>
            <w:pPr>
              <w:ind w:left="20"/>
              <w:spacing w:after="0"/>
              <w:rPr>
                <w:sz w:val="20"/>
                <w:szCs w:val="20"/>
                <w:color w:val="auto"/>
              </w:rPr>
            </w:pPr>
            <w:r>
              <w:rPr>
                <w:rFonts w:ascii="Arial" w:cs="Arial" w:eastAsia="Arial" w:hAnsi="Arial"/>
                <w:sz w:val="20"/>
                <w:szCs w:val="20"/>
                <w:color w:val="auto"/>
              </w:rPr>
              <w:t>Current assets</w:t>
            </w:r>
          </w:p>
        </w:tc>
        <w:tc>
          <w:tcPr>
            <w:tcW w:w="180" w:type="dxa"/>
            <w:vAlign w:val="bottom"/>
          </w:tcPr>
          <w:p>
            <w:pPr>
              <w:spacing w:after="0"/>
              <w:rPr>
                <w:sz w:val="22"/>
                <w:szCs w:val="22"/>
                <w:color w:val="auto"/>
              </w:rPr>
            </w:pPr>
          </w:p>
        </w:tc>
        <w:tc>
          <w:tcPr>
            <w:tcW w:w="2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6520" w:type="dxa"/>
            <w:vAlign w:val="bottom"/>
            <w:shd w:val="clear" w:color="auto" w:fill="CCEEFF"/>
          </w:tcPr>
          <w:p>
            <w:pPr>
              <w:ind w:left="240"/>
              <w:spacing w:after="0"/>
              <w:rPr>
                <w:sz w:val="20"/>
                <w:szCs w:val="20"/>
                <w:color w:val="auto"/>
              </w:rPr>
            </w:pPr>
            <w:r>
              <w:rPr>
                <w:rFonts w:ascii="Arial" w:cs="Arial" w:eastAsia="Arial" w:hAnsi="Arial"/>
                <w:sz w:val="20"/>
                <w:szCs w:val="20"/>
                <w:color w:val="auto"/>
              </w:rPr>
              <w:t>Cash and cash equivalents</w:t>
            </w:r>
          </w:p>
        </w:tc>
        <w:tc>
          <w:tcPr>
            <w:tcW w:w="1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21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221,516</w:t>
            </w:r>
          </w:p>
        </w:tc>
        <w:tc>
          <w:tcPr>
            <w:tcW w:w="80" w:type="dxa"/>
            <w:vAlign w:val="bottom"/>
            <w:shd w:val="clear" w:color="auto" w:fill="CCEEFF"/>
          </w:tcPr>
          <w:p>
            <w:pPr>
              <w:spacing w:after="0"/>
              <w:rPr>
                <w:sz w:val="22"/>
                <w:szCs w:val="22"/>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20"/>
                <w:szCs w:val="20"/>
                <w:color w:val="auto"/>
                <w:w w:val="89"/>
              </w:rPr>
              <w:t>$</w:t>
            </w:r>
          </w:p>
        </w:tc>
        <w:tc>
          <w:tcPr>
            <w:tcW w:w="21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362,992</w:t>
            </w:r>
          </w:p>
        </w:tc>
        <w:tc>
          <w:tcPr>
            <w:tcW w:w="0" w:type="dxa"/>
            <w:vAlign w:val="bottom"/>
          </w:tcPr>
          <w:p>
            <w:pPr>
              <w:spacing w:after="0"/>
              <w:rPr>
                <w:sz w:val="1"/>
                <w:szCs w:val="1"/>
                <w:color w:val="auto"/>
              </w:rPr>
            </w:pPr>
          </w:p>
        </w:tc>
      </w:tr>
      <w:tr>
        <w:trPr>
          <w:trHeight w:val="257"/>
        </w:trPr>
        <w:tc>
          <w:tcPr>
            <w:tcW w:w="6520" w:type="dxa"/>
            <w:vAlign w:val="bottom"/>
          </w:tcPr>
          <w:p>
            <w:pPr>
              <w:ind w:left="240"/>
              <w:spacing w:after="0"/>
              <w:rPr>
                <w:sz w:val="20"/>
                <w:szCs w:val="20"/>
                <w:color w:val="auto"/>
              </w:rPr>
            </w:pPr>
            <w:r>
              <w:rPr>
                <w:rFonts w:ascii="Arial" w:cs="Arial" w:eastAsia="Arial" w:hAnsi="Arial"/>
                <w:sz w:val="20"/>
                <w:szCs w:val="20"/>
                <w:color w:val="auto"/>
              </w:rPr>
              <w:t>Restricted cash</w:t>
            </w:r>
          </w:p>
        </w:tc>
        <w:tc>
          <w:tcPr>
            <w:tcW w:w="180" w:type="dxa"/>
            <w:vAlign w:val="bottom"/>
          </w:tcPr>
          <w:p>
            <w:pPr>
              <w:spacing w:after="0"/>
              <w:rPr>
                <w:sz w:val="22"/>
                <w:szCs w:val="22"/>
                <w:color w:val="auto"/>
              </w:rPr>
            </w:pPr>
          </w:p>
        </w:tc>
        <w:tc>
          <w:tcPr>
            <w:tcW w:w="2140" w:type="dxa"/>
            <w:vAlign w:val="bottom"/>
          </w:tcPr>
          <w:p>
            <w:pPr>
              <w:jc w:val="right"/>
              <w:spacing w:after="0"/>
              <w:rPr>
                <w:sz w:val="20"/>
                <w:szCs w:val="20"/>
                <w:color w:val="auto"/>
              </w:rPr>
            </w:pPr>
            <w:r>
              <w:rPr>
                <w:rFonts w:ascii="Arial" w:cs="Arial" w:eastAsia="Arial" w:hAnsi="Arial"/>
                <w:sz w:val="20"/>
                <w:szCs w:val="20"/>
                <w:color w:val="auto"/>
              </w:rPr>
              <w:t>1,587</w:t>
            </w: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120" w:type="dxa"/>
            <w:vAlign w:val="bottom"/>
          </w:tcPr>
          <w:p>
            <w:pPr>
              <w:jc w:val="right"/>
              <w:spacing w:after="0"/>
              <w:rPr>
                <w:sz w:val="20"/>
                <w:szCs w:val="20"/>
                <w:color w:val="auto"/>
              </w:rPr>
            </w:pPr>
            <w:r>
              <w:rPr>
                <w:rFonts w:ascii="Arial" w:cs="Arial" w:eastAsia="Arial" w:hAnsi="Arial"/>
                <w:sz w:val="20"/>
                <w:szCs w:val="20"/>
                <w:color w:val="auto"/>
              </w:rPr>
              <w:t>1,149</w:t>
            </w:r>
          </w:p>
        </w:tc>
        <w:tc>
          <w:tcPr>
            <w:tcW w:w="0" w:type="dxa"/>
            <w:vAlign w:val="bottom"/>
          </w:tcPr>
          <w:p>
            <w:pPr>
              <w:spacing w:after="0"/>
              <w:rPr>
                <w:sz w:val="1"/>
                <w:szCs w:val="1"/>
                <w:color w:val="auto"/>
              </w:rPr>
            </w:pPr>
          </w:p>
        </w:tc>
      </w:tr>
      <w:tr>
        <w:trPr>
          <w:trHeight w:val="194"/>
        </w:trPr>
        <w:tc>
          <w:tcPr>
            <w:tcW w:w="6520" w:type="dxa"/>
            <w:vAlign w:val="bottom"/>
            <w:shd w:val="clear" w:color="auto" w:fill="CCEEFF"/>
          </w:tcPr>
          <w:p>
            <w:pPr>
              <w:ind w:left="240"/>
              <w:spacing w:after="0" w:line="194" w:lineRule="exact"/>
              <w:rPr>
                <w:sz w:val="20"/>
                <w:szCs w:val="20"/>
                <w:color w:val="auto"/>
              </w:rPr>
            </w:pPr>
            <w:r>
              <w:rPr>
                <w:rFonts w:ascii="Arial" w:cs="Arial" w:eastAsia="Arial" w:hAnsi="Arial"/>
                <w:sz w:val="20"/>
                <w:szCs w:val="20"/>
                <w:color w:val="auto"/>
              </w:rPr>
              <w:t>Accounts receivable, net of allowance of $8,418 and $4,848,</w:t>
            </w:r>
          </w:p>
        </w:tc>
        <w:tc>
          <w:tcPr>
            <w:tcW w:w="180" w:type="dxa"/>
            <w:vAlign w:val="bottom"/>
            <w:shd w:val="clear" w:color="auto" w:fill="CCEEFF"/>
          </w:tcPr>
          <w:p>
            <w:pPr>
              <w:spacing w:after="0"/>
              <w:rPr>
                <w:sz w:val="16"/>
                <w:szCs w:val="16"/>
                <w:color w:val="auto"/>
              </w:rPr>
            </w:pPr>
          </w:p>
        </w:tc>
        <w:tc>
          <w:tcPr>
            <w:tcW w:w="2140" w:type="dxa"/>
            <w:vAlign w:val="bottom"/>
            <w:vMerge w:val="restart"/>
            <w:shd w:val="clear" w:color="auto" w:fill="CCEEFF"/>
          </w:tcPr>
          <w:p>
            <w:pPr>
              <w:jc w:val="right"/>
              <w:spacing w:after="0"/>
              <w:rPr>
                <w:sz w:val="20"/>
                <w:szCs w:val="20"/>
                <w:color w:val="auto"/>
              </w:rPr>
            </w:pPr>
            <w:r>
              <w:rPr>
                <w:rFonts w:ascii="Arial" w:cs="Arial" w:eastAsia="Arial" w:hAnsi="Arial"/>
                <w:sz w:val="20"/>
                <w:szCs w:val="20"/>
                <w:color w:val="auto"/>
              </w:rPr>
              <w:t>378,592</w:t>
            </w: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120" w:type="dxa"/>
            <w:vAlign w:val="bottom"/>
            <w:vMerge w:val="restart"/>
            <w:shd w:val="clear" w:color="auto" w:fill="CCEEFF"/>
          </w:tcPr>
          <w:p>
            <w:pPr>
              <w:jc w:val="right"/>
              <w:spacing w:after="0"/>
              <w:rPr>
                <w:sz w:val="20"/>
                <w:szCs w:val="20"/>
                <w:color w:val="auto"/>
              </w:rPr>
            </w:pPr>
            <w:r>
              <w:rPr>
                <w:rFonts w:ascii="Arial" w:cs="Arial" w:eastAsia="Arial" w:hAnsi="Arial"/>
                <w:sz w:val="20"/>
                <w:szCs w:val="20"/>
                <w:color w:val="auto"/>
              </w:rPr>
              <w:t>275,838</w:t>
            </w:r>
          </w:p>
        </w:tc>
        <w:tc>
          <w:tcPr>
            <w:tcW w:w="0" w:type="dxa"/>
            <w:vAlign w:val="bottom"/>
          </w:tcPr>
          <w:p>
            <w:pPr>
              <w:spacing w:after="0"/>
              <w:rPr>
                <w:sz w:val="1"/>
                <w:szCs w:val="1"/>
                <w:color w:val="auto"/>
              </w:rPr>
            </w:pPr>
          </w:p>
        </w:tc>
      </w:tr>
      <w:tr>
        <w:trPr>
          <w:trHeight w:val="251"/>
        </w:trPr>
        <w:tc>
          <w:tcPr>
            <w:tcW w:w="6520" w:type="dxa"/>
            <w:vAlign w:val="bottom"/>
            <w:shd w:val="clear" w:color="auto" w:fill="CCEEFF"/>
          </w:tcPr>
          <w:p>
            <w:pPr>
              <w:ind w:left="240"/>
              <w:spacing w:after="0"/>
              <w:rPr>
                <w:sz w:val="20"/>
                <w:szCs w:val="20"/>
                <w:color w:val="auto"/>
              </w:rPr>
            </w:pPr>
            <w:r>
              <w:rPr>
                <w:rFonts w:ascii="Arial" w:cs="Arial" w:eastAsia="Arial" w:hAnsi="Arial"/>
                <w:sz w:val="20"/>
                <w:szCs w:val="20"/>
                <w:color w:val="auto"/>
              </w:rPr>
              <w:t>respectively</w:t>
            </w:r>
          </w:p>
        </w:tc>
        <w:tc>
          <w:tcPr>
            <w:tcW w:w="180" w:type="dxa"/>
            <w:vAlign w:val="bottom"/>
            <w:shd w:val="clear" w:color="auto" w:fill="CCEEFF"/>
          </w:tcPr>
          <w:p>
            <w:pPr>
              <w:spacing w:after="0"/>
              <w:rPr>
                <w:sz w:val="21"/>
                <w:szCs w:val="21"/>
                <w:color w:val="auto"/>
              </w:rPr>
            </w:pPr>
          </w:p>
        </w:tc>
        <w:tc>
          <w:tcPr>
            <w:tcW w:w="2140" w:type="dxa"/>
            <w:vAlign w:val="bottom"/>
            <w:vMerge w:val="continue"/>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212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6520" w:type="dxa"/>
            <w:vAlign w:val="bottom"/>
          </w:tcPr>
          <w:p>
            <w:pPr>
              <w:ind w:left="240"/>
              <w:spacing w:after="0"/>
              <w:rPr>
                <w:sz w:val="20"/>
                <w:szCs w:val="20"/>
                <w:color w:val="auto"/>
              </w:rPr>
            </w:pPr>
            <w:r>
              <w:rPr>
                <w:rFonts w:ascii="Arial" w:cs="Arial" w:eastAsia="Arial" w:hAnsi="Arial"/>
                <w:sz w:val="20"/>
                <w:szCs w:val="20"/>
                <w:color w:val="auto"/>
              </w:rPr>
              <w:t>Inventories, net</w:t>
            </w:r>
          </w:p>
        </w:tc>
        <w:tc>
          <w:tcPr>
            <w:tcW w:w="180" w:type="dxa"/>
            <w:vAlign w:val="bottom"/>
          </w:tcPr>
          <w:p>
            <w:pPr>
              <w:spacing w:after="0"/>
              <w:rPr>
                <w:sz w:val="22"/>
                <w:szCs w:val="22"/>
                <w:color w:val="auto"/>
              </w:rPr>
            </w:pPr>
          </w:p>
        </w:tc>
        <w:tc>
          <w:tcPr>
            <w:tcW w:w="2140" w:type="dxa"/>
            <w:vAlign w:val="bottom"/>
          </w:tcPr>
          <w:p>
            <w:pPr>
              <w:jc w:val="right"/>
              <w:spacing w:after="0"/>
              <w:rPr>
                <w:sz w:val="20"/>
                <w:szCs w:val="20"/>
                <w:color w:val="auto"/>
              </w:rPr>
            </w:pPr>
            <w:r>
              <w:rPr>
                <w:rFonts w:ascii="Arial" w:cs="Arial" w:eastAsia="Arial" w:hAnsi="Arial"/>
                <w:sz w:val="20"/>
                <w:szCs w:val="20"/>
                <w:color w:val="auto"/>
              </w:rPr>
              <w:t>180,885</w:t>
            </w: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120" w:type="dxa"/>
            <w:vAlign w:val="bottom"/>
          </w:tcPr>
          <w:p>
            <w:pPr>
              <w:jc w:val="right"/>
              <w:spacing w:after="0"/>
              <w:rPr>
                <w:sz w:val="20"/>
                <w:szCs w:val="20"/>
                <w:color w:val="auto"/>
              </w:rPr>
            </w:pPr>
            <w:r>
              <w:rPr>
                <w:rFonts w:ascii="Arial" w:cs="Arial" w:eastAsia="Arial" w:hAnsi="Arial"/>
                <w:sz w:val="20"/>
                <w:szCs w:val="20"/>
                <w:color w:val="auto"/>
              </w:rPr>
              <w:t>200,818</w:t>
            </w:r>
          </w:p>
        </w:tc>
        <w:tc>
          <w:tcPr>
            <w:tcW w:w="0" w:type="dxa"/>
            <w:vAlign w:val="bottom"/>
          </w:tcPr>
          <w:p>
            <w:pPr>
              <w:spacing w:after="0"/>
              <w:rPr>
                <w:sz w:val="1"/>
                <w:szCs w:val="1"/>
                <w:color w:val="auto"/>
              </w:rPr>
            </w:pPr>
          </w:p>
        </w:tc>
      </w:tr>
      <w:tr>
        <w:trPr>
          <w:trHeight w:val="257"/>
        </w:trPr>
        <w:tc>
          <w:tcPr>
            <w:tcW w:w="6520" w:type="dxa"/>
            <w:vAlign w:val="bottom"/>
            <w:shd w:val="clear" w:color="auto" w:fill="CCEEFF"/>
          </w:tcPr>
          <w:p>
            <w:pPr>
              <w:ind w:left="240"/>
              <w:spacing w:after="0"/>
              <w:rPr>
                <w:sz w:val="20"/>
                <w:szCs w:val="20"/>
                <w:color w:val="auto"/>
              </w:rPr>
            </w:pPr>
            <w:r>
              <w:rPr>
                <w:rFonts w:ascii="Arial" w:cs="Arial" w:eastAsia="Arial" w:hAnsi="Arial"/>
                <w:sz w:val="20"/>
                <w:szCs w:val="20"/>
                <w:color w:val="auto"/>
              </w:rPr>
              <w:t>Prepaid expenses and other</w:t>
            </w:r>
          </w:p>
        </w:tc>
        <w:tc>
          <w:tcPr>
            <w:tcW w:w="180" w:type="dxa"/>
            <w:vAlign w:val="bottom"/>
            <w:tcBorders>
              <w:bottom w:val="single" w:sz="8" w:color="auto"/>
            </w:tcBorders>
            <w:shd w:val="clear" w:color="auto" w:fill="CCEEFF"/>
          </w:tcPr>
          <w:p>
            <w:pPr>
              <w:spacing w:after="0"/>
              <w:rPr>
                <w:sz w:val="22"/>
                <w:szCs w:val="22"/>
                <w:color w:val="auto"/>
              </w:rPr>
            </w:pPr>
          </w:p>
        </w:tc>
        <w:tc>
          <w:tcPr>
            <w:tcW w:w="2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83,969</w:t>
            </w:r>
          </w:p>
        </w:tc>
        <w:tc>
          <w:tcPr>
            <w:tcW w:w="80" w:type="dxa"/>
            <w:vAlign w:val="bottom"/>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2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157,927</w:t>
            </w:r>
          </w:p>
        </w:tc>
        <w:tc>
          <w:tcPr>
            <w:tcW w:w="0" w:type="dxa"/>
            <w:vAlign w:val="bottom"/>
          </w:tcPr>
          <w:p>
            <w:pPr>
              <w:spacing w:after="0"/>
              <w:rPr>
                <w:sz w:val="1"/>
                <w:szCs w:val="1"/>
                <w:color w:val="auto"/>
              </w:rPr>
            </w:pPr>
          </w:p>
        </w:tc>
      </w:tr>
      <w:tr>
        <w:trPr>
          <w:trHeight w:val="250"/>
        </w:trPr>
        <w:tc>
          <w:tcPr>
            <w:tcW w:w="6520" w:type="dxa"/>
            <w:vAlign w:val="bottom"/>
          </w:tcPr>
          <w:p>
            <w:pPr>
              <w:ind w:left="520"/>
              <w:spacing w:after="0"/>
              <w:rPr>
                <w:sz w:val="20"/>
                <w:szCs w:val="20"/>
                <w:color w:val="auto"/>
              </w:rPr>
            </w:pPr>
            <w:r>
              <w:rPr>
                <w:rFonts w:ascii="Arial" w:cs="Arial" w:eastAsia="Arial" w:hAnsi="Arial"/>
                <w:sz w:val="20"/>
                <w:szCs w:val="20"/>
                <w:color w:val="auto"/>
              </w:rPr>
              <w:t>Total current assets</w:t>
            </w:r>
          </w:p>
        </w:tc>
        <w:tc>
          <w:tcPr>
            <w:tcW w:w="180" w:type="dxa"/>
            <w:vAlign w:val="bottom"/>
          </w:tcPr>
          <w:p>
            <w:pPr>
              <w:spacing w:after="0"/>
              <w:rPr>
                <w:sz w:val="21"/>
                <w:szCs w:val="21"/>
                <w:color w:val="auto"/>
              </w:rPr>
            </w:pPr>
          </w:p>
        </w:tc>
        <w:tc>
          <w:tcPr>
            <w:tcW w:w="2140" w:type="dxa"/>
            <w:vAlign w:val="bottom"/>
          </w:tcPr>
          <w:p>
            <w:pPr>
              <w:jc w:val="right"/>
              <w:spacing w:after="0"/>
              <w:rPr>
                <w:sz w:val="20"/>
                <w:szCs w:val="20"/>
                <w:color w:val="auto"/>
              </w:rPr>
            </w:pPr>
            <w:r>
              <w:rPr>
                <w:rFonts w:ascii="Arial" w:cs="Arial" w:eastAsia="Arial" w:hAnsi="Arial"/>
                <w:sz w:val="20"/>
                <w:szCs w:val="20"/>
                <w:color w:val="auto"/>
              </w:rPr>
              <w:t>866,549</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120" w:type="dxa"/>
            <w:vAlign w:val="bottom"/>
          </w:tcPr>
          <w:p>
            <w:pPr>
              <w:jc w:val="right"/>
              <w:spacing w:after="0"/>
              <w:rPr>
                <w:sz w:val="20"/>
                <w:szCs w:val="20"/>
                <w:color w:val="auto"/>
              </w:rPr>
            </w:pPr>
            <w:r>
              <w:rPr>
                <w:rFonts w:ascii="Arial" w:cs="Arial" w:eastAsia="Arial" w:hAnsi="Arial"/>
                <w:sz w:val="20"/>
                <w:szCs w:val="20"/>
                <w:color w:val="auto"/>
              </w:rPr>
              <w:t>998,724</w:t>
            </w:r>
          </w:p>
        </w:tc>
        <w:tc>
          <w:tcPr>
            <w:tcW w:w="0" w:type="dxa"/>
            <w:vAlign w:val="bottom"/>
          </w:tcPr>
          <w:p>
            <w:pPr>
              <w:spacing w:after="0"/>
              <w:rPr>
                <w:sz w:val="1"/>
                <w:szCs w:val="1"/>
                <w:color w:val="auto"/>
              </w:rPr>
            </w:pPr>
          </w:p>
        </w:tc>
      </w:tr>
      <w:tr>
        <w:trPr>
          <w:trHeight w:val="270"/>
        </w:trPr>
        <w:tc>
          <w:tcPr>
            <w:tcW w:w="65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21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21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56"/>
        </w:trPr>
        <w:tc>
          <w:tcPr>
            <w:tcW w:w="6520" w:type="dxa"/>
            <w:vAlign w:val="bottom"/>
          </w:tcPr>
          <w:p>
            <w:pPr>
              <w:ind w:left="20"/>
              <w:spacing w:after="0"/>
              <w:rPr>
                <w:sz w:val="20"/>
                <w:szCs w:val="20"/>
                <w:color w:val="auto"/>
              </w:rPr>
            </w:pPr>
            <w:r>
              <w:rPr>
                <w:rFonts w:ascii="Arial" w:cs="Arial" w:eastAsia="Arial" w:hAnsi="Arial"/>
                <w:sz w:val="20"/>
                <w:szCs w:val="20"/>
                <w:color w:val="auto"/>
              </w:rPr>
              <w:t>Property, plant and equipment, net</w:t>
            </w:r>
          </w:p>
        </w:tc>
        <w:tc>
          <w:tcPr>
            <w:tcW w:w="180" w:type="dxa"/>
            <w:vAlign w:val="bottom"/>
          </w:tcPr>
          <w:p>
            <w:pPr>
              <w:spacing w:after="0"/>
              <w:rPr>
                <w:sz w:val="22"/>
                <w:szCs w:val="22"/>
                <w:color w:val="auto"/>
              </w:rPr>
            </w:pPr>
          </w:p>
        </w:tc>
        <w:tc>
          <w:tcPr>
            <w:tcW w:w="2140" w:type="dxa"/>
            <w:vAlign w:val="bottom"/>
          </w:tcPr>
          <w:p>
            <w:pPr>
              <w:jc w:val="right"/>
              <w:spacing w:after="0"/>
              <w:rPr>
                <w:sz w:val="20"/>
                <w:szCs w:val="20"/>
                <w:color w:val="auto"/>
              </w:rPr>
            </w:pPr>
            <w:r>
              <w:rPr>
                <w:rFonts w:ascii="Arial" w:cs="Arial" w:eastAsia="Arial" w:hAnsi="Arial"/>
                <w:sz w:val="20"/>
                <w:szCs w:val="20"/>
                <w:color w:val="auto"/>
              </w:rPr>
              <w:t>54,664</w:t>
            </w: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120" w:type="dxa"/>
            <w:vAlign w:val="bottom"/>
          </w:tcPr>
          <w:p>
            <w:pPr>
              <w:jc w:val="right"/>
              <w:spacing w:after="0"/>
              <w:rPr>
                <w:sz w:val="20"/>
                <w:szCs w:val="20"/>
                <w:color w:val="auto"/>
              </w:rPr>
            </w:pPr>
            <w:r>
              <w:rPr>
                <w:rFonts w:ascii="Arial" w:cs="Arial" w:eastAsia="Arial" w:hAnsi="Arial"/>
                <w:sz w:val="20"/>
                <w:szCs w:val="20"/>
                <w:color w:val="auto"/>
              </w:rPr>
              <w:t>26,222</w:t>
            </w:r>
          </w:p>
        </w:tc>
        <w:tc>
          <w:tcPr>
            <w:tcW w:w="0" w:type="dxa"/>
            <w:vAlign w:val="bottom"/>
          </w:tcPr>
          <w:p>
            <w:pPr>
              <w:spacing w:after="0"/>
              <w:rPr>
                <w:sz w:val="1"/>
                <w:szCs w:val="1"/>
                <w:color w:val="auto"/>
              </w:rPr>
            </w:pPr>
          </w:p>
        </w:tc>
      </w:tr>
      <w:tr>
        <w:trPr>
          <w:trHeight w:val="257"/>
        </w:trPr>
        <w:tc>
          <w:tcPr>
            <w:tcW w:w="6520" w:type="dxa"/>
            <w:vAlign w:val="bottom"/>
            <w:shd w:val="clear" w:color="auto" w:fill="CCEEFF"/>
          </w:tcPr>
          <w:p>
            <w:pPr>
              <w:ind w:left="20"/>
              <w:spacing w:after="0"/>
              <w:rPr>
                <w:sz w:val="20"/>
                <w:szCs w:val="20"/>
                <w:color w:val="auto"/>
              </w:rPr>
            </w:pPr>
            <w:r>
              <w:rPr>
                <w:rFonts w:ascii="Arial" w:cs="Arial" w:eastAsia="Arial" w:hAnsi="Arial"/>
                <w:sz w:val="20"/>
                <w:szCs w:val="20"/>
                <w:color w:val="auto"/>
              </w:rPr>
              <w:t>Goodwill</w:t>
            </w:r>
          </w:p>
        </w:tc>
        <w:tc>
          <w:tcPr>
            <w:tcW w:w="180" w:type="dxa"/>
            <w:vAlign w:val="bottom"/>
            <w:shd w:val="clear" w:color="auto" w:fill="CCEEFF"/>
          </w:tcPr>
          <w:p>
            <w:pPr>
              <w:spacing w:after="0"/>
              <w:rPr>
                <w:sz w:val="22"/>
                <w:szCs w:val="22"/>
                <w:color w:val="auto"/>
              </w:rPr>
            </w:pPr>
          </w:p>
        </w:tc>
        <w:tc>
          <w:tcPr>
            <w:tcW w:w="21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245,215</w:t>
            </w:r>
          </w:p>
        </w:tc>
        <w:tc>
          <w:tcPr>
            <w:tcW w:w="8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21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160,189</w:t>
            </w:r>
          </w:p>
        </w:tc>
        <w:tc>
          <w:tcPr>
            <w:tcW w:w="0" w:type="dxa"/>
            <w:vAlign w:val="bottom"/>
          </w:tcPr>
          <w:p>
            <w:pPr>
              <w:spacing w:after="0"/>
              <w:rPr>
                <w:sz w:val="1"/>
                <w:szCs w:val="1"/>
                <w:color w:val="auto"/>
              </w:rPr>
            </w:pPr>
          </w:p>
        </w:tc>
      </w:tr>
      <w:tr>
        <w:trPr>
          <w:trHeight w:val="257"/>
        </w:trPr>
        <w:tc>
          <w:tcPr>
            <w:tcW w:w="6520" w:type="dxa"/>
            <w:vAlign w:val="bottom"/>
          </w:tcPr>
          <w:p>
            <w:pPr>
              <w:ind w:left="20"/>
              <w:spacing w:after="0"/>
              <w:rPr>
                <w:sz w:val="20"/>
                <w:szCs w:val="20"/>
                <w:color w:val="auto"/>
              </w:rPr>
            </w:pPr>
            <w:r>
              <w:rPr>
                <w:rFonts w:ascii="Arial" w:cs="Arial" w:eastAsia="Arial" w:hAnsi="Arial"/>
                <w:sz w:val="20"/>
                <w:szCs w:val="20"/>
                <w:color w:val="auto"/>
              </w:rPr>
              <w:t>Other intangible assets, net</w:t>
            </w:r>
          </w:p>
        </w:tc>
        <w:tc>
          <w:tcPr>
            <w:tcW w:w="180" w:type="dxa"/>
            <w:vAlign w:val="bottom"/>
          </w:tcPr>
          <w:p>
            <w:pPr>
              <w:spacing w:after="0"/>
              <w:rPr>
                <w:sz w:val="22"/>
                <w:szCs w:val="22"/>
                <w:color w:val="auto"/>
              </w:rPr>
            </w:pPr>
          </w:p>
        </w:tc>
        <w:tc>
          <w:tcPr>
            <w:tcW w:w="2140" w:type="dxa"/>
            <w:vAlign w:val="bottom"/>
          </w:tcPr>
          <w:p>
            <w:pPr>
              <w:jc w:val="right"/>
              <w:spacing w:after="0"/>
              <w:rPr>
                <w:sz w:val="20"/>
                <w:szCs w:val="20"/>
                <w:color w:val="auto"/>
              </w:rPr>
            </w:pPr>
            <w:r>
              <w:rPr>
                <w:rFonts w:ascii="Arial" w:cs="Arial" w:eastAsia="Arial" w:hAnsi="Arial"/>
                <w:sz w:val="20"/>
                <w:szCs w:val="20"/>
                <w:color w:val="auto"/>
              </w:rPr>
              <w:t>244,484</w:t>
            </w: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120" w:type="dxa"/>
            <w:vAlign w:val="bottom"/>
          </w:tcPr>
          <w:p>
            <w:pPr>
              <w:jc w:val="right"/>
              <w:spacing w:after="0"/>
              <w:rPr>
                <w:sz w:val="20"/>
                <w:szCs w:val="20"/>
                <w:color w:val="auto"/>
              </w:rPr>
            </w:pPr>
            <w:r>
              <w:rPr>
                <w:rFonts w:ascii="Arial" w:cs="Arial" w:eastAsia="Arial" w:hAnsi="Arial"/>
                <w:sz w:val="20"/>
                <w:szCs w:val="20"/>
                <w:color w:val="auto"/>
              </w:rPr>
              <w:t>181,409</w:t>
            </w:r>
          </w:p>
        </w:tc>
        <w:tc>
          <w:tcPr>
            <w:tcW w:w="0" w:type="dxa"/>
            <w:vAlign w:val="bottom"/>
          </w:tcPr>
          <w:p>
            <w:pPr>
              <w:spacing w:after="0"/>
              <w:rPr>
                <w:sz w:val="1"/>
                <w:szCs w:val="1"/>
                <w:color w:val="auto"/>
              </w:rPr>
            </w:pPr>
          </w:p>
        </w:tc>
      </w:tr>
      <w:tr>
        <w:trPr>
          <w:trHeight w:val="256"/>
        </w:trPr>
        <w:tc>
          <w:tcPr>
            <w:tcW w:w="6520" w:type="dxa"/>
            <w:vAlign w:val="bottom"/>
            <w:shd w:val="clear" w:color="auto" w:fill="CCEEFF"/>
          </w:tcPr>
          <w:p>
            <w:pPr>
              <w:ind w:left="20"/>
              <w:spacing w:after="0"/>
              <w:rPr>
                <w:sz w:val="20"/>
                <w:szCs w:val="20"/>
                <w:color w:val="auto"/>
              </w:rPr>
            </w:pPr>
            <w:r>
              <w:rPr>
                <w:rFonts w:ascii="Arial" w:cs="Arial" w:eastAsia="Arial" w:hAnsi="Arial"/>
                <w:sz w:val="20"/>
                <w:szCs w:val="20"/>
                <w:color w:val="auto"/>
              </w:rPr>
              <w:t>Deferred income tax assets</w:t>
            </w:r>
          </w:p>
        </w:tc>
        <w:tc>
          <w:tcPr>
            <w:tcW w:w="180" w:type="dxa"/>
            <w:vAlign w:val="bottom"/>
            <w:shd w:val="clear" w:color="auto" w:fill="CCEEFF"/>
          </w:tcPr>
          <w:p>
            <w:pPr>
              <w:spacing w:after="0"/>
              <w:rPr>
                <w:sz w:val="22"/>
                <w:szCs w:val="22"/>
                <w:color w:val="auto"/>
              </w:rPr>
            </w:pPr>
          </w:p>
        </w:tc>
        <w:tc>
          <w:tcPr>
            <w:tcW w:w="21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17,312</w:t>
            </w:r>
          </w:p>
        </w:tc>
        <w:tc>
          <w:tcPr>
            <w:tcW w:w="8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21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17,754</w:t>
            </w:r>
          </w:p>
        </w:tc>
        <w:tc>
          <w:tcPr>
            <w:tcW w:w="0" w:type="dxa"/>
            <w:vAlign w:val="bottom"/>
          </w:tcPr>
          <w:p>
            <w:pPr>
              <w:spacing w:after="0"/>
              <w:rPr>
                <w:sz w:val="1"/>
                <w:szCs w:val="1"/>
                <w:color w:val="auto"/>
              </w:rPr>
            </w:pPr>
          </w:p>
        </w:tc>
      </w:tr>
      <w:tr>
        <w:trPr>
          <w:trHeight w:val="257"/>
        </w:trPr>
        <w:tc>
          <w:tcPr>
            <w:tcW w:w="6520" w:type="dxa"/>
            <w:vAlign w:val="bottom"/>
            <w:tcBorders>
              <w:bottom w:val="single" w:sz="8" w:color="CCEEFF"/>
            </w:tcBorders>
          </w:tcPr>
          <w:p>
            <w:pPr>
              <w:ind w:left="20"/>
              <w:spacing w:after="0"/>
              <w:rPr>
                <w:sz w:val="20"/>
                <w:szCs w:val="20"/>
                <w:color w:val="auto"/>
              </w:rPr>
            </w:pPr>
            <w:r>
              <w:rPr>
                <w:rFonts w:ascii="Arial" w:cs="Arial" w:eastAsia="Arial" w:hAnsi="Arial"/>
                <w:sz w:val="20"/>
                <w:szCs w:val="20"/>
                <w:color w:val="auto"/>
              </w:rPr>
              <w:t>Other assets</w:t>
            </w:r>
          </w:p>
        </w:tc>
        <w:tc>
          <w:tcPr>
            <w:tcW w:w="180" w:type="dxa"/>
            <w:vAlign w:val="bottom"/>
            <w:tcBorders>
              <w:bottom w:val="single" w:sz="8" w:color="auto"/>
            </w:tcBorders>
          </w:tcPr>
          <w:p>
            <w:pPr>
              <w:spacing w:after="0"/>
              <w:rPr>
                <w:sz w:val="22"/>
                <w:szCs w:val="22"/>
                <w:color w:val="auto"/>
              </w:rPr>
            </w:pPr>
          </w:p>
        </w:tc>
        <w:tc>
          <w:tcPr>
            <w:tcW w:w="21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182,937</w:t>
            </w:r>
          </w:p>
        </w:tc>
        <w:tc>
          <w:tcPr>
            <w:tcW w:w="8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21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41,701</w:t>
            </w:r>
          </w:p>
        </w:tc>
        <w:tc>
          <w:tcPr>
            <w:tcW w:w="0" w:type="dxa"/>
            <w:vAlign w:val="bottom"/>
          </w:tcPr>
          <w:p>
            <w:pPr>
              <w:spacing w:after="0"/>
              <w:rPr>
                <w:sz w:val="1"/>
                <w:szCs w:val="1"/>
                <w:color w:val="auto"/>
              </w:rPr>
            </w:pPr>
          </w:p>
        </w:tc>
      </w:tr>
      <w:tr>
        <w:trPr>
          <w:trHeight w:val="275"/>
        </w:trPr>
        <w:tc>
          <w:tcPr>
            <w:tcW w:w="652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20"/>
                <w:szCs w:val="20"/>
                <w:color w:val="auto"/>
              </w:rPr>
              <w:t>Total assets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2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1,611,161</w:t>
            </w:r>
          </w:p>
        </w:tc>
        <w:tc>
          <w:tcPr>
            <w:tcW w:w="8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w w:val="89"/>
              </w:rPr>
              <w:t>$</w:t>
            </w:r>
          </w:p>
        </w:tc>
        <w:tc>
          <w:tcPr>
            <w:tcW w:w="2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1,425,999</w:t>
            </w:r>
          </w:p>
        </w:tc>
        <w:tc>
          <w:tcPr>
            <w:tcW w:w="0" w:type="dxa"/>
            <w:vAlign w:val="bottom"/>
          </w:tcPr>
          <w:p>
            <w:pPr>
              <w:spacing w:after="0"/>
              <w:rPr>
                <w:sz w:val="1"/>
                <w:szCs w:val="1"/>
                <w:color w:val="auto"/>
              </w:rPr>
            </w:pPr>
          </w:p>
        </w:tc>
      </w:tr>
      <w:tr>
        <w:trPr>
          <w:trHeight w:val="20"/>
        </w:trPr>
        <w:tc>
          <w:tcPr>
            <w:tcW w:w="65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2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2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3" w:lineRule="exact"/>
        <w:rPr>
          <w:sz w:val="20"/>
          <w:szCs w:val="20"/>
          <w:color w:val="auto"/>
        </w:rPr>
      </w:pPr>
    </w:p>
    <w:p>
      <w:pPr>
        <w:ind w:left="20" w:right="1140" w:firstLine="1131"/>
        <w:spacing w:after="0" w:line="281" w:lineRule="auto"/>
        <w:rPr>
          <w:sz w:val="20"/>
          <w:szCs w:val="20"/>
          <w:color w:val="auto"/>
        </w:rPr>
      </w:pPr>
      <w:r>
        <w:rPr>
          <w:rFonts w:ascii="Arial" w:cs="Arial" w:eastAsia="Arial" w:hAnsi="Arial"/>
          <w:sz w:val="20"/>
          <w:szCs w:val="20"/>
          <w:b w:val="1"/>
          <w:bCs w:val="1"/>
          <w:color w:val="auto"/>
        </w:rPr>
        <w:t xml:space="preserve">LIABILITIES, REDEEMABLE PERPETUAL PREFERRED STOCK AND STOCKHOLDERS' EQUITY </w:t>
      </w:r>
      <w:r>
        <w:rPr>
          <w:rFonts w:ascii="Arial" w:cs="Arial" w:eastAsia="Arial" w:hAnsi="Arial"/>
          <w:sz w:val="20"/>
          <w:szCs w:val="20"/>
          <w:color w:val="auto"/>
        </w:rPr>
        <w:t>Current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-334645</wp:posOffset>
            </wp:positionV>
            <wp:extent cx="7132320" cy="16256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40"/>
        </w:trPr>
        <w:tc>
          <w:tcPr>
            <w:tcW w:w="6520" w:type="dxa"/>
            <w:vAlign w:val="bottom"/>
            <w:shd w:val="clear" w:color="auto" w:fill="CCEEFF"/>
          </w:tcPr>
          <w:p>
            <w:pPr>
              <w:ind w:left="240"/>
              <w:spacing w:after="0"/>
              <w:rPr>
                <w:sz w:val="20"/>
                <w:szCs w:val="20"/>
                <w:color w:val="auto"/>
              </w:rPr>
            </w:pPr>
            <w:r>
              <w:rPr>
                <w:rFonts w:ascii="Arial" w:cs="Arial" w:eastAsia="Arial" w:hAnsi="Arial"/>
                <w:sz w:val="20"/>
                <w:szCs w:val="20"/>
                <w:color w:val="auto"/>
              </w:rPr>
              <w:t>Accounts payable</w:t>
            </w:r>
          </w:p>
        </w:tc>
        <w:tc>
          <w:tcPr>
            <w:tcW w:w="740" w:type="dxa"/>
            <w:vAlign w:val="bottom"/>
            <w:shd w:val="clear" w:color="auto" w:fill="CCEEFF"/>
          </w:tcPr>
          <w:p>
            <w:pPr>
              <w:jc w:val="right"/>
              <w:ind w:right="501"/>
              <w:spacing w:after="0"/>
              <w:rPr>
                <w:sz w:val="20"/>
                <w:szCs w:val="20"/>
                <w:color w:val="auto"/>
              </w:rPr>
            </w:pPr>
            <w:r>
              <w:rPr>
                <w:rFonts w:ascii="Arial" w:cs="Arial" w:eastAsia="Arial" w:hAnsi="Arial"/>
                <w:sz w:val="20"/>
                <w:szCs w:val="20"/>
                <w:color w:val="auto"/>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231,876</w:t>
            </w:r>
          </w:p>
        </w:tc>
        <w:tc>
          <w:tcPr>
            <w:tcW w:w="80" w:type="dxa"/>
            <w:vAlign w:val="bottom"/>
            <w:shd w:val="clear" w:color="auto" w:fill="CCEEFF"/>
          </w:tcPr>
          <w:p>
            <w:pPr>
              <w:spacing w:after="0"/>
              <w:rPr>
                <w:sz w:val="20"/>
                <w:szCs w:val="20"/>
                <w:color w:val="auto"/>
              </w:rPr>
            </w:pPr>
          </w:p>
        </w:tc>
        <w:tc>
          <w:tcPr>
            <w:tcW w:w="740" w:type="dxa"/>
            <w:vAlign w:val="bottom"/>
            <w:shd w:val="clear" w:color="auto" w:fill="CCEEFF"/>
          </w:tcPr>
          <w:p>
            <w:pPr>
              <w:jc w:val="right"/>
              <w:ind w:right="521"/>
              <w:spacing w:after="0"/>
              <w:rPr>
                <w:sz w:val="20"/>
                <w:szCs w:val="20"/>
                <w:color w:val="auto"/>
              </w:rPr>
            </w:pPr>
            <w:r>
              <w:rPr>
                <w:rFonts w:ascii="Arial" w:cs="Arial" w:eastAsia="Arial" w:hAnsi="Arial"/>
                <w:sz w:val="20"/>
                <w:szCs w:val="20"/>
                <w:color w:val="auto"/>
                <w:w w:val="89"/>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172,368</w:t>
            </w:r>
          </w:p>
        </w:tc>
      </w:tr>
      <w:tr>
        <w:trPr>
          <w:trHeight w:val="257"/>
        </w:trPr>
        <w:tc>
          <w:tcPr>
            <w:tcW w:w="6520" w:type="dxa"/>
            <w:vAlign w:val="bottom"/>
          </w:tcPr>
          <w:p>
            <w:pPr>
              <w:ind w:left="240"/>
              <w:spacing w:after="0"/>
              <w:rPr>
                <w:sz w:val="20"/>
                <w:szCs w:val="20"/>
                <w:color w:val="auto"/>
              </w:rPr>
            </w:pPr>
            <w:r>
              <w:rPr>
                <w:rFonts w:ascii="Arial" w:cs="Arial" w:eastAsia="Arial" w:hAnsi="Arial"/>
                <w:sz w:val="20"/>
                <w:szCs w:val="20"/>
                <w:color w:val="auto"/>
              </w:rPr>
              <w:t>Accrued expenses and other</w:t>
            </w:r>
          </w:p>
        </w:tc>
        <w:tc>
          <w:tcPr>
            <w:tcW w:w="740" w:type="dxa"/>
            <w:vAlign w:val="bottom"/>
          </w:tcPr>
          <w:p>
            <w:pPr>
              <w:spacing w:after="0"/>
              <w:rPr>
                <w:sz w:val="22"/>
                <w:szCs w:val="22"/>
                <w:color w:val="auto"/>
              </w:rPr>
            </w:pPr>
          </w:p>
        </w:tc>
        <w:tc>
          <w:tcPr>
            <w:tcW w:w="1580" w:type="dxa"/>
            <w:vAlign w:val="bottom"/>
          </w:tcPr>
          <w:p>
            <w:pPr>
              <w:jc w:val="right"/>
              <w:spacing w:after="0"/>
              <w:rPr>
                <w:sz w:val="20"/>
                <w:szCs w:val="20"/>
                <w:color w:val="auto"/>
              </w:rPr>
            </w:pPr>
            <w:r>
              <w:rPr>
                <w:rFonts w:ascii="Arial" w:cs="Arial" w:eastAsia="Arial" w:hAnsi="Arial"/>
                <w:sz w:val="20"/>
                <w:szCs w:val="20"/>
                <w:color w:val="auto"/>
              </w:rPr>
              <w:t>76,583</w:t>
            </w:r>
          </w:p>
        </w:tc>
        <w:tc>
          <w:tcPr>
            <w:tcW w:w="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580" w:type="dxa"/>
            <w:vAlign w:val="bottom"/>
          </w:tcPr>
          <w:p>
            <w:pPr>
              <w:jc w:val="right"/>
              <w:spacing w:after="0"/>
              <w:rPr>
                <w:sz w:val="20"/>
                <w:szCs w:val="20"/>
                <w:color w:val="auto"/>
              </w:rPr>
            </w:pPr>
            <w:r>
              <w:rPr>
                <w:rFonts w:ascii="Arial" w:cs="Arial" w:eastAsia="Arial" w:hAnsi="Arial"/>
                <w:sz w:val="20"/>
                <w:szCs w:val="20"/>
                <w:color w:val="auto"/>
              </w:rPr>
              <w:t>91,183</w:t>
            </w:r>
          </w:p>
        </w:tc>
      </w:tr>
      <w:tr>
        <w:trPr>
          <w:trHeight w:val="256"/>
        </w:trPr>
        <w:tc>
          <w:tcPr>
            <w:tcW w:w="6520" w:type="dxa"/>
            <w:vAlign w:val="bottom"/>
            <w:shd w:val="clear" w:color="auto" w:fill="CCEEFF"/>
          </w:tcPr>
          <w:p>
            <w:pPr>
              <w:ind w:left="240"/>
              <w:spacing w:after="0"/>
              <w:rPr>
                <w:sz w:val="20"/>
                <w:szCs w:val="20"/>
                <w:color w:val="auto"/>
              </w:rPr>
            </w:pPr>
            <w:r>
              <w:rPr>
                <w:rFonts w:ascii="Arial" w:cs="Arial" w:eastAsia="Arial" w:hAnsi="Arial"/>
                <w:sz w:val="20"/>
                <w:szCs w:val="20"/>
                <w:color w:val="auto"/>
              </w:rPr>
              <w:t>Income tax payable</w:t>
            </w:r>
          </w:p>
        </w:tc>
        <w:tc>
          <w:tcPr>
            <w:tcW w:w="740" w:type="dxa"/>
            <w:vAlign w:val="bottom"/>
            <w:shd w:val="clear" w:color="auto" w:fill="CCEEFF"/>
          </w:tcPr>
          <w:p>
            <w:pPr>
              <w:spacing w:after="0"/>
              <w:rPr>
                <w:sz w:val="22"/>
                <w:szCs w:val="22"/>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2,479</w:t>
            </w:r>
          </w:p>
        </w:tc>
        <w:tc>
          <w:tcPr>
            <w:tcW w:w="80" w:type="dxa"/>
            <w:vAlign w:val="bottom"/>
            <w:shd w:val="clear" w:color="auto" w:fill="CCEEFF"/>
          </w:tcPr>
          <w:p>
            <w:pPr>
              <w:spacing w:after="0"/>
              <w:rPr>
                <w:sz w:val="22"/>
                <w:szCs w:val="22"/>
                <w:color w:val="auto"/>
              </w:rPr>
            </w:pPr>
          </w:p>
        </w:tc>
        <w:tc>
          <w:tcPr>
            <w:tcW w:w="740" w:type="dxa"/>
            <w:vAlign w:val="bottom"/>
            <w:shd w:val="clear" w:color="auto" w:fill="CCEEFF"/>
          </w:tcPr>
          <w:p>
            <w:pPr>
              <w:spacing w:after="0"/>
              <w:rPr>
                <w:sz w:val="22"/>
                <w:szCs w:val="22"/>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5,227</w:t>
            </w:r>
          </w:p>
        </w:tc>
      </w:tr>
      <w:tr>
        <w:trPr>
          <w:trHeight w:val="257"/>
        </w:trPr>
        <w:tc>
          <w:tcPr>
            <w:tcW w:w="6520" w:type="dxa"/>
            <w:vAlign w:val="bottom"/>
          </w:tcPr>
          <w:p>
            <w:pPr>
              <w:ind w:left="240"/>
              <w:spacing w:after="0"/>
              <w:rPr>
                <w:sz w:val="20"/>
                <w:szCs w:val="20"/>
                <w:color w:val="auto"/>
              </w:rPr>
            </w:pPr>
            <w:r>
              <w:rPr>
                <w:rFonts w:ascii="Arial" w:cs="Arial" w:eastAsia="Arial" w:hAnsi="Arial"/>
                <w:sz w:val="20"/>
                <w:szCs w:val="20"/>
                <w:color w:val="auto"/>
              </w:rPr>
              <w:t>Deferred revenue</w:t>
            </w:r>
          </w:p>
        </w:tc>
        <w:tc>
          <w:tcPr>
            <w:tcW w:w="740" w:type="dxa"/>
            <w:vAlign w:val="bottom"/>
          </w:tcPr>
          <w:p>
            <w:pPr>
              <w:spacing w:after="0"/>
              <w:rPr>
                <w:sz w:val="22"/>
                <w:szCs w:val="22"/>
                <w:color w:val="auto"/>
              </w:rPr>
            </w:pPr>
          </w:p>
        </w:tc>
        <w:tc>
          <w:tcPr>
            <w:tcW w:w="1580" w:type="dxa"/>
            <w:vAlign w:val="bottom"/>
          </w:tcPr>
          <w:p>
            <w:pPr>
              <w:jc w:val="right"/>
              <w:spacing w:after="0"/>
              <w:rPr>
                <w:sz w:val="20"/>
                <w:szCs w:val="20"/>
                <w:color w:val="auto"/>
              </w:rPr>
            </w:pPr>
            <w:r>
              <w:rPr>
                <w:rFonts w:ascii="Arial" w:cs="Arial" w:eastAsia="Arial" w:hAnsi="Arial"/>
                <w:sz w:val="20"/>
                <w:szCs w:val="20"/>
                <w:color w:val="auto"/>
              </w:rPr>
              <w:t>95,387</w:t>
            </w:r>
          </w:p>
        </w:tc>
        <w:tc>
          <w:tcPr>
            <w:tcW w:w="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580" w:type="dxa"/>
            <w:vAlign w:val="bottom"/>
          </w:tcPr>
          <w:p>
            <w:pPr>
              <w:jc w:val="right"/>
              <w:spacing w:after="0"/>
              <w:rPr>
                <w:sz w:val="20"/>
                <w:szCs w:val="20"/>
                <w:color w:val="auto"/>
              </w:rPr>
            </w:pPr>
            <w:r>
              <w:rPr>
                <w:rFonts w:ascii="Arial" w:cs="Arial" w:eastAsia="Arial" w:hAnsi="Arial"/>
                <w:sz w:val="20"/>
                <w:szCs w:val="20"/>
                <w:color w:val="auto"/>
              </w:rPr>
              <w:t>119,775</w:t>
            </w:r>
          </w:p>
        </w:tc>
      </w:tr>
      <w:tr>
        <w:trPr>
          <w:trHeight w:val="257"/>
        </w:trPr>
        <w:tc>
          <w:tcPr>
            <w:tcW w:w="6520" w:type="dxa"/>
            <w:vAlign w:val="bottom"/>
            <w:shd w:val="clear" w:color="auto" w:fill="CCEEFF"/>
          </w:tcPr>
          <w:p>
            <w:pPr>
              <w:ind w:left="240"/>
              <w:spacing w:after="0"/>
              <w:rPr>
                <w:sz w:val="20"/>
                <w:szCs w:val="20"/>
                <w:color w:val="auto"/>
              </w:rPr>
            </w:pPr>
            <w:r>
              <w:rPr>
                <w:rFonts w:ascii="Arial" w:cs="Arial" w:eastAsia="Arial" w:hAnsi="Arial"/>
                <w:sz w:val="20"/>
                <w:szCs w:val="20"/>
                <w:color w:val="auto"/>
              </w:rPr>
              <w:t>Current portion of contingent consideration</w:t>
            </w:r>
          </w:p>
        </w:tc>
        <w:tc>
          <w:tcPr>
            <w:tcW w:w="740" w:type="dxa"/>
            <w:vAlign w:val="bottom"/>
            <w:shd w:val="clear" w:color="auto" w:fill="CCEEFF"/>
          </w:tcPr>
          <w:p>
            <w:pPr>
              <w:spacing w:after="0"/>
              <w:rPr>
                <w:sz w:val="22"/>
                <w:szCs w:val="22"/>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17,666</w:t>
            </w:r>
          </w:p>
        </w:tc>
        <w:tc>
          <w:tcPr>
            <w:tcW w:w="80" w:type="dxa"/>
            <w:vAlign w:val="bottom"/>
            <w:shd w:val="clear" w:color="auto" w:fill="CCEEFF"/>
          </w:tcPr>
          <w:p>
            <w:pPr>
              <w:spacing w:after="0"/>
              <w:rPr>
                <w:sz w:val="22"/>
                <w:szCs w:val="22"/>
                <w:color w:val="auto"/>
              </w:rPr>
            </w:pPr>
          </w:p>
        </w:tc>
        <w:tc>
          <w:tcPr>
            <w:tcW w:w="740" w:type="dxa"/>
            <w:vAlign w:val="bottom"/>
            <w:shd w:val="clear" w:color="auto" w:fill="CCEEFF"/>
          </w:tcPr>
          <w:p>
            <w:pPr>
              <w:spacing w:after="0"/>
              <w:rPr>
                <w:sz w:val="22"/>
                <w:szCs w:val="22"/>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1,193</w:t>
            </w:r>
          </w:p>
        </w:tc>
      </w:tr>
      <w:tr>
        <w:trPr>
          <w:trHeight w:val="256"/>
        </w:trPr>
        <w:tc>
          <w:tcPr>
            <w:tcW w:w="6520" w:type="dxa"/>
            <w:vAlign w:val="bottom"/>
          </w:tcPr>
          <w:p>
            <w:pPr>
              <w:ind w:left="240"/>
              <w:spacing w:after="0"/>
              <w:rPr>
                <w:sz w:val="20"/>
                <w:szCs w:val="20"/>
                <w:color w:val="auto"/>
              </w:rPr>
            </w:pPr>
            <w:r>
              <w:rPr>
                <w:rFonts w:ascii="Arial" w:cs="Arial" w:eastAsia="Arial" w:hAnsi="Arial"/>
                <w:sz w:val="20"/>
                <w:szCs w:val="20"/>
                <w:color w:val="auto"/>
              </w:rPr>
              <w:t>Current portion of warranty liability</w:t>
            </w:r>
          </w:p>
        </w:tc>
        <w:tc>
          <w:tcPr>
            <w:tcW w:w="740" w:type="dxa"/>
            <w:vAlign w:val="bottom"/>
          </w:tcPr>
          <w:p>
            <w:pPr>
              <w:spacing w:after="0"/>
              <w:rPr>
                <w:sz w:val="22"/>
                <w:szCs w:val="22"/>
                <w:color w:val="auto"/>
              </w:rPr>
            </w:pPr>
          </w:p>
        </w:tc>
        <w:tc>
          <w:tcPr>
            <w:tcW w:w="1580" w:type="dxa"/>
            <w:vAlign w:val="bottom"/>
          </w:tcPr>
          <w:p>
            <w:pPr>
              <w:jc w:val="right"/>
              <w:spacing w:after="0"/>
              <w:rPr>
                <w:sz w:val="20"/>
                <w:szCs w:val="20"/>
                <w:color w:val="auto"/>
              </w:rPr>
            </w:pPr>
            <w:r>
              <w:rPr>
                <w:rFonts w:ascii="Arial" w:cs="Arial" w:eastAsia="Arial" w:hAnsi="Arial"/>
                <w:sz w:val="20"/>
                <w:szCs w:val="20"/>
                <w:color w:val="auto"/>
              </w:rPr>
              <w:t>4,234</w:t>
            </w:r>
          </w:p>
        </w:tc>
        <w:tc>
          <w:tcPr>
            <w:tcW w:w="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580" w:type="dxa"/>
            <w:vAlign w:val="bottom"/>
          </w:tcPr>
          <w:p>
            <w:pPr>
              <w:jc w:val="right"/>
              <w:spacing w:after="0"/>
              <w:rPr>
                <w:sz w:val="20"/>
                <w:szCs w:val="20"/>
                <w:color w:val="auto"/>
              </w:rPr>
            </w:pPr>
            <w:r>
              <w:rPr>
                <w:rFonts w:ascii="Arial" w:cs="Arial" w:eastAsia="Arial" w:hAnsi="Arial"/>
                <w:sz w:val="20"/>
                <w:szCs w:val="20"/>
                <w:color w:val="auto"/>
              </w:rPr>
              <w:t>2,063</w:t>
            </w:r>
          </w:p>
        </w:tc>
      </w:tr>
      <w:tr>
        <w:trPr>
          <w:trHeight w:val="257"/>
        </w:trPr>
        <w:tc>
          <w:tcPr>
            <w:tcW w:w="6520" w:type="dxa"/>
            <w:vAlign w:val="bottom"/>
            <w:shd w:val="clear" w:color="auto" w:fill="CCEEFF"/>
          </w:tcPr>
          <w:p>
            <w:pPr>
              <w:ind w:left="240"/>
              <w:spacing w:after="0"/>
              <w:rPr>
                <w:sz w:val="20"/>
                <w:szCs w:val="20"/>
                <w:color w:val="auto"/>
              </w:rPr>
            </w:pPr>
            <w:r>
              <w:rPr>
                <w:rFonts w:ascii="Arial" w:cs="Arial" w:eastAsia="Arial" w:hAnsi="Arial"/>
                <w:sz w:val="20"/>
                <w:szCs w:val="20"/>
                <w:color w:val="auto"/>
              </w:rPr>
              <w:t>Current portion of debt</w:t>
            </w:r>
          </w:p>
        </w:tc>
        <w:tc>
          <w:tcPr>
            <w:tcW w:w="740" w:type="dxa"/>
            <w:vAlign w:val="bottom"/>
            <w:shd w:val="clear" w:color="auto" w:fill="CCEEFF"/>
          </w:tcPr>
          <w:p>
            <w:pPr>
              <w:spacing w:after="0"/>
              <w:rPr>
                <w:sz w:val="22"/>
                <w:szCs w:val="22"/>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22,595</w:t>
            </w:r>
          </w:p>
        </w:tc>
        <w:tc>
          <w:tcPr>
            <w:tcW w:w="80" w:type="dxa"/>
            <w:vAlign w:val="bottom"/>
            <w:shd w:val="clear" w:color="auto" w:fill="CCEEFF"/>
          </w:tcPr>
          <w:p>
            <w:pPr>
              <w:spacing w:after="0"/>
              <w:rPr>
                <w:sz w:val="22"/>
                <w:szCs w:val="22"/>
                <w:color w:val="auto"/>
              </w:rPr>
            </w:pPr>
          </w:p>
        </w:tc>
        <w:tc>
          <w:tcPr>
            <w:tcW w:w="740" w:type="dxa"/>
            <w:vAlign w:val="bottom"/>
            <w:shd w:val="clear" w:color="auto" w:fill="CCEEFF"/>
          </w:tcPr>
          <w:p>
            <w:pPr>
              <w:spacing w:after="0"/>
              <w:rPr>
                <w:sz w:val="22"/>
                <w:szCs w:val="22"/>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30,714</w:t>
            </w:r>
          </w:p>
        </w:tc>
      </w:tr>
      <w:tr>
        <w:trPr>
          <w:trHeight w:val="256"/>
        </w:trPr>
        <w:tc>
          <w:tcPr>
            <w:tcW w:w="6520" w:type="dxa"/>
            <w:vAlign w:val="bottom"/>
            <w:tcBorders>
              <w:bottom w:val="single" w:sz="8" w:color="CCEEFF"/>
            </w:tcBorders>
          </w:tcPr>
          <w:p>
            <w:pPr>
              <w:ind w:left="240"/>
              <w:spacing w:after="0"/>
              <w:rPr>
                <w:sz w:val="20"/>
                <w:szCs w:val="20"/>
                <w:color w:val="auto"/>
              </w:rPr>
            </w:pPr>
            <w:r>
              <w:rPr>
                <w:rFonts w:ascii="Arial" w:cs="Arial" w:eastAsia="Arial" w:hAnsi="Arial"/>
                <w:sz w:val="20"/>
                <w:szCs w:val="20"/>
                <w:color w:val="auto"/>
              </w:rPr>
              <w:t>Other current liabilities</w:t>
            </w:r>
          </w:p>
        </w:tc>
        <w:tc>
          <w:tcPr>
            <w:tcW w:w="740" w:type="dxa"/>
            <w:vAlign w:val="bottom"/>
            <w:tcBorders>
              <w:bottom w:val="single" w:sz="8" w:color="auto"/>
            </w:tcBorders>
          </w:tcPr>
          <w:p>
            <w:pPr>
              <w:spacing w:after="0"/>
              <w:rPr>
                <w:sz w:val="22"/>
                <w:szCs w:val="22"/>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7,669</w:t>
            </w:r>
          </w:p>
        </w:tc>
        <w:tc>
          <w:tcPr>
            <w:tcW w:w="80" w:type="dxa"/>
            <w:vAlign w:val="bottom"/>
            <w:tcBorders>
              <w:bottom w:val="single" w:sz="8" w:color="CCEEFF"/>
            </w:tcBorders>
          </w:tcPr>
          <w:p>
            <w:pPr>
              <w:spacing w:after="0"/>
              <w:rPr>
                <w:sz w:val="22"/>
                <w:szCs w:val="22"/>
                <w:color w:val="auto"/>
              </w:rPr>
            </w:pPr>
          </w:p>
        </w:tc>
        <w:tc>
          <w:tcPr>
            <w:tcW w:w="740" w:type="dxa"/>
            <w:vAlign w:val="bottom"/>
            <w:tcBorders>
              <w:bottom w:val="single" w:sz="8" w:color="auto"/>
            </w:tcBorders>
          </w:tcPr>
          <w:p>
            <w:pPr>
              <w:spacing w:after="0"/>
              <w:rPr>
                <w:sz w:val="22"/>
                <w:szCs w:val="22"/>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15,291</w:t>
            </w:r>
          </w:p>
        </w:tc>
      </w:tr>
      <w:tr>
        <w:trPr>
          <w:trHeight w:val="250"/>
        </w:trPr>
        <w:tc>
          <w:tcPr>
            <w:tcW w:w="6520" w:type="dxa"/>
            <w:vAlign w:val="bottom"/>
            <w:shd w:val="clear" w:color="auto" w:fill="CCEEFF"/>
          </w:tcPr>
          <w:p>
            <w:pPr>
              <w:ind w:left="520"/>
              <w:spacing w:after="0"/>
              <w:rPr>
                <w:sz w:val="20"/>
                <w:szCs w:val="20"/>
                <w:color w:val="auto"/>
              </w:rPr>
            </w:pPr>
            <w:r>
              <w:rPr>
                <w:rFonts w:ascii="Arial" w:cs="Arial" w:eastAsia="Arial" w:hAnsi="Arial"/>
                <w:sz w:val="20"/>
                <w:szCs w:val="20"/>
                <w:color w:val="auto"/>
              </w:rPr>
              <w:t>Total current liabilities</w:t>
            </w:r>
          </w:p>
        </w:tc>
        <w:tc>
          <w:tcPr>
            <w:tcW w:w="740" w:type="dxa"/>
            <w:vAlign w:val="bottom"/>
            <w:shd w:val="clear" w:color="auto" w:fill="CCEEFF"/>
          </w:tcPr>
          <w:p>
            <w:pPr>
              <w:spacing w:after="0"/>
              <w:rPr>
                <w:sz w:val="21"/>
                <w:szCs w:val="21"/>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458,489</w:t>
            </w:r>
          </w:p>
        </w:tc>
        <w:tc>
          <w:tcPr>
            <w:tcW w:w="8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437,814</w:t>
            </w:r>
          </w:p>
        </w:tc>
      </w:tr>
      <w:tr>
        <w:trPr>
          <w:trHeight w:val="270"/>
        </w:trPr>
        <w:tc>
          <w:tcPr>
            <w:tcW w:w="65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580" w:type="dxa"/>
            <w:vAlign w:val="bottom"/>
          </w:tcPr>
          <w:p>
            <w:pPr>
              <w:spacing w:after="0"/>
              <w:rPr>
                <w:sz w:val="23"/>
                <w:szCs w:val="23"/>
                <w:color w:val="auto"/>
              </w:rPr>
            </w:pPr>
          </w:p>
        </w:tc>
      </w:tr>
      <w:tr>
        <w:trPr>
          <w:trHeight w:val="257"/>
        </w:trPr>
        <w:tc>
          <w:tcPr>
            <w:tcW w:w="6520" w:type="dxa"/>
            <w:vAlign w:val="bottom"/>
            <w:shd w:val="clear" w:color="auto" w:fill="CCEEFF"/>
          </w:tcPr>
          <w:p>
            <w:pPr>
              <w:ind w:left="20"/>
              <w:spacing w:after="0"/>
              <w:rPr>
                <w:sz w:val="20"/>
                <w:szCs w:val="20"/>
                <w:color w:val="auto"/>
              </w:rPr>
            </w:pPr>
            <w:r>
              <w:rPr>
                <w:rFonts w:ascii="Arial" w:cs="Arial" w:eastAsia="Arial" w:hAnsi="Arial"/>
                <w:sz w:val="20"/>
                <w:szCs w:val="20"/>
                <w:color w:val="auto"/>
              </w:rPr>
              <w:t>Deferred income tax liabilities</w:t>
            </w:r>
          </w:p>
        </w:tc>
        <w:tc>
          <w:tcPr>
            <w:tcW w:w="740" w:type="dxa"/>
            <w:vAlign w:val="bottom"/>
            <w:shd w:val="clear" w:color="auto" w:fill="CCEEFF"/>
          </w:tcPr>
          <w:p>
            <w:pPr>
              <w:spacing w:after="0"/>
              <w:rPr>
                <w:sz w:val="22"/>
                <w:szCs w:val="22"/>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22,042</w:t>
            </w:r>
          </w:p>
        </w:tc>
        <w:tc>
          <w:tcPr>
            <w:tcW w:w="80" w:type="dxa"/>
            <w:vAlign w:val="bottom"/>
            <w:shd w:val="clear" w:color="auto" w:fill="CCEEFF"/>
          </w:tcPr>
          <w:p>
            <w:pPr>
              <w:spacing w:after="0"/>
              <w:rPr>
                <w:sz w:val="22"/>
                <w:szCs w:val="22"/>
                <w:color w:val="auto"/>
              </w:rPr>
            </w:pPr>
          </w:p>
        </w:tc>
        <w:tc>
          <w:tcPr>
            <w:tcW w:w="740" w:type="dxa"/>
            <w:vAlign w:val="bottom"/>
            <w:shd w:val="clear" w:color="auto" w:fill="CCEEFF"/>
          </w:tcPr>
          <w:p>
            <w:pPr>
              <w:spacing w:after="0"/>
              <w:rPr>
                <w:sz w:val="22"/>
                <w:szCs w:val="22"/>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21,398</w:t>
            </w:r>
          </w:p>
        </w:tc>
      </w:tr>
      <w:tr>
        <w:trPr>
          <w:trHeight w:val="256"/>
        </w:trPr>
        <w:tc>
          <w:tcPr>
            <w:tcW w:w="6520" w:type="dxa"/>
            <w:vAlign w:val="bottom"/>
          </w:tcPr>
          <w:p>
            <w:pPr>
              <w:ind w:left="20"/>
              <w:spacing w:after="0"/>
              <w:rPr>
                <w:sz w:val="20"/>
                <w:szCs w:val="20"/>
                <w:color w:val="auto"/>
              </w:rPr>
            </w:pPr>
            <w:r>
              <w:rPr>
                <w:rFonts w:ascii="Arial" w:cs="Arial" w:eastAsia="Arial" w:hAnsi="Arial"/>
                <w:sz w:val="20"/>
                <w:szCs w:val="20"/>
                <w:color w:val="auto"/>
              </w:rPr>
              <w:t>Contingent consideration, net of current portion</w:t>
            </w:r>
          </w:p>
        </w:tc>
        <w:tc>
          <w:tcPr>
            <w:tcW w:w="740" w:type="dxa"/>
            <w:vAlign w:val="bottom"/>
          </w:tcPr>
          <w:p>
            <w:pPr>
              <w:spacing w:after="0"/>
              <w:rPr>
                <w:sz w:val="22"/>
                <w:szCs w:val="22"/>
                <w:color w:val="auto"/>
              </w:rPr>
            </w:pPr>
          </w:p>
        </w:tc>
        <w:tc>
          <w:tcPr>
            <w:tcW w:w="1580" w:type="dxa"/>
            <w:vAlign w:val="bottom"/>
          </w:tcPr>
          <w:p>
            <w:pPr>
              <w:jc w:val="right"/>
              <w:spacing w:after="0"/>
              <w:rPr>
                <w:sz w:val="20"/>
                <w:szCs w:val="20"/>
                <w:color w:val="auto"/>
              </w:rPr>
            </w:pPr>
            <w:r>
              <w:rPr>
                <w:rFonts w:ascii="Arial" w:cs="Arial" w:eastAsia="Arial" w:hAnsi="Arial"/>
                <w:sz w:val="20"/>
                <w:szCs w:val="20"/>
                <w:color w:val="auto"/>
              </w:rPr>
              <w:t>11,212</w:t>
            </w:r>
          </w:p>
        </w:tc>
        <w:tc>
          <w:tcPr>
            <w:tcW w:w="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580" w:type="dxa"/>
            <w:vAlign w:val="bottom"/>
          </w:tcPr>
          <w:p>
            <w:pPr>
              <w:jc w:val="right"/>
              <w:spacing w:after="0"/>
              <w:rPr>
                <w:sz w:val="20"/>
                <w:szCs w:val="20"/>
                <w:color w:val="auto"/>
              </w:rPr>
            </w:pPr>
            <w:r>
              <w:rPr>
                <w:rFonts w:ascii="Arial" w:cs="Arial" w:eastAsia="Arial" w:hAnsi="Arial"/>
                <w:sz w:val="20"/>
                <w:szCs w:val="20"/>
                <w:color w:val="auto"/>
              </w:rPr>
              <w:t>7,868</w:t>
            </w:r>
          </w:p>
        </w:tc>
      </w:tr>
      <w:tr>
        <w:trPr>
          <w:trHeight w:val="257"/>
        </w:trPr>
        <w:tc>
          <w:tcPr>
            <w:tcW w:w="6520" w:type="dxa"/>
            <w:vAlign w:val="bottom"/>
            <w:shd w:val="clear" w:color="auto" w:fill="CCEEFF"/>
          </w:tcPr>
          <w:p>
            <w:pPr>
              <w:ind w:left="20"/>
              <w:spacing w:after="0"/>
              <w:rPr>
                <w:sz w:val="20"/>
                <w:szCs w:val="20"/>
                <w:color w:val="auto"/>
              </w:rPr>
            </w:pPr>
            <w:r>
              <w:rPr>
                <w:rFonts w:ascii="Arial" w:cs="Arial" w:eastAsia="Arial" w:hAnsi="Arial"/>
                <w:sz w:val="20"/>
                <w:szCs w:val="20"/>
                <w:color w:val="auto"/>
              </w:rPr>
              <w:t>Warranty liability, net of current portion</w:t>
            </w:r>
          </w:p>
        </w:tc>
        <w:tc>
          <w:tcPr>
            <w:tcW w:w="740" w:type="dxa"/>
            <w:vAlign w:val="bottom"/>
            <w:shd w:val="clear" w:color="auto" w:fill="CCEEFF"/>
          </w:tcPr>
          <w:p>
            <w:pPr>
              <w:spacing w:after="0"/>
              <w:rPr>
                <w:sz w:val="22"/>
                <w:szCs w:val="22"/>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5,984</w:t>
            </w:r>
          </w:p>
        </w:tc>
        <w:tc>
          <w:tcPr>
            <w:tcW w:w="80" w:type="dxa"/>
            <w:vAlign w:val="bottom"/>
            <w:shd w:val="clear" w:color="auto" w:fill="CCEEFF"/>
          </w:tcPr>
          <w:p>
            <w:pPr>
              <w:spacing w:after="0"/>
              <w:rPr>
                <w:sz w:val="22"/>
                <w:szCs w:val="22"/>
                <w:color w:val="auto"/>
              </w:rPr>
            </w:pPr>
          </w:p>
        </w:tc>
        <w:tc>
          <w:tcPr>
            <w:tcW w:w="740" w:type="dxa"/>
            <w:vAlign w:val="bottom"/>
            <w:shd w:val="clear" w:color="auto" w:fill="CCEEFF"/>
          </w:tcPr>
          <w:p>
            <w:pPr>
              <w:spacing w:after="0"/>
              <w:rPr>
                <w:sz w:val="22"/>
                <w:szCs w:val="22"/>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4,830</w:t>
            </w:r>
          </w:p>
        </w:tc>
      </w:tr>
      <w:tr>
        <w:trPr>
          <w:trHeight w:val="256"/>
        </w:trPr>
        <w:tc>
          <w:tcPr>
            <w:tcW w:w="6520" w:type="dxa"/>
            <w:vAlign w:val="bottom"/>
          </w:tcPr>
          <w:p>
            <w:pPr>
              <w:ind w:left="20"/>
              <w:spacing w:after="0"/>
              <w:rPr>
                <w:sz w:val="20"/>
                <w:szCs w:val="20"/>
                <w:color w:val="auto"/>
              </w:rPr>
            </w:pPr>
            <w:r>
              <w:rPr>
                <w:rFonts w:ascii="Arial" w:cs="Arial" w:eastAsia="Arial" w:hAnsi="Arial"/>
                <w:sz w:val="20"/>
                <w:szCs w:val="20"/>
                <w:color w:val="auto"/>
              </w:rPr>
              <w:t>Long-term debt, net of current portion</w:t>
            </w:r>
          </w:p>
        </w:tc>
        <w:tc>
          <w:tcPr>
            <w:tcW w:w="740" w:type="dxa"/>
            <w:vAlign w:val="bottom"/>
          </w:tcPr>
          <w:p>
            <w:pPr>
              <w:spacing w:after="0"/>
              <w:rPr>
                <w:sz w:val="22"/>
                <w:szCs w:val="22"/>
                <w:color w:val="auto"/>
              </w:rPr>
            </w:pPr>
          </w:p>
        </w:tc>
        <w:tc>
          <w:tcPr>
            <w:tcW w:w="1580" w:type="dxa"/>
            <w:vAlign w:val="bottom"/>
          </w:tcPr>
          <w:p>
            <w:pPr>
              <w:jc w:val="right"/>
              <w:spacing w:after="0"/>
              <w:rPr>
                <w:sz w:val="20"/>
                <w:szCs w:val="20"/>
                <w:color w:val="auto"/>
              </w:rPr>
            </w:pPr>
            <w:r>
              <w:rPr>
                <w:rFonts w:ascii="Arial" w:cs="Arial" w:eastAsia="Arial" w:hAnsi="Arial"/>
                <w:sz w:val="20"/>
                <w:szCs w:val="20"/>
                <w:color w:val="auto"/>
              </w:rPr>
              <w:t>658,378</w:t>
            </w:r>
          </w:p>
        </w:tc>
        <w:tc>
          <w:tcPr>
            <w:tcW w:w="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580" w:type="dxa"/>
            <w:vAlign w:val="bottom"/>
          </w:tcPr>
          <w:p>
            <w:pPr>
              <w:jc w:val="right"/>
              <w:spacing w:after="0"/>
              <w:rPr>
                <w:sz w:val="20"/>
                <w:szCs w:val="20"/>
                <w:color w:val="auto"/>
              </w:rPr>
            </w:pPr>
            <w:r>
              <w:rPr>
                <w:rFonts w:ascii="Arial" w:cs="Arial" w:eastAsia="Arial" w:hAnsi="Arial"/>
                <w:sz w:val="20"/>
                <w:szCs w:val="20"/>
                <w:color w:val="auto"/>
              </w:rPr>
              <w:t>646,570</w:t>
            </w:r>
          </w:p>
        </w:tc>
      </w:tr>
      <w:tr>
        <w:trPr>
          <w:trHeight w:val="256"/>
        </w:trPr>
        <w:tc>
          <w:tcPr>
            <w:tcW w:w="6520" w:type="dxa"/>
            <w:vAlign w:val="bottom"/>
            <w:shd w:val="clear" w:color="auto" w:fill="CCEEFF"/>
          </w:tcPr>
          <w:p>
            <w:pPr>
              <w:ind w:left="20"/>
              <w:spacing w:after="0"/>
              <w:rPr>
                <w:sz w:val="20"/>
                <w:szCs w:val="20"/>
                <w:color w:val="auto"/>
              </w:rPr>
            </w:pPr>
            <w:r>
              <w:rPr>
                <w:rFonts w:ascii="Arial" w:cs="Arial" w:eastAsia="Arial" w:hAnsi="Arial"/>
                <w:sz w:val="20"/>
                <w:szCs w:val="20"/>
                <w:color w:val="auto"/>
              </w:rPr>
              <w:t>Other long-term liabilities</w:t>
            </w:r>
          </w:p>
        </w:tc>
        <w:tc>
          <w:tcPr>
            <w:tcW w:w="740" w:type="dxa"/>
            <w:vAlign w:val="bottom"/>
            <w:tcBorders>
              <w:bottom w:val="single" w:sz="8" w:color="auto"/>
            </w:tcBorders>
            <w:shd w:val="clear" w:color="auto" w:fill="CCEEFF"/>
          </w:tcPr>
          <w:p>
            <w:pPr>
              <w:spacing w:after="0"/>
              <w:rPr>
                <w:sz w:val="22"/>
                <w:szCs w:val="22"/>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50,467</w:t>
            </w:r>
          </w:p>
        </w:tc>
        <w:tc>
          <w:tcPr>
            <w:tcW w:w="80" w:type="dxa"/>
            <w:vAlign w:val="bottom"/>
            <w:shd w:val="clear" w:color="auto" w:fill="CCEEFF"/>
          </w:tcPr>
          <w:p>
            <w:pPr>
              <w:spacing w:after="0"/>
              <w:rPr>
                <w:sz w:val="22"/>
                <w:szCs w:val="22"/>
                <w:color w:val="auto"/>
              </w:rPr>
            </w:pPr>
          </w:p>
        </w:tc>
        <w:tc>
          <w:tcPr>
            <w:tcW w:w="740" w:type="dxa"/>
            <w:vAlign w:val="bottom"/>
            <w:tcBorders>
              <w:bottom w:val="single" w:sz="8" w:color="auto"/>
            </w:tcBorders>
            <w:shd w:val="clear" w:color="auto" w:fill="CCEEFF"/>
          </w:tcPr>
          <w:p>
            <w:pPr>
              <w:spacing w:after="0"/>
              <w:rPr>
                <w:sz w:val="22"/>
                <w:szCs w:val="22"/>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18,684</w:t>
            </w:r>
          </w:p>
        </w:tc>
      </w:tr>
      <w:tr>
        <w:trPr>
          <w:trHeight w:val="255"/>
        </w:trPr>
        <w:tc>
          <w:tcPr>
            <w:tcW w:w="6520" w:type="dxa"/>
            <w:vAlign w:val="bottom"/>
          </w:tcPr>
          <w:p>
            <w:pPr>
              <w:ind w:left="520"/>
              <w:spacing w:after="0"/>
              <w:rPr>
                <w:sz w:val="20"/>
                <w:szCs w:val="20"/>
                <w:color w:val="auto"/>
              </w:rPr>
            </w:pPr>
            <w:r>
              <w:rPr>
                <w:rFonts w:ascii="Arial" w:cs="Arial" w:eastAsia="Arial" w:hAnsi="Arial"/>
                <w:sz w:val="20"/>
                <w:szCs w:val="20"/>
                <w:color w:val="auto"/>
              </w:rPr>
              <w:t>Total liabilities</w:t>
            </w:r>
          </w:p>
        </w:tc>
        <w:tc>
          <w:tcPr>
            <w:tcW w:w="740" w:type="dxa"/>
            <w:vAlign w:val="bottom"/>
          </w:tcPr>
          <w:p>
            <w:pPr>
              <w:spacing w:after="0"/>
              <w:rPr>
                <w:sz w:val="22"/>
                <w:szCs w:val="22"/>
                <w:color w:val="auto"/>
              </w:rPr>
            </w:pPr>
          </w:p>
        </w:tc>
        <w:tc>
          <w:tcPr>
            <w:tcW w:w="1580" w:type="dxa"/>
            <w:vAlign w:val="bottom"/>
          </w:tcPr>
          <w:p>
            <w:pPr>
              <w:jc w:val="right"/>
              <w:spacing w:after="0"/>
              <w:rPr>
                <w:sz w:val="20"/>
                <w:szCs w:val="20"/>
                <w:color w:val="auto"/>
              </w:rPr>
            </w:pPr>
            <w:r>
              <w:rPr>
                <w:rFonts w:ascii="Arial" w:cs="Arial" w:eastAsia="Arial" w:hAnsi="Arial"/>
                <w:sz w:val="20"/>
                <w:szCs w:val="20"/>
                <w:color w:val="auto"/>
              </w:rPr>
              <w:t>1,206,572</w:t>
            </w:r>
          </w:p>
        </w:tc>
        <w:tc>
          <w:tcPr>
            <w:tcW w:w="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580" w:type="dxa"/>
            <w:vAlign w:val="bottom"/>
          </w:tcPr>
          <w:p>
            <w:pPr>
              <w:jc w:val="right"/>
              <w:spacing w:after="0"/>
              <w:rPr>
                <w:sz w:val="20"/>
                <w:szCs w:val="20"/>
                <w:color w:val="auto"/>
              </w:rPr>
            </w:pPr>
            <w:r>
              <w:rPr>
                <w:rFonts w:ascii="Arial" w:cs="Arial" w:eastAsia="Arial" w:hAnsi="Arial"/>
                <w:sz w:val="20"/>
                <w:szCs w:val="20"/>
                <w:color w:val="auto"/>
              </w:rPr>
              <w:t>1,137,164</w:t>
            </w:r>
          </w:p>
        </w:tc>
      </w:tr>
    </w:tbl>
    <w:p>
      <w:pPr>
        <w:spacing w:after="0" w:line="200" w:lineRule="exact"/>
        <w:rPr>
          <w:sz w:val="20"/>
          <w:szCs w:val="20"/>
          <w:color w:val="auto"/>
        </w:rPr>
      </w:pP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78105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4" w:name="page5"/>
    <w:bookmarkEnd w:id="4"/>
    <w:p>
      <w:pPr>
        <w:ind w:left="4480"/>
        <w:spacing w:after="0"/>
        <w:rPr>
          <w:sz w:val="20"/>
          <w:szCs w:val="20"/>
          <w:color w:val="auto"/>
        </w:rPr>
      </w:pPr>
      <w:r>
        <w:rPr>
          <w:rFonts w:ascii="Arial" w:cs="Arial" w:eastAsia="Arial" w:hAnsi="Arial"/>
          <w:sz w:val="20"/>
          <w:szCs w:val="20"/>
          <w:b w:val="1"/>
          <w:bCs w:val="1"/>
          <w:color w:val="auto"/>
        </w:rPr>
        <w:t>Array Technologies, Inc.</w:t>
      </w:r>
    </w:p>
    <w:p>
      <w:pPr>
        <w:spacing w:after="0" w:line="33" w:lineRule="exact"/>
        <w:rPr>
          <w:sz w:val="20"/>
          <w:szCs w:val="20"/>
          <w:color w:val="auto"/>
        </w:rPr>
      </w:pPr>
    </w:p>
    <w:p>
      <w:pPr>
        <w:ind w:left="2580"/>
        <w:spacing w:after="0"/>
        <w:rPr>
          <w:sz w:val="20"/>
          <w:szCs w:val="20"/>
          <w:color w:val="auto"/>
        </w:rPr>
      </w:pPr>
      <w:r>
        <w:rPr>
          <w:rFonts w:ascii="Arial" w:cs="Arial" w:eastAsia="Arial" w:hAnsi="Arial"/>
          <w:sz w:val="20"/>
          <w:szCs w:val="20"/>
          <w:b w:val="1"/>
          <w:bCs w:val="1"/>
          <w:color w:val="auto"/>
        </w:rPr>
        <w:t xml:space="preserve">Condensed Consolidated Balance Sheets </w:t>
      </w:r>
      <w:r>
        <w:rPr>
          <w:rFonts w:ascii="Arial" w:cs="Arial" w:eastAsia="Arial" w:hAnsi="Arial"/>
          <w:sz w:val="20"/>
          <w:szCs w:val="20"/>
          <w:b w:val="1"/>
          <w:bCs w:val="1"/>
          <w:i w:val="1"/>
          <w:iCs w:val="1"/>
          <w:color w:val="auto"/>
        </w:rPr>
        <w:t>(unaudited)</w:t>
      </w:r>
      <w:r>
        <w:rPr>
          <w:rFonts w:ascii="Arial" w:cs="Arial" w:eastAsia="Arial" w:hAnsi="Arial"/>
          <w:sz w:val="20"/>
          <w:szCs w:val="20"/>
          <w:b w:val="1"/>
          <w:bCs w:val="1"/>
          <w:color w:val="auto"/>
        </w:rPr>
        <w:t xml:space="preserve"> </w:t>
      </w:r>
      <w:r>
        <w:rPr>
          <w:rFonts w:ascii="Arial" w:cs="Arial" w:eastAsia="Arial" w:hAnsi="Arial"/>
          <w:sz w:val="20"/>
          <w:szCs w:val="20"/>
          <w:i w:val="1"/>
          <w:iCs w:val="1"/>
          <w:color w:val="auto"/>
        </w:rPr>
        <w:t>(continued)</w:t>
      </w:r>
    </w:p>
    <w:p>
      <w:pPr>
        <w:jc w:val="center"/>
        <w:spacing w:after="0"/>
        <w:rPr>
          <w:sz w:val="20"/>
          <w:szCs w:val="20"/>
          <w:color w:val="auto"/>
        </w:rPr>
      </w:pPr>
      <w:r>
        <w:rPr>
          <w:rFonts w:ascii="Arial" w:cs="Arial" w:eastAsia="Arial" w:hAnsi="Arial"/>
          <w:sz w:val="20"/>
          <w:szCs w:val="20"/>
          <w:i w:val="1"/>
          <w:iCs w:val="1"/>
          <w:color w:val="auto"/>
        </w:rPr>
        <w:t>(in thousands, except per share and share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277"/>
        </w:trPr>
        <w:tc>
          <w:tcPr>
            <w:tcW w:w="6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20" w:type="dxa"/>
            <w:vAlign w:val="bottom"/>
            <w:gridSpan w:val="2"/>
          </w:tcPr>
          <w:p>
            <w:pPr>
              <w:ind w:left="60"/>
              <w:spacing w:after="0"/>
              <w:rPr>
                <w:sz w:val="20"/>
                <w:szCs w:val="20"/>
                <w:color w:val="auto"/>
              </w:rPr>
            </w:pPr>
            <w:r>
              <w:rPr>
                <w:rFonts w:ascii="Arial" w:cs="Arial" w:eastAsia="Arial" w:hAnsi="Arial"/>
                <w:sz w:val="20"/>
                <w:szCs w:val="20"/>
                <w:b w:val="1"/>
                <w:bCs w:val="1"/>
                <w:color w:val="auto"/>
              </w:rPr>
              <w:t>September 30, 2025</w:t>
            </w:r>
          </w:p>
        </w:tc>
        <w:tc>
          <w:tcPr>
            <w:tcW w:w="200" w:type="dxa"/>
            <w:vAlign w:val="bottom"/>
          </w:tcPr>
          <w:p>
            <w:pPr>
              <w:spacing w:after="0"/>
              <w:rPr>
                <w:sz w:val="24"/>
                <w:szCs w:val="24"/>
                <w:color w:val="auto"/>
              </w:rPr>
            </w:pPr>
          </w:p>
        </w:tc>
        <w:tc>
          <w:tcPr>
            <w:tcW w:w="2120" w:type="dxa"/>
            <w:vAlign w:val="bottom"/>
          </w:tcPr>
          <w:p>
            <w:pPr>
              <w:jc w:val="right"/>
              <w:ind w:right="161"/>
              <w:spacing w:after="0"/>
              <w:rPr>
                <w:sz w:val="20"/>
                <w:szCs w:val="20"/>
                <w:color w:val="auto"/>
              </w:rPr>
            </w:pPr>
            <w:r>
              <w:rPr>
                <w:rFonts w:ascii="Arial" w:cs="Arial" w:eastAsia="Arial" w:hAnsi="Arial"/>
                <w:sz w:val="20"/>
                <w:szCs w:val="20"/>
                <w:b w:val="1"/>
                <w:bCs w:val="1"/>
                <w:color w:val="auto"/>
              </w:rPr>
              <w:t>December 31, 2024</w:t>
            </w:r>
          </w:p>
        </w:tc>
        <w:tc>
          <w:tcPr>
            <w:tcW w:w="0" w:type="dxa"/>
            <w:vAlign w:val="bottom"/>
          </w:tcPr>
          <w:p>
            <w:pPr>
              <w:spacing w:after="0"/>
              <w:rPr>
                <w:sz w:val="1"/>
                <w:szCs w:val="1"/>
                <w:color w:val="auto"/>
              </w:rPr>
            </w:pPr>
          </w:p>
        </w:tc>
      </w:tr>
      <w:tr>
        <w:trPr>
          <w:trHeight w:val="253"/>
        </w:trPr>
        <w:tc>
          <w:tcPr>
            <w:tcW w:w="652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spacing w:after="0"/>
              <w:rPr>
                <w:sz w:val="22"/>
                <w:szCs w:val="22"/>
                <w:color w:val="auto"/>
              </w:rPr>
            </w:pPr>
          </w:p>
        </w:tc>
        <w:tc>
          <w:tcPr>
            <w:tcW w:w="2140" w:type="dxa"/>
            <w:vAlign w:val="bottom"/>
            <w:tcBorders>
              <w:top w:val="single" w:sz="8" w:color="auto"/>
            </w:tcBorders>
            <w:shd w:val="clear" w:color="auto" w:fill="CCEEFF"/>
          </w:tcPr>
          <w:p>
            <w:pPr>
              <w:spacing w:after="0"/>
              <w:rPr>
                <w:sz w:val="22"/>
                <w:szCs w:val="22"/>
                <w:color w:val="auto"/>
              </w:rPr>
            </w:pPr>
          </w:p>
        </w:tc>
        <w:tc>
          <w:tcPr>
            <w:tcW w:w="80" w:type="dxa"/>
            <w:vAlign w:val="bottom"/>
            <w:tcBorders>
              <w:top w:val="single" w:sz="8" w:color="CCEEFF"/>
            </w:tcBorders>
            <w:shd w:val="clear" w:color="auto" w:fill="CCEEFF"/>
          </w:tcPr>
          <w:p>
            <w:pPr>
              <w:spacing w:after="0"/>
              <w:rPr>
                <w:sz w:val="22"/>
                <w:szCs w:val="22"/>
                <w:color w:val="auto"/>
              </w:rPr>
            </w:pPr>
          </w:p>
        </w:tc>
        <w:tc>
          <w:tcPr>
            <w:tcW w:w="200" w:type="dxa"/>
            <w:vAlign w:val="bottom"/>
            <w:tcBorders>
              <w:top w:val="single" w:sz="8" w:color="auto"/>
            </w:tcBorders>
            <w:shd w:val="clear" w:color="auto" w:fill="CCEEFF"/>
          </w:tcPr>
          <w:p>
            <w:pPr>
              <w:spacing w:after="0"/>
              <w:rPr>
                <w:sz w:val="22"/>
                <w:szCs w:val="22"/>
                <w:color w:val="auto"/>
              </w:rPr>
            </w:pPr>
          </w:p>
        </w:tc>
        <w:tc>
          <w:tcPr>
            <w:tcW w:w="2120" w:type="dxa"/>
            <w:vAlign w:val="bottom"/>
            <w:tcBorders>
              <w:top w:val="single" w:sz="8" w:color="auto"/>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6520" w:type="dxa"/>
            <w:vAlign w:val="bottom"/>
          </w:tcPr>
          <w:p>
            <w:pPr>
              <w:ind w:left="20"/>
              <w:spacing w:after="0"/>
              <w:rPr>
                <w:sz w:val="20"/>
                <w:szCs w:val="20"/>
                <w:color w:val="auto"/>
              </w:rPr>
            </w:pPr>
            <w:r>
              <w:rPr>
                <w:rFonts w:ascii="Arial" w:cs="Arial" w:eastAsia="Arial" w:hAnsi="Arial"/>
                <w:sz w:val="20"/>
                <w:szCs w:val="20"/>
                <w:color w:val="auto"/>
              </w:rPr>
              <w:t>Commitments and contingencies (Note 12)</w:t>
            </w:r>
          </w:p>
        </w:tc>
        <w:tc>
          <w:tcPr>
            <w:tcW w:w="180" w:type="dxa"/>
            <w:vAlign w:val="bottom"/>
          </w:tcPr>
          <w:p>
            <w:pPr>
              <w:spacing w:after="0"/>
              <w:rPr>
                <w:sz w:val="22"/>
                <w:szCs w:val="22"/>
                <w:color w:val="auto"/>
              </w:rPr>
            </w:pPr>
          </w:p>
        </w:tc>
        <w:tc>
          <w:tcPr>
            <w:tcW w:w="2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65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21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21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194"/>
        </w:trPr>
        <w:tc>
          <w:tcPr>
            <w:tcW w:w="6520" w:type="dxa"/>
            <w:vAlign w:val="bottom"/>
          </w:tcPr>
          <w:p>
            <w:pPr>
              <w:ind w:left="20"/>
              <w:spacing w:after="0" w:line="194" w:lineRule="exact"/>
              <w:rPr>
                <w:sz w:val="20"/>
                <w:szCs w:val="20"/>
                <w:color w:val="auto"/>
              </w:rPr>
            </w:pPr>
            <w:r>
              <w:rPr>
                <w:rFonts w:ascii="Arial" w:cs="Arial" w:eastAsia="Arial" w:hAnsi="Arial"/>
                <w:sz w:val="20"/>
                <w:szCs w:val="20"/>
                <w:color w:val="auto"/>
              </w:rPr>
              <w:t>Series A Redeemable Perpetual Preferred Stock of $0.001 par value;</w:t>
            </w:r>
          </w:p>
        </w:tc>
        <w:tc>
          <w:tcPr>
            <w:tcW w:w="180" w:type="dxa"/>
            <w:vAlign w:val="bottom"/>
          </w:tcPr>
          <w:p>
            <w:pPr>
              <w:spacing w:after="0"/>
              <w:rPr>
                <w:sz w:val="16"/>
                <w:szCs w:val="16"/>
                <w:color w:val="auto"/>
              </w:rPr>
            </w:pPr>
          </w:p>
        </w:tc>
        <w:tc>
          <w:tcPr>
            <w:tcW w:w="2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6520" w:type="dxa"/>
            <w:vAlign w:val="bottom"/>
          </w:tcPr>
          <w:p>
            <w:pPr>
              <w:ind w:left="20"/>
              <w:spacing w:after="0" w:line="197" w:lineRule="exact"/>
              <w:rPr>
                <w:sz w:val="20"/>
                <w:szCs w:val="20"/>
                <w:color w:val="auto"/>
              </w:rPr>
            </w:pPr>
            <w:r>
              <w:rPr>
                <w:rFonts w:ascii="Arial" w:cs="Arial" w:eastAsia="Arial" w:hAnsi="Arial"/>
                <w:sz w:val="20"/>
                <w:szCs w:val="20"/>
                <w:color w:val="auto"/>
                <w:w w:val="99"/>
              </w:rPr>
              <w:t>500,000 authorized; 483,112 and 460,920 shares issued as of September</w:t>
            </w:r>
          </w:p>
        </w:tc>
        <w:tc>
          <w:tcPr>
            <w:tcW w:w="180" w:type="dxa"/>
            <w:vAlign w:val="bottom"/>
          </w:tcPr>
          <w:p>
            <w:pPr>
              <w:spacing w:after="0"/>
              <w:rPr>
                <w:sz w:val="17"/>
                <w:szCs w:val="17"/>
                <w:color w:val="auto"/>
              </w:rPr>
            </w:pPr>
          </w:p>
        </w:tc>
        <w:tc>
          <w:tcPr>
            <w:tcW w:w="2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6520" w:type="dxa"/>
            <w:vAlign w:val="bottom"/>
          </w:tcPr>
          <w:p>
            <w:pPr>
              <w:ind w:left="20"/>
              <w:spacing w:after="0" w:line="194" w:lineRule="exact"/>
              <w:rPr>
                <w:sz w:val="20"/>
                <w:szCs w:val="20"/>
                <w:color w:val="auto"/>
              </w:rPr>
            </w:pPr>
            <w:r>
              <w:rPr>
                <w:rFonts w:ascii="Arial" w:cs="Arial" w:eastAsia="Arial" w:hAnsi="Arial"/>
                <w:sz w:val="20"/>
                <w:szCs w:val="20"/>
                <w:color w:val="auto"/>
              </w:rPr>
              <w:t>30, 2025 and December 31, 2024, respectively; liquidation preference of</w:t>
            </w:r>
          </w:p>
        </w:tc>
        <w:tc>
          <w:tcPr>
            <w:tcW w:w="180" w:type="dxa"/>
            <w:vAlign w:val="bottom"/>
          </w:tcPr>
          <w:p>
            <w:pPr>
              <w:spacing w:after="0"/>
              <w:rPr>
                <w:sz w:val="16"/>
                <w:szCs w:val="16"/>
                <w:color w:val="auto"/>
              </w:rPr>
            </w:pPr>
          </w:p>
        </w:tc>
        <w:tc>
          <w:tcPr>
            <w:tcW w:w="2140" w:type="dxa"/>
            <w:vAlign w:val="bottom"/>
            <w:vMerge w:val="restart"/>
          </w:tcPr>
          <w:p>
            <w:pPr>
              <w:jc w:val="right"/>
              <w:spacing w:after="0"/>
              <w:rPr>
                <w:sz w:val="20"/>
                <w:szCs w:val="20"/>
                <w:color w:val="auto"/>
              </w:rPr>
            </w:pPr>
            <w:r>
              <w:rPr>
                <w:rFonts w:ascii="Arial" w:cs="Arial" w:eastAsia="Arial" w:hAnsi="Arial"/>
                <w:sz w:val="20"/>
                <w:szCs w:val="20"/>
                <w:color w:val="auto"/>
              </w:rPr>
              <w:t>451,306</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120" w:type="dxa"/>
            <w:vAlign w:val="bottom"/>
            <w:vMerge w:val="restart"/>
          </w:tcPr>
          <w:p>
            <w:pPr>
              <w:jc w:val="right"/>
              <w:spacing w:after="0"/>
              <w:rPr>
                <w:sz w:val="20"/>
                <w:szCs w:val="20"/>
                <w:color w:val="auto"/>
              </w:rPr>
            </w:pPr>
            <w:r>
              <w:rPr>
                <w:rFonts w:ascii="Arial" w:cs="Arial" w:eastAsia="Arial" w:hAnsi="Arial"/>
                <w:sz w:val="20"/>
                <w:szCs w:val="20"/>
                <w:color w:val="auto"/>
              </w:rPr>
              <w:t>406,931</w:t>
            </w:r>
          </w:p>
        </w:tc>
        <w:tc>
          <w:tcPr>
            <w:tcW w:w="0" w:type="dxa"/>
            <w:vAlign w:val="bottom"/>
          </w:tcPr>
          <w:p>
            <w:pPr>
              <w:spacing w:after="0"/>
              <w:rPr>
                <w:sz w:val="1"/>
                <w:szCs w:val="1"/>
                <w:color w:val="auto"/>
              </w:rPr>
            </w:pPr>
          </w:p>
        </w:tc>
      </w:tr>
      <w:tr>
        <w:trPr>
          <w:trHeight w:val="263"/>
        </w:trPr>
        <w:tc>
          <w:tcPr>
            <w:tcW w:w="6520" w:type="dxa"/>
            <w:vAlign w:val="bottom"/>
            <w:tcBorders>
              <w:bottom w:val="single" w:sz="8" w:color="CCEEFF"/>
            </w:tcBorders>
          </w:tcPr>
          <w:p>
            <w:pPr>
              <w:ind w:left="20"/>
              <w:spacing w:after="0"/>
              <w:rPr>
                <w:sz w:val="20"/>
                <w:szCs w:val="20"/>
                <w:color w:val="auto"/>
              </w:rPr>
            </w:pPr>
            <w:r>
              <w:rPr>
                <w:rFonts w:ascii="Arial" w:cs="Arial" w:eastAsia="Arial" w:hAnsi="Arial"/>
                <w:sz w:val="20"/>
                <w:szCs w:val="20"/>
                <w:color w:val="auto"/>
              </w:rPr>
              <w:t>$493.1 million at both dates</w:t>
            </w:r>
          </w:p>
        </w:tc>
        <w:tc>
          <w:tcPr>
            <w:tcW w:w="180" w:type="dxa"/>
            <w:vAlign w:val="bottom"/>
            <w:tcBorders>
              <w:bottom w:val="single" w:sz="8" w:color="auto"/>
            </w:tcBorders>
          </w:tcPr>
          <w:p>
            <w:pPr>
              <w:spacing w:after="0"/>
              <w:rPr>
                <w:sz w:val="22"/>
                <w:szCs w:val="22"/>
                <w:color w:val="auto"/>
              </w:rPr>
            </w:pPr>
          </w:p>
        </w:tc>
        <w:tc>
          <w:tcPr>
            <w:tcW w:w="2140" w:type="dxa"/>
            <w:vAlign w:val="bottom"/>
            <w:tcBorders>
              <w:bottom w:val="single" w:sz="8" w:color="auto"/>
            </w:tcBorders>
            <w:vMerge w:val="continue"/>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2120" w:type="dxa"/>
            <w:vAlign w:val="bottom"/>
            <w:tcBorders>
              <w:bottom w:val="single" w:sz="8" w:color="auto"/>
            </w:tcBorders>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52"/>
        </w:trPr>
        <w:tc>
          <w:tcPr>
            <w:tcW w:w="65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21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21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6520" w:type="dxa"/>
            <w:vAlign w:val="bottom"/>
          </w:tcPr>
          <w:p>
            <w:pPr>
              <w:ind w:left="20"/>
              <w:spacing w:after="0"/>
              <w:rPr>
                <w:sz w:val="20"/>
                <w:szCs w:val="20"/>
                <w:color w:val="auto"/>
              </w:rPr>
            </w:pPr>
            <w:r>
              <w:rPr>
                <w:rFonts w:ascii="Arial" w:cs="Arial" w:eastAsia="Arial" w:hAnsi="Arial"/>
                <w:sz w:val="20"/>
                <w:szCs w:val="20"/>
                <w:color w:val="auto"/>
              </w:rPr>
              <w:t>Stockholders’ equity</w:t>
            </w:r>
          </w:p>
        </w:tc>
        <w:tc>
          <w:tcPr>
            <w:tcW w:w="180" w:type="dxa"/>
            <w:vAlign w:val="bottom"/>
          </w:tcPr>
          <w:p>
            <w:pPr>
              <w:spacing w:after="0"/>
              <w:rPr>
                <w:sz w:val="22"/>
                <w:szCs w:val="22"/>
                <w:color w:val="auto"/>
              </w:rPr>
            </w:pPr>
          </w:p>
        </w:tc>
        <w:tc>
          <w:tcPr>
            <w:tcW w:w="2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4"/>
        </w:trPr>
        <w:tc>
          <w:tcPr>
            <w:tcW w:w="6520" w:type="dxa"/>
            <w:vAlign w:val="bottom"/>
            <w:shd w:val="clear" w:color="auto" w:fill="CCEEFF"/>
          </w:tcPr>
          <w:p>
            <w:pPr>
              <w:ind w:left="240"/>
              <w:spacing w:after="0" w:line="194" w:lineRule="exact"/>
              <w:rPr>
                <w:sz w:val="20"/>
                <w:szCs w:val="20"/>
                <w:color w:val="auto"/>
              </w:rPr>
            </w:pPr>
            <w:r>
              <w:rPr>
                <w:rFonts w:ascii="Arial" w:cs="Arial" w:eastAsia="Arial" w:hAnsi="Arial"/>
                <w:sz w:val="20"/>
                <w:szCs w:val="20"/>
                <w:color w:val="auto"/>
              </w:rPr>
              <w:t>Preferred stock of $0.001 par value - 4,500,000 shares authorized;</w:t>
            </w:r>
          </w:p>
        </w:tc>
        <w:tc>
          <w:tcPr>
            <w:tcW w:w="180" w:type="dxa"/>
            <w:vAlign w:val="bottom"/>
            <w:shd w:val="clear" w:color="auto" w:fill="CCEEFF"/>
          </w:tcPr>
          <w:p>
            <w:pPr>
              <w:spacing w:after="0"/>
              <w:rPr>
                <w:sz w:val="16"/>
                <w:szCs w:val="16"/>
                <w:color w:val="auto"/>
              </w:rPr>
            </w:pPr>
          </w:p>
        </w:tc>
        <w:tc>
          <w:tcPr>
            <w:tcW w:w="22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20"/>
                <w:szCs w:val="20"/>
                <w:color w:val="auto"/>
              </w:rPr>
              <w:t>—</w:t>
            </w:r>
          </w:p>
        </w:tc>
        <w:tc>
          <w:tcPr>
            <w:tcW w:w="200" w:type="dxa"/>
            <w:vAlign w:val="bottom"/>
            <w:shd w:val="clear" w:color="auto" w:fill="CCEEFF"/>
          </w:tcPr>
          <w:p>
            <w:pPr>
              <w:spacing w:after="0"/>
              <w:rPr>
                <w:sz w:val="16"/>
                <w:szCs w:val="16"/>
                <w:color w:val="auto"/>
              </w:rPr>
            </w:pPr>
          </w:p>
        </w:tc>
        <w:tc>
          <w:tcPr>
            <w:tcW w:w="2120" w:type="dxa"/>
            <w:vAlign w:val="bottom"/>
            <w:vMerge w:val="restart"/>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51"/>
        </w:trPr>
        <w:tc>
          <w:tcPr>
            <w:tcW w:w="6520" w:type="dxa"/>
            <w:vAlign w:val="bottom"/>
            <w:shd w:val="clear" w:color="auto" w:fill="CCEEFF"/>
          </w:tcPr>
          <w:p>
            <w:pPr>
              <w:ind w:left="240"/>
              <w:spacing w:after="0"/>
              <w:rPr>
                <w:sz w:val="20"/>
                <w:szCs w:val="20"/>
                <w:color w:val="auto"/>
              </w:rPr>
            </w:pPr>
            <w:r>
              <w:rPr>
                <w:rFonts w:ascii="Arial" w:cs="Arial" w:eastAsia="Arial" w:hAnsi="Arial"/>
                <w:sz w:val="20"/>
                <w:szCs w:val="20"/>
                <w:color w:val="auto"/>
              </w:rPr>
              <w:t>none issued at respective dates</w:t>
            </w:r>
          </w:p>
        </w:tc>
        <w:tc>
          <w:tcPr>
            <w:tcW w:w="180" w:type="dxa"/>
            <w:vAlign w:val="bottom"/>
            <w:shd w:val="clear" w:color="auto" w:fill="CCEEFF"/>
          </w:tcPr>
          <w:p>
            <w:pPr>
              <w:spacing w:after="0"/>
              <w:rPr>
                <w:sz w:val="21"/>
                <w:szCs w:val="21"/>
                <w:color w:val="auto"/>
              </w:rPr>
            </w:pPr>
          </w:p>
        </w:tc>
        <w:tc>
          <w:tcPr>
            <w:tcW w:w="2220" w:type="dxa"/>
            <w:vAlign w:val="bottom"/>
            <w:gridSpan w:val="2"/>
            <w:vMerge w:val="continue"/>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212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94"/>
        </w:trPr>
        <w:tc>
          <w:tcPr>
            <w:tcW w:w="6520" w:type="dxa"/>
            <w:vAlign w:val="bottom"/>
          </w:tcPr>
          <w:p>
            <w:pPr>
              <w:ind w:left="240"/>
              <w:spacing w:after="0" w:line="194" w:lineRule="exact"/>
              <w:rPr>
                <w:sz w:val="20"/>
                <w:szCs w:val="20"/>
                <w:color w:val="auto"/>
              </w:rPr>
            </w:pPr>
            <w:r>
              <w:rPr>
                <w:rFonts w:ascii="Arial" w:cs="Arial" w:eastAsia="Arial" w:hAnsi="Arial"/>
                <w:sz w:val="20"/>
                <w:szCs w:val="20"/>
                <w:color w:val="auto"/>
              </w:rPr>
              <w:t>Common stock of $0.001 par value - 1,000,000,000 shares authorized;</w:t>
            </w:r>
          </w:p>
        </w:tc>
        <w:tc>
          <w:tcPr>
            <w:tcW w:w="180" w:type="dxa"/>
            <w:vAlign w:val="bottom"/>
          </w:tcPr>
          <w:p>
            <w:pPr>
              <w:spacing w:after="0"/>
              <w:rPr>
                <w:sz w:val="16"/>
                <w:szCs w:val="16"/>
                <w:color w:val="auto"/>
              </w:rPr>
            </w:pPr>
          </w:p>
        </w:tc>
        <w:tc>
          <w:tcPr>
            <w:tcW w:w="2140" w:type="dxa"/>
            <w:vAlign w:val="bottom"/>
            <w:vMerge w:val="restart"/>
          </w:tcPr>
          <w:p>
            <w:pPr>
              <w:jc w:val="right"/>
              <w:spacing w:after="0"/>
              <w:rPr>
                <w:sz w:val="20"/>
                <w:szCs w:val="20"/>
                <w:color w:val="auto"/>
              </w:rPr>
            </w:pPr>
            <w:r>
              <w:rPr>
                <w:rFonts w:ascii="Arial" w:cs="Arial" w:eastAsia="Arial" w:hAnsi="Arial"/>
                <w:sz w:val="20"/>
                <w:szCs w:val="20"/>
                <w:color w:val="auto"/>
              </w:rPr>
              <w:t>152</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120" w:type="dxa"/>
            <w:vAlign w:val="bottom"/>
            <w:vMerge w:val="restart"/>
          </w:tcPr>
          <w:p>
            <w:pPr>
              <w:jc w:val="right"/>
              <w:spacing w:after="0"/>
              <w:rPr>
                <w:sz w:val="20"/>
                <w:szCs w:val="20"/>
                <w:color w:val="auto"/>
              </w:rPr>
            </w:pPr>
            <w:r>
              <w:rPr>
                <w:rFonts w:ascii="Arial" w:cs="Arial" w:eastAsia="Arial" w:hAnsi="Arial"/>
                <w:sz w:val="20"/>
                <w:szCs w:val="20"/>
                <w:color w:val="auto"/>
              </w:rPr>
              <w:t>151</w:t>
            </w:r>
          </w:p>
        </w:tc>
        <w:tc>
          <w:tcPr>
            <w:tcW w:w="0" w:type="dxa"/>
            <w:vAlign w:val="bottom"/>
          </w:tcPr>
          <w:p>
            <w:pPr>
              <w:spacing w:after="0"/>
              <w:rPr>
                <w:sz w:val="1"/>
                <w:szCs w:val="1"/>
                <w:color w:val="auto"/>
              </w:rPr>
            </w:pPr>
          </w:p>
        </w:tc>
      </w:tr>
      <w:tr>
        <w:trPr>
          <w:trHeight w:val="251"/>
        </w:trPr>
        <w:tc>
          <w:tcPr>
            <w:tcW w:w="6520" w:type="dxa"/>
            <w:vAlign w:val="bottom"/>
          </w:tcPr>
          <w:p>
            <w:pPr>
              <w:ind w:left="240"/>
              <w:spacing w:after="0"/>
              <w:rPr>
                <w:sz w:val="20"/>
                <w:szCs w:val="20"/>
                <w:color w:val="auto"/>
              </w:rPr>
            </w:pPr>
            <w:r>
              <w:rPr>
                <w:rFonts w:ascii="Arial" w:cs="Arial" w:eastAsia="Arial" w:hAnsi="Arial"/>
                <w:sz w:val="20"/>
                <w:szCs w:val="20"/>
                <w:color w:val="auto"/>
              </w:rPr>
              <w:t>152,747,767 and 151,951,652 shares issued at respective dates</w:t>
            </w:r>
          </w:p>
        </w:tc>
        <w:tc>
          <w:tcPr>
            <w:tcW w:w="180" w:type="dxa"/>
            <w:vAlign w:val="bottom"/>
          </w:tcPr>
          <w:p>
            <w:pPr>
              <w:spacing w:after="0"/>
              <w:rPr>
                <w:sz w:val="21"/>
                <w:szCs w:val="21"/>
                <w:color w:val="auto"/>
              </w:rPr>
            </w:pPr>
          </w:p>
        </w:tc>
        <w:tc>
          <w:tcPr>
            <w:tcW w:w="2140" w:type="dxa"/>
            <w:vAlign w:val="bottom"/>
            <w:vMerge w:val="continue"/>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1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6520" w:type="dxa"/>
            <w:vAlign w:val="bottom"/>
            <w:shd w:val="clear" w:color="auto" w:fill="CCEEFF"/>
          </w:tcPr>
          <w:p>
            <w:pPr>
              <w:ind w:left="240"/>
              <w:spacing w:after="0"/>
              <w:rPr>
                <w:sz w:val="20"/>
                <w:szCs w:val="20"/>
                <w:color w:val="auto"/>
              </w:rPr>
            </w:pPr>
            <w:r>
              <w:rPr>
                <w:rFonts w:ascii="Arial" w:cs="Arial" w:eastAsia="Arial" w:hAnsi="Arial"/>
                <w:sz w:val="20"/>
                <w:szCs w:val="20"/>
                <w:color w:val="auto"/>
              </w:rPr>
              <w:t>Additional paid-in capital</w:t>
            </w:r>
          </w:p>
        </w:tc>
        <w:tc>
          <w:tcPr>
            <w:tcW w:w="180" w:type="dxa"/>
            <w:vAlign w:val="bottom"/>
            <w:shd w:val="clear" w:color="auto" w:fill="CCEEFF"/>
          </w:tcPr>
          <w:p>
            <w:pPr>
              <w:spacing w:after="0"/>
              <w:rPr>
                <w:sz w:val="22"/>
                <w:szCs w:val="22"/>
                <w:color w:val="auto"/>
              </w:rPr>
            </w:pPr>
          </w:p>
        </w:tc>
        <w:tc>
          <w:tcPr>
            <w:tcW w:w="21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238,043</w:t>
            </w:r>
          </w:p>
        </w:tc>
        <w:tc>
          <w:tcPr>
            <w:tcW w:w="8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21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297,780</w:t>
            </w:r>
          </w:p>
        </w:tc>
        <w:tc>
          <w:tcPr>
            <w:tcW w:w="0" w:type="dxa"/>
            <w:vAlign w:val="bottom"/>
          </w:tcPr>
          <w:p>
            <w:pPr>
              <w:spacing w:after="0"/>
              <w:rPr>
                <w:sz w:val="1"/>
                <w:szCs w:val="1"/>
                <w:color w:val="auto"/>
              </w:rPr>
            </w:pPr>
          </w:p>
        </w:tc>
      </w:tr>
      <w:tr>
        <w:trPr>
          <w:trHeight w:val="256"/>
        </w:trPr>
        <w:tc>
          <w:tcPr>
            <w:tcW w:w="6520" w:type="dxa"/>
            <w:vAlign w:val="bottom"/>
          </w:tcPr>
          <w:p>
            <w:pPr>
              <w:ind w:left="240"/>
              <w:spacing w:after="0"/>
              <w:rPr>
                <w:sz w:val="20"/>
                <w:szCs w:val="20"/>
                <w:color w:val="auto"/>
              </w:rPr>
            </w:pPr>
            <w:r>
              <w:rPr>
                <w:rFonts w:ascii="Arial" w:cs="Arial" w:eastAsia="Arial" w:hAnsi="Arial"/>
                <w:sz w:val="20"/>
                <w:szCs w:val="20"/>
                <w:color w:val="auto"/>
              </w:rPr>
              <w:t>Accumulated deficit</w:t>
            </w:r>
          </w:p>
        </w:tc>
        <w:tc>
          <w:tcPr>
            <w:tcW w:w="180" w:type="dxa"/>
            <w:vAlign w:val="bottom"/>
          </w:tcPr>
          <w:p>
            <w:pPr>
              <w:spacing w:after="0"/>
              <w:rPr>
                <w:sz w:val="22"/>
                <w:szCs w:val="22"/>
                <w:color w:val="auto"/>
              </w:rPr>
            </w:pPr>
          </w:p>
        </w:tc>
        <w:tc>
          <w:tcPr>
            <w:tcW w:w="2140" w:type="dxa"/>
            <w:vAlign w:val="bottom"/>
          </w:tcPr>
          <w:p>
            <w:pPr>
              <w:jc w:val="right"/>
              <w:spacing w:after="0"/>
              <w:rPr>
                <w:sz w:val="20"/>
                <w:szCs w:val="20"/>
                <w:color w:val="auto"/>
              </w:rPr>
            </w:pPr>
            <w:r>
              <w:rPr>
                <w:rFonts w:ascii="Arial" w:cs="Arial" w:eastAsia="Arial" w:hAnsi="Arial"/>
                <w:sz w:val="20"/>
                <w:szCs w:val="20"/>
                <w:color w:val="auto"/>
              </w:rPr>
              <w:t>(277,113)</w:t>
            </w: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120" w:type="dxa"/>
            <w:vAlign w:val="bottom"/>
          </w:tcPr>
          <w:p>
            <w:pPr>
              <w:jc w:val="right"/>
              <w:spacing w:after="0"/>
              <w:rPr>
                <w:sz w:val="20"/>
                <w:szCs w:val="20"/>
                <w:color w:val="auto"/>
              </w:rPr>
            </w:pPr>
            <w:r>
              <w:rPr>
                <w:rFonts w:ascii="Arial" w:cs="Arial" w:eastAsia="Arial" w:hAnsi="Arial"/>
                <w:sz w:val="20"/>
                <w:szCs w:val="20"/>
                <w:color w:val="auto"/>
              </w:rPr>
              <w:t>(370,624)</w:t>
            </w:r>
          </w:p>
        </w:tc>
        <w:tc>
          <w:tcPr>
            <w:tcW w:w="0" w:type="dxa"/>
            <w:vAlign w:val="bottom"/>
          </w:tcPr>
          <w:p>
            <w:pPr>
              <w:spacing w:after="0"/>
              <w:rPr>
                <w:sz w:val="1"/>
                <w:szCs w:val="1"/>
                <w:color w:val="auto"/>
              </w:rPr>
            </w:pPr>
          </w:p>
        </w:tc>
      </w:tr>
      <w:tr>
        <w:trPr>
          <w:trHeight w:val="257"/>
        </w:trPr>
        <w:tc>
          <w:tcPr>
            <w:tcW w:w="6520" w:type="dxa"/>
            <w:vAlign w:val="bottom"/>
            <w:shd w:val="clear" w:color="auto" w:fill="CCEEFF"/>
          </w:tcPr>
          <w:p>
            <w:pPr>
              <w:ind w:left="240"/>
              <w:spacing w:after="0"/>
              <w:rPr>
                <w:sz w:val="20"/>
                <w:szCs w:val="20"/>
                <w:color w:val="auto"/>
              </w:rPr>
            </w:pPr>
            <w:r>
              <w:rPr>
                <w:rFonts w:ascii="Arial" w:cs="Arial" w:eastAsia="Arial" w:hAnsi="Arial"/>
                <w:sz w:val="20"/>
                <w:szCs w:val="20"/>
                <w:color w:val="auto"/>
              </w:rPr>
              <w:t>Accumulated other comprehensive loss</w:t>
            </w:r>
          </w:p>
        </w:tc>
        <w:tc>
          <w:tcPr>
            <w:tcW w:w="180" w:type="dxa"/>
            <w:vAlign w:val="bottom"/>
            <w:tcBorders>
              <w:bottom w:val="single" w:sz="8" w:color="auto"/>
            </w:tcBorders>
            <w:shd w:val="clear" w:color="auto" w:fill="CCEEFF"/>
          </w:tcPr>
          <w:p>
            <w:pPr>
              <w:spacing w:after="0"/>
              <w:rPr>
                <w:sz w:val="22"/>
                <w:szCs w:val="22"/>
                <w:color w:val="auto"/>
              </w:rPr>
            </w:pPr>
          </w:p>
        </w:tc>
        <w:tc>
          <w:tcPr>
            <w:tcW w:w="2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(7,799)</w:t>
            </w:r>
          </w:p>
        </w:tc>
        <w:tc>
          <w:tcPr>
            <w:tcW w:w="80" w:type="dxa"/>
            <w:vAlign w:val="bottom"/>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2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(45,403)</w:t>
            </w:r>
          </w:p>
        </w:tc>
        <w:tc>
          <w:tcPr>
            <w:tcW w:w="0" w:type="dxa"/>
            <w:vAlign w:val="bottom"/>
          </w:tcPr>
          <w:p>
            <w:pPr>
              <w:spacing w:after="0"/>
              <w:rPr>
                <w:sz w:val="1"/>
                <w:szCs w:val="1"/>
                <w:color w:val="auto"/>
              </w:rPr>
            </w:pPr>
          </w:p>
        </w:tc>
      </w:tr>
      <w:tr>
        <w:trPr>
          <w:trHeight w:val="250"/>
        </w:trPr>
        <w:tc>
          <w:tcPr>
            <w:tcW w:w="6520" w:type="dxa"/>
            <w:vAlign w:val="bottom"/>
            <w:tcBorders>
              <w:bottom w:val="single" w:sz="8" w:color="CCEEFF"/>
            </w:tcBorders>
          </w:tcPr>
          <w:p>
            <w:pPr>
              <w:ind w:left="520"/>
              <w:spacing w:after="0"/>
              <w:rPr>
                <w:sz w:val="20"/>
                <w:szCs w:val="20"/>
                <w:color w:val="auto"/>
              </w:rPr>
            </w:pPr>
            <w:r>
              <w:rPr>
                <w:rFonts w:ascii="Arial" w:cs="Arial" w:eastAsia="Arial" w:hAnsi="Arial"/>
                <w:sz w:val="20"/>
                <w:szCs w:val="20"/>
                <w:color w:val="auto"/>
              </w:rPr>
              <w:t>Total stockholders’ equity</w:t>
            </w:r>
          </w:p>
        </w:tc>
        <w:tc>
          <w:tcPr>
            <w:tcW w:w="180" w:type="dxa"/>
            <w:vAlign w:val="bottom"/>
            <w:tcBorders>
              <w:bottom w:val="single" w:sz="8" w:color="auto"/>
            </w:tcBorders>
          </w:tcPr>
          <w:p>
            <w:pPr>
              <w:spacing w:after="0"/>
              <w:rPr>
                <w:sz w:val="21"/>
                <w:szCs w:val="21"/>
                <w:color w:val="auto"/>
              </w:rPr>
            </w:pPr>
          </w:p>
        </w:tc>
        <w:tc>
          <w:tcPr>
            <w:tcW w:w="21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(46,717)</w:t>
            </w:r>
          </w:p>
        </w:tc>
        <w:tc>
          <w:tcPr>
            <w:tcW w:w="8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21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(118,096)</w:t>
            </w:r>
          </w:p>
        </w:tc>
        <w:tc>
          <w:tcPr>
            <w:tcW w:w="0" w:type="dxa"/>
            <w:vAlign w:val="bottom"/>
          </w:tcPr>
          <w:p>
            <w:pPr>
              <w:spacing w:after="0"/>
              <w:rPr>
                <w:sz w:val="1"/>
                <w:szCs w:val="1"/>
                <w:color w:val="auto"/>
              </w:rPr>
            </w:pPr>
          </w:p>
        </w:tc>
      </w:tr>
      <w:tr>
        <w:trPr>
          <w:trHeight w:val="174"/>
        </w:trPr>
        <w:tc>
          <w:tcPr>
            <w:tcW w:w="6520" w:type="dxa"/>
            <w:vAlign w:val="bottom"/>
            <w:shd w:val="clear" w:color="auto" w:fill="CCEEFF"/>
          </w:tcPr>
          <w:p>
            <w:pPr>
              <w:ind w:left="520"/>
              <w:spacing w:after="0" w:line="174" w:lineRule="exact"/>
              <w:rPr>
                <w:sz w:val="20"/>
                <w:szCs w:val="20"/>
                <w:color w:val="auto"/>
              </w:rPr>
            </w:pPr>
            <w:r>
              <w:rPr>
                <w:rFonts w:ascii="Arial" w:cs="Arial" w:eastAsia="Arial" w:hAnsi="Arial"/>
                <w:sz w:val="20"/>
                <w:szCs w:val="20"/>
                <w:color w:val="auto"/>
              </w:rPr>
              <w:t>Total liabilities, redeemable perpetual preferred stock and</w:t>
            </w: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2140" w:type="dxa"/>
            <w:vAlign w:val="bottom"/>
            <w:vMerge w:val="restart"/>
            <w:shd w:val="clear" w:color="auto" w:fill="CCEEFF"/>
          </w:tcPr>
          <w:p>
            <w:pPr>
              <w:jc w:val="right"/>
              <w:spacing w:after="0"/>
              <w:rPr>
                <w:sz w:val="20"/>
                <w:szCs w:val="20"/>
                <w:color w:val="auto"/>
              </w:rPr>
            </w:pPr>
            <w:r>
              <w:rPr>
                <w:rFonts w:ascii="Arial" w:cs="Arial" w:eastAsia="Arial" w:hAnsi="Arial"/>
                <w:sz w:val="20"/>
                <w:szCs w:val="20"/>
                <w:color w:val="auto"/>
              </w:rPr>
              <w:t>1,611,161</w:t>
            </w:r>
          </w:p>
        </w:tc>
        <w:tc>
          <w:tcPr>
            <w:tcW w:w="80" w:type="dxa"/>
            <w:vAlign w:val="bottom"/>
            <w:shd w:val="clear" w:color="auto" w:fill="CCEEFF"/>
          </w:tcPr>
          <w:p>
            <w:pPr>
              <w:spacing w:after="0"/>
              <w:rPr>
                <w:sz w:val="15"/>
                <w:szCs w:val="15"/>
                <w:color w:val="auto"/>
              </w:rPr>
            </w:pPr>
          </w:p>
        </w:tc>
        <w:tc>
          <w:tcPr>
            <w:tcW w:w="200" w:type="dxa"/>
            <w:vAlign w:val="bottom"/>
            <w:vMerge w:val="restart"/>
            <w:shd w:val="clear" w:color="auto" w:fill="CCEEFF"/>
          </w:tcPr>
          <w:p>
            <w:pPr>
              <w:jc w:val="right"/>
              <w:spacing w:after="0"/>
              <w:rPr>
                <w:sz w:val="20"/>
                <w:szCs w:val="20"/>
                <w:color w:val="auto"/>
              </w:rPr>
            </w:pPr>
            <w:r>
              <w:rPr>
                <w:rFonts w:ascii="Arial" w:cs="Arial" w:eastAsia="Arial" w:hAnsi="Arial"/>
                <w:sz w:val="20"/>
                <w:szCs w:val="20"/>
                <w:color w:val="auto"/>
                <w:w w:val="89"/>
              </w:rPr>
              <w:t>$</w:t>
            </w:r>
          </w:p>
        </w:tc>
        <w:tc>
          <w:tcPr>
            <w:tcW w:w="2120" w:type="dxa"/>
            <w:vAlign w:val="bottom"/>
            <w:vMerge w:val="restart"/>
            <w:shd w:val="clear" w:color="auto" w:fill="CCEEFF"/>
          </w:tcPr>
          <w:p>
            <w:pPr>
              <w:jc w:val="right"/>
              <w:spacing w:after="0"/>
              <w:rPr>
                <w:sz w:val="20"/>
                <w:szCs w:val="20"/>
                <w:color w:val="auto"/>
              </w:rPr>
            </w:pPr>
            <w:r>
              <w:rPr>
                <w:rFonts w:ascii="Arial" w:cs="Arial" w:eastAsia="Arial" w:hAnsi="Arial"/>
                <w:sz w:val="20"/>
                <w:szCs w:val="20"/>
                <w:color w:val="auto"/>
              </w:rPr>
              <w:t>1,425,999</w:t>
            </w:r>
          </w:p>
        </w:tc>
        <w:tc>
          <w:tcPr>
            <w:tcW w:w="0" w:type="dxa"/>
            <w:vAlign w:val="bottom"/>
          </w:tcPr>
          <w:p>
            <w:pPr>
              <w:spacing w:after="0"/>
              <w:rPr>
                <w:sz w:val="1"/>
                <w:szCs w:val="1"/>
                <w:color w:val="auto"/>
              </w:rPr>
            </w:pPr>
          </w:p>
        </w:tc>
      </w:tr>
      <w:tr>
        <w:trPr>
          <w:trHeight w:val="244"/>
        </w:trPr>
        <w:tc>
          <w:tcPr>
            <w:tcW w:w="6520" w:type="dxa"/>
            <w:vAlign w:val="bottom"/>
            <w:tcBorders>
              <w:bottom w:val="single" w:sz="8" w:color="CCEEFF"/>
            </w:tcBorders>
            <w:shd w:val="clear" w:color="auto" w:fill="CCEEFF"/>
          </w:tcPr>
          <w:p>
            <w:pPr>
              <w:ind w:left="520"/>
              <w:spacing w:after="0" w:line="224" w:lineRule="exact"/>
              <w:rPr>
                <w:sz w:val="20"/>
                <w:szCs w:val="20"/>
                <w:color w:val="auto"/>
              </w:rPr>
            </w:pPr>
            <w:r>
              <w:rPr>
                <w:rFonts w:ascii="Arial" w:cs="Arial" w:eastAsia="Arial" w:hAnsi="Arial"/>
                <w:sz w:val="20"/>
                <w:szCs w:val="20"/>
                <w:color w:val="auto"/>
              </w:rPr>
              <w:t>stockholders’ equity</w:t>
            </w:r>
          </w:p>
        </w:tc>
        <w:tc>
          <w:tcPr>
            <w:tcW w:w="180" w:type="dxa"/>
            <w:vAlign w:val="bottom"/>
            <w:tcBorders>
              <w:bottom w:val="single" w:sz="8" w:color="auto"/>
            </w:tcBorders>
            <w:vMerge w:val="continue"/>
            <w:shd w:val="clear" w:color="auto" w:fill="CCEEFF"/>
          </w:tcPr>
          <w:p>
            <w:pPr>
              <w:spacing w:after="0"/>
              <w:rPr>
                <w:sz w:val="21"/>
                <w:szCs w:val="21"/>
                <w:color w:val="auto"/>
              </w:rPr>
            </w:pPr>
          </w:p>
        </w:tc>
        <w:tc>
          <w:tcPr>
            <w:tcW w:w="2140" w:type="dxa"/>
            <w:vAlign w:val="bottom"/>
            <w:tcBorders>
              <w:bottom w:val="single" w:sz="8" w:color="auto"/>
            </w:tcBorders>
            <w:vMerge w:val="continue"/>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vMerge w:val="continue"/>
            <w:shd w:val="clear" w:color="auto" w:fill="CCEEFF"/>
          </w:tcPr>
          <w:p>
            <w:pPr>
              <w:spacing w:after="0"/>
              <w:rPr>
                <w:sz w:val="21"/>
                <w:szCs w:val="21"/>
                <w:color w:val="auto"/>
              </w:rPr>
            </w:pPr>
          </w:p>
        </w:tc>
        <w:tc>
          <w:tcPr>
            <w:tcW w:w="2120" w:type="dxa"/>
            <w:vAlign w:val="bottom"/>
            <w:tcBorders>
              <w:bottom w:val="single" w:sz="8" w:color="auto"/>
            </w:tcBorders>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5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2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2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5" w:name="page6"/>
    <w:bookmarkEnd w:id="5"/>
    <w:p>
      <w:pPr>
        <w:ind w:left="4460"/>
        <w:spacing w:after="0"/>
        <w:rPr>
          <w:sz w:val="20"/>
          <w:szCs w:val="20"/>
          <w:color w:val="auto"/>
        </w:rPr>
      </w:pPr>
      <w:r>
        <w:rPr>
          <w:rFonts w:ascii="Arial" w:cs="Arial" w:eastAsia="Arial" w:hAnsi="Arial"/>
          <w:sz w:val="20"/>
          <w:szCs w:val="20"/>
          <w:b w:val="1"/>
          <w:bCs w:val="1"/>
          <w:color w:val="auto"/>
        </w:rPr>
        <w:t>Array Technologies, Inc.</w:t>
      </w:r>
    </w:p>
    <w:p>
      <w:pPr>
        <w:spacing w:after="0" w:line="33" w:lineRule="exact"/>
        <w:rPr>
          <w:sz w:val="20"/>
          <w:szCs w:val="20"/>
          <w:color w:val="auto"/>
        </w:rPr>
      </w:pPr>
    </w:p>
    <w:p>
      <w:pPr>
        <w:ind w:left="2620"/>
        <w:spacing w:after="0"/>
        <w:rPr>
          <w:sz w:val="20"/>
          <w:szCs w:val="20"/>
          <w:color w:val="auto"/>
        </w:rPr>
      </w:pPr>
      <w:r>
        <w:rPr>
          <w:rFonts w:ascii="Arial" w:cs="Arial" w:eastAsia="Arial" w:hAnsi="Arial"/>
          <w:sz w:val="20"/>
          <w:szCs w:val="20"/>
          <w:b w:val="1"/>
          <w:bCs w:val="1"/>
          <w:color w:val="auto"/>
        </w:rPr>
        <w:t xml:space="preserve">Condensed Consolidated Statements of Operations </w:t>
      </w:r>
      <w:r>
        <w:rPr>
          <w:rFonts w:ascii="Arial" w:cs="Arial" w:eastAsia="Arial" w:hAnsi="Arial"/>
          <w:sz w:val="20"/>
          <w:szCs w:val="20"/>
          <w:b w:val="1"/>
          <w:bCs w:val="1"/>
          <w:i w:val="1"/>
          <w:iCs w:val="1"/>
          <w:color w:val="auto"/>
        </w:rPr>
        <w:t>(unaudited)</w:t>
      </w:r>
    </w:p>
    <w:p>
      <w:pPr>
        <w:jc w:val="center"/>
        <w:spacing w:after="0"/>
        <w:rPr>
          <w:sz w:val="20"/>
          <w:szCs w:val="20"/>
          <w:color w:val="auto"/>
        </w:rPr>
      </w:pPr>
      <w:r>
        <w:rPr>
          <w:rFonts w:ascii="Arial" w:cs="Arial" w:eastAsia="Arial" w:hAnsi="Arial"/>
          <w:sz w:val="20"/>
          <w:szCs w:val="20"/>
          <w:i w:val="1"/>
          <w:iCs w:val="1"/>
          <w:color w:val="auto"/>
        </w:rPr>
        <w:t>(in thousands, except per share amounts)</w:t>
      </w:r>
    </w:p>
    <w:p>
      <w:pPr>
        <w:spacing w:after="0" w:line="200" w:lineRule="exact"/>
        <w:rPr>
          <w:sz w:val="20"/>
          <w:szCs w:val="20"/>
          <w:color w:val="auto"/>
        </w:rPr>
      </w:pP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67"/>
        </w:trPr>
        <w:tc>
          <w:tcPr>
            <w:tcW w:w="4220" w:type="dxa"/>
            <w:vAlign w:val="bottom"/>
          </w:tcPr>
          <w:p>
            <w:pPr>
              <w:spacing w:after="0"/>
              <w:rPr>
                <w:sz w:val="23"/>
                <w:szCs w:val="23"/>
                <w:color w:val="auto"/>
              </w:rPr>
            </w:pPr>
          </w:p>
        </w:tc>
        <w:tc>
          <w:tcPr>
            <w:tcW w:w="3540" w:type="dxa"/>
            <w:vAlign w:val="bottom"/>
            <w:gridSpan w:val="6"/>
          </w:tcPr>
          <w:p>
            <w:pPr>
              <w:ind w:left="40"/>
              <w:spacing w:after="0"/>
              <w:rPr>
                <w:sz w:val="20"/>
                <w:szCs w:val="20"/>
                <w:color w:val="auto"/>
              </w:rPr>
            </w:pPr>
            <w:r>
              <w:rPr>
                <w:rFonts w:ascii="Arial" w:cs="Arial" w:eastAsia="Arial" w:hAnsi="Arial"/>
                <w:sz w:val="20"/>
                <w:szCs w:val="20"/>
                <w:b w:val="1"/>
                <w:bCs w:val="1"/>
                <w:color w:val="auto"/>
              </w:rPr>
              <w:t>Three Months Ended September 30,</w:t>
            </w:r>
          </w:p>
        </w:tc>
        <w:tc>
          <w:tcPr>
            <w:tcW w:w="3440" w:type="dxa"/>
            <w:vAlign w:val="bottom"/>
            <w:gridSpan w:val="5"/>
          </w:tcPr>
          <w:p>
            <w:pPr>
              <w:jc w:val="right"/>
              <w:ind w:right="1"/>
              <w:spacing w:after="0"/>
              <w:rPr>
                <w:sz w:val="20"/>
                <w:szCs w:val="20"/>
                <w:color w:val="auto"/>
              </w:rPr>
            </w:pPr>
            <w:r>
              <w:rPr>
                <w:rFonts w:ascii="Arial" w:cs="Arial" w:eastAsia="Arial" w:hAnsi="Arial"/>
                <w:sz w:val="20"/>
                <w:szCs w:val="20"/>
                <w:b w:val="1"/>
                <w:bCs w:val="1"/>
                <w:color w:val="auto"/>
              </w:rPr>
              <w:t>Nine Months Ended September 30,</w:t>
            </w:r>
          </w:p>
        </w:tc>
        <w:tc>
          <w:tcPr>
            <w:tcW w:w="0" w:type="dxa"/>
            <w:vAlign w:val="bottom"/>
          </w:tcPr>
          <w:p>
            <w:pPr>
              <w:spacing w:after="0"/>
              <w:rPr>
                <w:sz w:val="1"/>
                <w:szCs w:val="1"/>
                <w:color w:val="auto"/>
              </w:rPr>
            </w:pPr>
          </w:p>
        </w:tc>
      </w:tr>
      <w:tr>
        <w:trPr>
          <w:trHeight w:val="250"/>
        </w:trPr>
        <w:tc>
          <w:tcPr>
            <w:tcW w:w="4220" w:type="dxa"/>
            <w:vAlign w:val="bottom"/>
            <w:tcBorders>
              <w:bottom w:val="single" w:sz="8" w:color="CCEEFF"/>
            </w:tcBorders>
          </w:tcPr>
          <w:p>
            <w:pPr>
              <w:spacing w:after="0"/>
              <w:rPr>
                <w:sz w:val="21"/>
                <w:szCs w:val="21"/>
                <w:color w:val="auto"/>
              </w:rPr>
            </w:pPr>
          </w:p>
        </w:tc>
        <w:tc>
          <w:tcPr>
            <w:tcW w:w="380" w:type="dxa"/>
            <w:vAlign w:val="bottom"/>
            <w:tcBorders>
              <w:top w:val="single" w:sz="8" w:color="auto"/>
              <w:bottom w:val="single" w:sz="8" w:color="auto"/>
            </w:tcBorders>
          </w:tcPr>
          <w:p>
            <w:pPr>
              <w:spacing w:after="0"/>
              <w:rPr>
                <w:sz w:val="21"/>
                <w:szCs w:val="21"/>
                <w:color w:val="auto"/>
              </w:rPr>
            </w:pPr>
          </w:p>
        </w:tc>
        <w:tc>
          <w:tcPr>
            <w:tcW w:w="1300" w:type="dxa"/>
            <w:vAlign w:val="bottom"/>
            <w:tcBorders>
              <w:top w:val="single" w:sz="8" w:color="auto"/>
              <w:bottom w:val="single" w:sz="8" w:color="auto"/>
            </w:tcBorders>
          </w:tcPr>
          <w:p>
            <w:pPr>
              <w:jc w:val="right"/>
              <w:ind w:right="521"/>
              <w:spacing w:after="0"/>
              <w:rPr>
                <w:sz w:val="20"/>
                <w:szCs w:val="20"/>
                <w:color w:val="auto"/>
              </w:rPr>
            </w:pPr>
            <w:r>
              <w:rPr>
                <w:rFonts w:ascii="Arial" w:cs="Arial" w:eastAsia="Arial" w:hAnsi="Arial"/>
                <w:sz w:val="20"/>
                <w:szCs w:val="20"/>
                <w:b w:val="1"/>
                <w:bCs w:val="1"/>
                <w:color w:val="auto"/>
              </w:rPr>
              <w:t>2025</w:t>
            </w:r>
          </w:p>
        </w:tc>
        <w:tc>
          <w:tcPr>
            <w:tcW w:w="80" w:type="dxa"/>
            <w:vAlign w:val="bottom"/>
            <w:tcBorders>
              <w:top w:val="single" w:sz="8" w:color="auto"/>
              <w:bottom w:val="single" w:sz="8" w:color="CCEEFF"/>
            </w:tcBorders>
          </w:tcPr>
          <w:p>
            <w:pPr>
              <w:spacing w:after="0"/>
              <w:rPr>
                <w:sz w:val="21"/>
                <w:szCs w:val="21"/>
                <w:color w:val="auto"/>
              </w:rPr>
            </w:pPr>
          </w:p>
        </w:tc>
        <w:tc>
          <w:tcPr>
            <w:tcW w:w="380" w:type="dxa"/>
            <w:vAlign w:val="bottom"/>
            <w:tcBorders>
              <w:top w:val="single" w:sz="8" w:color="auto"/>
              <w:bottom w:val="single" w:sz="8" w:color="auto"/>
            </w:tcBorders>
          </w:tcPr>
          <w:p>
            <w:pPr>
              <w:spacing w:after="0"/>
              <w:rPr>
                <w:sz w:val="21"/>
                <w:szCs w:val="21"/>
                <w:color w:val="auto"/>
              </w:rPr>
            </w:pPr>
          </w:p>
        </w:tc>
        <w:tc>
          <w:tcPr>
            <w:tcW w:w="1300" w:type="dxa"/>
            <w:vAlign w:val="bottom"/>
            <w:tcBorders>
              <w:top w:val="single" w:sz="8" w:color="auto"/>
              <w:bottom w:val="single" w:sz="8" w:color="auto"/>
            </w:tcBorders>
          </w:tcPr>
          <w:p>
            <w:pPr>
              <w:jc w:val="right"/>
              <w:ind w:right="521"/>
              <w:spacing w:after="0"/>
              <w:rPr>
                <w:sz w:val="20"/>
                <w:szCs w:val="20"/>
                <w:color w:val="auto"/>
              </w:rPr>
            </w:pPr>
            <w:r>
              <w:rPr>
                <w:rFonts w:ascii="Arial" w:cs="Arial" w:eastAsia="Arial" w:hAnsi="Arial"/>
                <w:sz w:val="20"/>
                <w:szCs w:val="20"/>
                <w:b w:val="1"/>
                <w:bCs w:val="1"/>
                <w:color w:val="auto"/>
              </w:rPr>
              <w:t>2024</w:t>
            </w:r>
          </w:p>
        </w:tc>
        <w:tc>
          <w:tcPr>
            <w:tcW w:w="100" w:type="dxa"/>
            <w:vAlign w:val="bottom"/>
            <w:tcBorders>
              <w:bottom w:val="single" w:sz="8" w:color="CCEEFF"/>
            </w:tcBorders>
          </w:tcPr>
          <w:p>
            <w:pPr>
              <w:spacing w:after="0"/>
              <w:rPr>
                <w:sz w:val="21"/>
                <w:szCs w:val="21"/>
                <w:color w:val="auto"/>
              </w:rPr>
            </w:pPr>
          </w:p>
        </w:tc>
        <w:tc>
          <w:tcPr>
            <w:tcW w:w="360" w:type="dxa"/>
            <w:vAlign w:val="bottom"/>
            <w:tcBorders>
              <w:top w:val="single" w:sz="8" w:color="auto"/>
              <w:bottom w:val="single" w:sz="8" w:color="auto"/>
            </w:tcBorders>
          </w:tcPr>
          <w:p>
            <w:pPr>
              <w:spacing w:after="0"/>
              <w:rPr>
                <w:sz w:val="21"/>
                <w:szCs w:val="21"/>
                <w:color w:val="auto"/>
              </w:rPr>
            </w:pPr>
          </w:p>
        </w:tc>
        <w:tc>
          <w:tcPr>
            <w:tcW w:w="1320" w:type="dxa"/>
            <w:vAlign w:val="bottom"/>
            <w:tcBorders>
              <w:top w:val="single" w:sz="8" w:color="auto"/>
              <w:bottom w:val="single" w:sz="8" w:color="auto"/>
            </w:tcBorders>
          </w:tcPr>
          <w:p>
            <w:pPr>
              <w:jc w:val="right"/>
              <w:ind w:right="521"/>
              <w:spacing w:after="0"/>
              <w:rPr>
                <w:sz w:val="20"/>
                <w:szCs w:val="20"/>
                <w:color w:val="auto"/>
              </w:rPr>
            </w:pPr>
            <w:r>
              <w:rPr>
                <w:rFonts w:ascii="Arial" w:cs="Arial" w:eastAsia="Arial" w:hAnsi="Arial"/>
                <w:sz w:val="20"/>
                <w:szCs w:val="20"/>
                <w:b w:val="1"/>
                <w:bCs w:val="1"/>
                <w:color w:val="auto"/>
              </w:rPr>
              <w:t>2025</w:t>
            </w:r>
          </w:p>
        </w:tc>
        <w:tc>
          <w:tcPr>
            <w:tcW w:w="80" w:type="dxa"/>
            <w:vAlign w:val="bottom"/>
            <w:tcBorders>
              <w:top w:val="single" w:sz="8" w:color="auto"/>
              <w:bottom w:val="single" w:sz="8" w:color="CCEEFF"/>
            </w:tcBorders>
          </w:tcPr>
          <w:p>
            <w:pPr>
              <w:spacing w:after="0"/>
              <w:rPr>
                <w:sz w:val="21"/>
                <w:szCs w:val="21"/>
                <w:color w:val="auto"/>
              </w:rPr>
            </w:pPr>
          </w:p>
        </w:tc>
        <w:tc>
          <w:tcPr>
            <w:tcW w:w="380" w:type="dxa"/>
            <w:vAlign w:val="bottom"/>
            <w:tcBorders>
              <w:top w:val="single" w:sz="8" w:color="auto"/>
              <w:bottom w:val="single" w:sz="8" w:color="auto"/>
            </w:tcBorders>
          </w:tcPr>
          <w:p>
            <w:pPr>
              <w:spacing w:after="0"/>
              <w:rPr>
                <w:sz w:val="21"/>
                <w:szCs w:val="21"/>
                <w:color w:val="auto"/>
              </w:rPr>
            </w:pPr>
          </w:p>
        </w:tc>
        <w:tc>
          <w:tcPr>
            <w:tcW w:w="1300" w:type="dxa"/>
            <w:vAlign w:val="bottom"/>
            <w:tcBorders>
              <w:top w:val="single" w:sz="8" w:color="auto"/>
              <w:bottom w:val="single" w:sz="8" w:color="auto"/>
            </w:tcBorders>
          </w:tcPr>
          <w:p>
            <w:pPr>
              <w:jc w:val="right"/>
              <w:ind w:right="521"/>
              <w:spacing w:after="0"/>
              <w:rPr>
                <w:sz w:val="20"/>
                <w:szCs w:val="20"/>
                <w:color w:val="auto"/>
              </w:rPr>
            </w:pPr>
            <w:r>
              <w:rPr>
                <w:rFonts w:ascii="Arial" w:cs="Arial" w:eastAsia="Arial" w:hAnsi="Arial"/>
                <w:sz w:val="20"/>
                <w:szCs w:val="20"/>
                <w:b w:val="1"/>
                <w:bCs w:val="1"/>
                <w:color w:val="auto"/>
              </w:rPr>
              <w:t>2024</w:t>
            </w:r>
          </w:p>
        </w:tc>
        <w:tc>
          <w:tcPr>
            <w:tcW w:w="0" w:type="dxa"/>
            <w:vAlign w:val="bottom"/>
          </w:tcPr>
          <w:p>
            <w:pPr>
              <w:spacing w:after="0"/>
              <w:rPr>
                <w:sz w:val="1"/>
                <w:szCs w:val="1"/>
                <w:color w:val="auto"/>
              </w:rPr>
            </w:pPr>
          </w:p>
        </w:tc>
      </w:tr>
      <w:tr>
        <w:trPr>
          <w:trHeight w:val="250"/>
        </w:trPr>
        <w:tc>
          <w:tcPr>
            <w:tcW w:w="4220" w:type="dxa"/>
            <w:vAlign w:val="bottom"/>
            <w:shd w:val="clear" w:color="auto" w:fill="CCEEFF"/>
          </w:tcPr>
          <w:p>
            <w:pPr>
              <w:ind w:left="20"/>
              <w:spacing w:after="0"/>
              <w:rPr>
                <w:sz w:val="20"/>
                <w:szCs w:val="20"/>
                <w:color w:val="auto"/>
              </w:rPr>
            </w:pPr>
            <w:r>
              <w:rPr>
                <w:rFonts w:ascii="Arial" w:cs="Arial" w:eastAsia="Arial" w:hAnsi="Arial"/>
                <w:sz w:val="20"/>
                <w:szCs w:val="20"/>
                <w:color w:val="auto"/>
              </w:rPr>
              <w:t>Revenue</w:t>
            </w:r>
          </w:p>
        </w:tc>
        <w:tc>
          <w:tcPr>
            <w:tcW w:w="380" w:type="dxa"/>
            <w:vAlign w:val="bottom"/>
            <w:shd w:val="clear" w:color="auto" w:fill="CCEEFF"/>
          </w:tcPr>
          <w:p>
            <w:pPr>
              <w:ind w:left="20"/>
              <w:spacing w:after="0"/>
              <w:rPr>
                <w:sz w:val="20"/>
                <w:szCs w:val="20"/>
                <w:color w:val="auto"/>
              </w:rPr>
            </w:pPr>
            <w:r>
              <w:rPr>
                <w:rFonts w:ascii="Arial" w:cs="Arial" w:eastAsia="Arial" w:hAnsi="Arial"/>
                <w:sz w:val="20"/>
                <w:szCs w:val="20"/>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393,491</w:t>
            </w:r>
          </w:p>
        </w:tc>
        <w:tc>
          <w:tcPr>
            <w:tcW w:w="80" w:type="dxa"/>
            <w:vAlign w:val="bottom"/>
            <w:shd w:val="clear" w:color="auto" w:fill="CCEEFF"/>
          </w:tcPr>
          <w:p>
            <w:pPr>
              <w:spacing w:after="0"/>
              <w:rPr>
                <w:sz w:val="21"/>
                <w:szCs w:val="21"/>
                <w:color w:val="auto"/>
              </w:rPr>
            </w:pPr>
          </w:p>
        </w:tc>
        <w:tc>
          <w:tcPr>
            <w:tcW w:w="380" w:type="dxa"/>
            <w:vAlign w:val="bottom"/>
            <w:shd w:val="clear" w:color="auto" w:fill="CCEEFF"/>
          </w:tcPr>
          <w:p>
            <w:pPr>
              <w:jc w:val="right"/>
              <w:ind w:right="141"/>
              <w:spacing w:after="0"/>
              <w:rPr>
                <w:sz w:val="20"/>
                <w:szCs w:val="20"/>
                <w:color w:val="auto"/>
              </w:rPr>
            </w:pPr>
            <w:r>
              <w:rPr>
                <w:rFonts w:ascii="Arial" w:cs="Arial" w:eastAsia="Arial" w:hAnsi="Arial"/>
                <w:sz w:val="20"/>
                <w:szCs w:val="20"/>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231,406</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41"/>
              <w:spacing w:after="0"/>
              <w:rPr>
                <w:sz w:val="20"/>
                <w:szCs w:val="20"/>
                <w:color w:val="auto"/>
              </w:rPr>
            </w:pPr>
            <w:r>
              <w:rPr>
                <w:rFonts w:ascii="Arial" w:cs="Arial" w:eastAsia="Arial" w:hAnsi="Arial"/>
                <w:sz w:val="20"/>
                <w:szCs w:val="20"/>
                <w:color w:val="auto"/>
                <w:w w:val="8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1,058,097</w:t>
            </w:r>
          </w:p>
        </w:tc>
        <w:tc>
          <w:tcPr>
            <w:tcW w:w="80" w:type="dxa"/>
            <w:vAlign w:val="bottom"/>
            <w:shd w:val="clear" w:color="auto" w:fill="CCEEFF"/>
          </w:tcPr>
          <w:p>
            <w:pPr>
              <w:spacing w:after="0"/>
              <w:rPr>
                <w:sz w:val="21"/>
                <w:szCs w:val="21"/>
                <w:color w:val="auto"/>
              </w:rPr>
            </w:pPr>
          </w:p>
        </w:tc>
        <w:tc>
          <w:tcPr>
            <w:tcW w:w="380" w:type="dxa"/>
            <w:vAlign w:val="bottom"/>
            <w:shd w:val="clear" w:color="auto" w:fill="CCEEFF"/>
          </w:tcPr>
          <w:p>
            <w:pPr>
              <w:jc w:val="right"/>
              <w:ind w:right="161"/>
              <w:spacing w:after="0"/>
              <w:rPr>
                <w:sz w:val="20"/>
                <w:szCs w:val="20"/>
                <w:color w:val="auto"/>
              </w:rPr>
            </w:pPr>
            <w:r>
              <w:rPr>
                <w:rFonts w:ascii="Arial" w:cs="Arial" w:eastAsia="Arial" w:hAnsi="Arial"/>
                <w:sz w:val="20"/>
                <w:szCs w:val="20"/>
                <w:color w:val="auto"/>
                <w:w w:val="8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640,575</w:t>
            </w:r>
          </w:p>
        </w:tc>
        <w:tc>
          <w:tcPr>
            <w:tcW w:w="0" w:type="dxa"/>
            <w:vAlign w:val="bottom"/>
          </w:tcPr>
          <w:p>
            <w:pPr>
              <w:spacing w:after="0"/>
              <w:rPr>
                <w:sz w:val="1"/>
                <w:szCs w:val="1"/>
                <w:color w:val="auto"/>
              </w:rPr>
            </w:pPr>
          </w:p>
        </w:tc>
      </w:tr>
      <w:tr>
        <w:trPr>
          <w:trHeight w:val="257"/>
        </w:trPr>
        <w:tc>
          <w:tcPr>
            <w:tcW w:w="4220" w:type="dxa"/>
            <w:vAlign w:val="bottom"/>
          </w:tcPr>
          <w:p>
            <w:pPr>
              <w:ind w:left="20"/>
              <w:spacing w:after="0"/>
              <w:rPr>
                <w:sz w:val="20"/>
                <w:szCs w:val="20"/>
                <w:color w:val="auto"/>
              </w:rPr>
            </w:pPr>
            <w:r>
              <w:rPr>
                <w:rFonts w:ascii="Arial" w:cs="Arial" w:eastAsia="Arial" w:hAnsi="Arial"/>
                <w:sz w:val="20"/>
                <w:szCs w:val="20"/>
                <w:color w:val="auto"/>
              </w:rPr>
              <w:t>Cost of revenue</w:t>
            </w:r>
          </w:p>
        </w:tc>
        <w:tc>
          <w:tcPr>
            <w:tcW w:w="38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4220" w:type="dxa"/>
            <w:vAlign w:val="bottom"/>
            <w:shd w:val="clear" w:color="auto" w:fill="CCEEFF"/>
          </w:tcPr>
          <w:p>
            <w:pPr>
              <w:ind w:left="240"/>
              <w:spacing w:after="0"/>
              <w:rPr>
                <w:sz w:val="20"/>
                <w:szCs w:val="20"/>
                <w:color w:val="auto"/>
              </w:rPr>
            </w:pPr>
            <w:r>
              <w:rPr>
                <w:rFonts w:ascii="Arial" w:cs="Arial" w:eastAsia="Arial" w:hAnsi="Arial"/>
                <w:sz w:val="20"/>
                <w:szCs w:val="20"/>
                <w:color w:val="auto"/>
              </w:rPr>
              <w:t>Cost of product and service revenue</w:t>
            </w:r>
          </w:p>
        </w:tc>
        <w:tc>
          <w:tcPr>
            <w:tcW w:w="38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283,386</w:t>
            </w:r>
          </w:p>
        </w:tc>
        <w:tc>
          <w:tcPr>
            <w:tcW w:w="8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149,452</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767,161</w:t>
            </w:r>
          </w:p>
        </w:tc>
        <w:tc>
          <w:tcPr>
            <w:tcW w:w="8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410,299</w:t>
            </w:r>
          </w:p>
        </w:tc>
        <w:tc>
          <w:tcPr>
            <w:tcW w:w="0" w:type="dxa"/>
            <w:vAlign w:val="bottom"/>
          </w:tcPr>
          <w:p>
            <w:pPr>
              <w:spacing w:after="0"/>
              <w:rPr>
                <w:sz w:val="1"/>
                <w:szCs w:val="1"/>
                <w:color w:val="auto"/>
              </w:rPr>
            </w:pPr>
          </w:p>
        </w:tc>
      </w:tr>
      <w:tr>
        <w:trPr>
          <w:trHeight w:val="194"/>
        </w:trPr>
        <w:tc>
          <w:tcPr>
            <w:tcW w:w="4220" w:type="dxa"/>
            <w:vAlign w:val="bottom"/>
          </w:tcPr>
          <w:p>
            <w:pPr>
              <w:ind w:left="240"/>
              <w:spacing w:after="0" w:line="194" w:lineRule="exact"/>
              <w:rPr>
                <w:sz w:val="20"/>
                <w:szCs w:val="20"/>
                <w:color w:val="auto"/>
              </w:rPr>
            </w:pPr>
            <w:r>
              <w:rPr>
                <w:rFonts w:ascii="Arial" w:cs="Arial" w:eastAsia="Arial" w:hAnsi="Arial"/>
                <w:sz w:val="20"/>
                <w:szCs w:val="20"/>
                <w:color w:val="auto"/>
              </w:rPr>
              <w:t>Amortization of developed technology and</w:t>
            </w:r>
          </w:p>
        </w:tc>
        <w:tc>
          <w:tcPr>
            <w:tcW w:w="380" w:type="dxa"/>
            <w:vAlign w:val="bottom"/>
          </w:tcPr>
          <w:p>
            <w:pPr>
              <w:spacing w:after="0"/>
              <w:rPr>
                <w:sz w:val="16"/>
                <w:szCs w:val="16"/>
                <w:color w:val="auto"/>
              </w:rPr>
            </w:pPr>
          </w:p>
        </w:tc>
        <w:tc>
          <w:tcPr>
            <w:tcW w:w="1300" w:type="dxa"/>
            <w:vAlign w:val="bottom"/>
            <w:vMerge w:val="restart"/>
          </w:tcPr>
          <w:p>
            <w:pPr>
              <w:jc w:val="right"/>
              <w:spacing w:after="0"/>
              <w:rPr>
                <w:sz w:val="20"/>
                <w:szCs w:val="20"/>
                <w:color w:val="auto"/>
              </w:rPr>
            </w:pPr>
            <w:r>
              <w:rPr>
                <w:rFonts w:ascii="Arial" w:cs="Arial" w:eastAsia="Arial" w:hAnsi="Arial"/>
                <w:sz w:val="20"/>
                <w:szCs w:val="20"/>
                <w:color w:val="auto"/>
              </w:rPr>
              <w:t>4,434</w:t>
            </w: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300" w:type="dxa"/>
            <w:vAlign w:val="bottom"/>
            <w:vMerge w:val="restart"/>
          </w:tcPr>
          <w:p>
            <w:pPr>
              <w:jc w:val="right"/>
              <w:spacing w:after="0"/>
              <w:rPr>
                <w:sz w:val="20"/>
                <w:szCs w:val="20"/>
                <w:color w:val="auto"/>
              </w:rPr>
            </w:pPr>
            <w:r>
              <w:rPr>
                <w:rFonts w:ascii="Arial" w:cs="Arial" w:eastAsia="Arial" w:hAnsi="Arial"/>
                <w:sz w:val="20"/>
                <w:szCs w:val="20"/>
                <w:color w:val="auto"/>
              </w:rPr>
              <w:t>3,639</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320" w:type="dxa"/>
            <w:vAlign w:val="bottom"/>
            <w:vMerge w:val="restart"/>
          </w:tcPr>
          <w:p>
            <w:pPr>
              <w:jc w:val="right"/>
              <w:spacing w:after="0"/>
              <w:rPr>
                <w:sz w:val="20"/>
                <w:szCs w:val="20"/>
                <w:color w:val="auto"/>
              </w:rPr>
            </w:pPr>
            <w:r>
              <w:rPr>
                <w:rFonts w:ascii="Arial" w:cs="Arial" w:eastAsia="Arial" w:hAnsi="Arial"/>
                <w:sz w:val="20"/>
                <w:szCs w:val="20"/>
                <w:color w:val="auto"/>
              </w:rPr>
              <w:t>11,713</w:t>
            </w: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300" w:type="dxa"/>
            <w:vAlign w:val="bottom"/>
            <w:vMerge w:val="restart"/>
          </w:tcPr>
          <w:p>
            <w:pPr>
              <w:jc w:val="right"/>
              <w:spacing w:after="0"/>
              <w:rPr>
                <w:sz w:val="20"/>
                <w:szCs w:val="20"/>
                <w:color w:val="auto"/>
              </w:rPr>
            </w:pPr>
            <w:r>
              <w:rPr>
                <w:rFonts w:ascii="Arial" w:cs="Arial" w:eastAsia="Arial" w:hAnsi="Arial"/>
                <w:sz w:val="20"/>
                <w:szCs w:val="20"/>
                <w:color w:val="auto"/>
              </w:rPr>
              <w:t>10,918</w:t>
            </w:r>
          </w:p>
        </w:tc>
        <w:tc>
          <w:tcPr>
            <w:tcW w:w="0" w:type="dxa"/>
            <w:vAlign w:val="bottom"/>
          </w:tcPr>
          <w:p>
            <w:pPr>
              <w:spacing w:after="0"/>
              <w:rPr>
                <w:sz w:val="1"/>
                <w:szCs w:val="1"/>
                <w:color w:val="auto"/>
              </w:rPr>
            </w:pPr>
          </w:p>
        </w:tc>
      </w:tr>
      <w:tr>
        <w:trPr>
          <w:trHeight w:val="251"/>
        </w:trPr>
        <w:tc>
          <w:tcPr>
            <w:tcW w:w="4220" w:type="dxa"/>
            <w:vAlign w:val="bottom"/>
            <w:tcBorders>
              <w:bottom w:val="single" w:sz="8" w:color="CCEEFF"/>
            </w:tcBorders>
          </w:tcPr>
          <w:p>
            <w:pPr>
              <w:ind w:left="240"/>
              <w:spacing w:after="0"/>
              <w:rPr>
                <w:sz w:val="20"/>
                <w:szCs w:val="20"/>
                <w:color w:val="auto"/>
              </w:rPr>
            </w:pPr>
            <w:r>
              <w:rPr>
                <w:rFonts w:ascii="Arial" w:cs="Arial" w:eastAsia="Arial" w:hAnsi="Arial"/>
                <w:sz w:val="20"/>
                <w:szCs w:val="20"/>
                <w:color w:val="auto"/>
              </w:rPr>
              <w:t>backlog</w:t>
            </w:r>
          </w:p>
        </w:tc>
        <w:tc>
          <w:tcPr>
            <w:tcW w:w="38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vMerge w:val="continue"/>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vMerge w:val="continue"/>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vMerge w:val="continue"/>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4220" w:type="dxa"/>
            <w:vAlign w:val="bottom"/>
            <w:shd w:val="clear" w:color="auto" w:fill="CCEEFF"/>
          </w:tcPr>
          <w:p>
            <w:pPr>
              <w:ind w:left="560"/>
              <w:spacing w:after="0"/>
              <w:rPr>
                <w:sz w:val="20"/>
                <w:szCs w:val="20"/>
                <w:color w:val="auto"/>
              </w:rPr>
            </w:pPr>
            <w:r>
              <w:rPr>
                <w:rFonts w:ascii="Arial" w:cs="Arial" w:eastAsia="Arial" w:hAnsi="Arial"/>
                <w:sz w:val="20"/>
                <w:szCs w:val="20"/>
                <w:color w:val="auto"/>
              </w:rPr>
              <w:t>Total cost of revenue</w:t>
            </w:r>
          </w:p>
        </w:tc>
        <w:tc>
          <w:tcPr>
            <w:tcW w:w="380" w:type="dxa"/>
            <w:vAlign w:val="bottom"/>
            <w:tcBorders>
              <w:bottom w:val="single" w:sz="8" w:color="auto"/>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20"/>
                <w:szCs w:val="20"/>
                <w:color w:val="auto"/>
              </w:rPr>
              <w:t>287,820</w:t>
            </w:r>
          </w:p>
        </w:tc>
        <w:tc>
          <w:tcPr>
            <w:tcW w:w="80" w:type="dxa"/>
            <w:vAlign w:val="bottom"/>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20"/>
                <w:szCs w:val="20"/>
                <w:color w:val="auto"/>
              </w:rPr>
              <w:t>153,091</w:t>
            </w:r>
          </w:p>
        </w:tc>
        <w:tc>
          <w:tcPr>
            <w:tcW w:w="10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778,874</w:t>
            </w:r>
          </w:p>
        </w:tc>
        <w:tc>
          <w:tcPr>
            <w:tcW w:w="80" w:type="dxa"/>
            <w:vAlign w:val="bottom"/>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421,217</w:t>
            </w:r>
          </w:p>
        </w:tc>
        <w:tc>
          <w:tcPr>
            <w:tcW w:w="0" w:type="dxa"/>
            <w:vAlign w:val="bottom"/>
          </w:tcPr>
          <w:p>
            <w:pPr>
              <w:spacing w:after="0"/>
              <w:rPr>
                <w:sz w:val="1"/>
                <w:szCs w:val="1"/>
                <w:color w:val="auto"/>
              </w:rPr>
            </w:pPr>
          </w:p>
        </w:tc>
      </w:tr>
      <w:tr>
        <w:trPr>
          <w:trHeight w:val="250"/>
        </w:trPr>
        <w:tc>
          <w:tcPr>
            <w:tcW w:w="4220" w:type="dxa"/>
            <w:vAlign w:val="bottom"/>
            <w:tcBorders>
              <w:bottom w:val="single" w:sz="8" w:color="CCEEFF"/>
            </w:tcBorders>
          </w:tcPr>
          <w:p>
            <w:pPr>
              <w:ind w:left="20"/>
              <w:spacing w:after="0"/>
              <w:rPr>
                <w:sz w:val="20"/>
                <w:szCs w:val="20"/>
                <w:color w:val="auto"/>
              </w:rPr>
            </w:pPr>
            <w:r>
              <w:rPr>
                <w:rFonts w:ascii="Arial" w:cs="Arial" w:eastAsia="Arial" w:hAnsi="Arial"/>
                <w:sz w:val="20"/>
                <w:szCs w:val="20"/>
                <w:color w:val="auto"/>
              </w:rPr>
              <w:t>Gross profit</w:t>
            </w:r>
          </w:p>
        </w:tc>
        <w:tc>
          <w:tcPr>
            <w:tcW w:w="38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105,671</w:t>
            </w:r>
          </w:p>
        </w:tc>
        <w:tc>
          <w:tcPr>
            <w:tcW w:w="8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78,315</w:t>
            </w:r>
          </w:p>
        </w:tc>
        <w:tc>
          <w:tcPr>
            <w:tcW w:w="10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279,223</w:t>
            </w:r>
          </w:p>
        </w:tc>
        <w:tc>
          <w:tcPr>
            <w:tcW w:w="8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219,358</w:t>
            </w:r>
          </w:p>
        </w:tc>
        <w:tc>
          <w:tcPr>
            <w:tcW w:w="0" w:type="dxa"/>
            <w:vAlign w:val="bottom"/>
          </w:tcPr>
          <w:p>
            <w:pPr>
              <w:spacing w:after="0"/>
              <w:rPr>
                <w:sz w:val="1"/>
                <w:szCs w:val="1"/>
                <w:color w:val="auto"/>
              </w:rPr>
            </w:pPr>
          </w:p>
        </w:tc>
      </w:tr>
      <w:tr>
        <w:trPr>
          <w:trHeight w:val="250"/>
        </w:trPr>
        <w:tc>
          <w:tcPr>
            <w:tcW w:w="422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3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4220" w:type="dxa"/>
            <w:vAlign w:val="bottom"/>
          </w:tcPr>
          <w:p>
            <w:pPr>
              <w:ind w:left="20"/>
              <w:spacing w:after="0"/>
              <w:rPr>
                <w:sz w:val="20"/>
                <w:szCs w:val="20"/>
                <w:color w:val="auto"/>
              </w:rPr>
            </w:pPr>
            <w:r>
              <w:rPr>
                <w:rFonts w:ascii="Arial" w:cs="Arial" w:eastAsia="Arial" w:hAnsi="Arial"/>
                <w:sz w:val="20"/>
                <w:szCs w:val="20"/>
                <w:color w:val="auto"/>
              </w:rPr>
              <w:t>Operating expenses</w:t>
            </w:r>
          </w:p>
        </w:tc>
        <w:tc>
          <w:tcPr>
            <w:tcW w:w="38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4220" w:type="dxa"/>
            <w:vAlign w:val="bottom"/>
            <w:shd w:val="clear" w:color="auto" w:fill="CCEEFF"/>
          </w:tcPr>
          <w:p>
            <w:pPr>
              <w:ind w:left="240"/>
              <w:spacing w:after="0"/>
              <w:rPr>
                <w:sz w:val="20"/>
                <w:szCs w:val="20"/>
                <w:color w:val="auto"/>
              </w:rPr>
            </w:pPr>
            <w:r>
              <w:rPr>
                <w:rFonts w:ascii="Arial" w:cs="Arial" w:eastAsia="Arial" w:hAnsi="Arial"/>
                <w:sz w:val="20"/>
                <w:szCs w:val="20"/>
                <w:color w:val="auto"/>
              </w:rPr>
              <w:t>General and administrative</w:t>
            </w:r>
          </w:p>
        </w:tc>
        <w:tc>
          <w:tcPr>
            <w:tcW w:w="38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52,248</w:t>
            </w:r>
          </w:p>
        </w:tc>
        <w:tc>
          <w:tcPr>
            <w:tcW w:w="8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40,149</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141,147</w:t>
            </w:r>
          </w:p>
        </w:tc>
        <w:tc>
          <w:tcPr>
            <w:tcW w:w="8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114,904</w:t>
            </w:r>
          </w:p>
        </w:tc>
        <w:tc>
          <w:tcPr>
            <w:tcW w:w="0" w:type="dxa"/>
            <w:vAlign w:val="bottom"/>
          </w:tcPr>
          <w:p>
            <w:pPr>
              <w:spacing w:after="0"/>
              <w:rPr>
                <w:sz w:val="1"/>
                <w:szCs w:val="1"/>
                <w:color w:val="auto"/>
              </w:rPr>
            </w:pPr>
          </w:p>
        </w:tc>
      </w:tr>
      <w:tr>
        <w:trPr>
          <w:trHeight w:val="194"/>
        </w:trPr>
        <w:tc>
          <w:tcPr>
            <w:tcW w:w="4220" w:type="dxa"/>
            <w:vAlign w:val="bottom"/>
          </w:tcPr>
          <w:p>
            <w:pPr>
              <w:ind w:left="240"/>
              <w:spacing w:after="0" w:line="194" w:lineRule="exact"/>
              <w:rPr>
                <w:sz w:val="20"/>
                <w:szCs w:val="20"/>
                <w:color w:val="auto"/>
              </w:rPr>
            </w:pPr>
            <w:r>
              <w:rPr>
                <w:rFonts w:ascii="Arial" w:cs="Arial" w:eastAsia="Arial" w:hAnsi="Arial"/>
                <w:sz w:val="20"/>
                <w:szCs w:val="20"/>
                <w:color w:val="auto"/>
              </w:rPr>
              <w:t>Change in fair value of contingent</w:t>
            </w:r>
          </w:p>
        </w:tc>
        <w:tc>
          <w:tcPr>
            <w:tcW w:w="380" w:type="dxa"/>
            <w:vAlign w:val="bottom"/>
          </w:tcPr>
          <w:p>
            <w:pPr>
              <w:spacing w:after="0"/>
              <w:rPr>
                <w:sz w:val="16"/>
                <w:szCs w:val="16"/>
                <w:color w:val="auto"/>
              </w:rPr>
            </w:pPr>
          </w:p>
        </w:tc>
        <w:tc>
          <w:tcPr>
            <w:tcW w:w="1300" w:type="dxa"/>
            <w:vAlign w:val="bottom"/>
            <w:vMerge w:val="restart"/>
          </w:tcPr>
          <w:p>
            <w:pPr>
              <w:jc w:val="right"/>
              <w:spacing w:after="0"/>
              <w:rPr>
                <w:sz w:val="20"/>
                <w:szCs w:val="20"/>
                <w:color w:val="auto"/>
              </w:rPr>
            </w:pPr>
            <w:r>
              <w:rPr>
                <w:rFonts w:ascii="Arial" w:cs="Arial" w:eastAsia="Arial" w:hAnsi="Arial"/>
                <w:sz w:val="20"/>
                <w:szCs w:val="20"/>
                <w:color w:val="auto"/>
              </w:rPr>
              <w:t>1,014</w:t>
            </w: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300" w:type="dxa"/>
            <w:vAlign w:val="bottom"/>
            <w:vMerge w:val="restart"/>
          </w:tcPr>
          <w:p>
            <w:pPr>
              <w:jc w:val="right"/>
              <w:spacing w:after="0"/>
              <w:rPr>
                <w:sz w:val="20"/>
                <w:szCs w:val="20"/>
                <w:color w:val="auto"/>
              </w:rPr>
            </w:pPr>
            <w:r>
              <w:rPr>
                <w:rFonts w:ascii="Arial" w:cs="Arial" w:eastAsia="Arial" w:hAnsi="Arial"/>
                <w:sz w:val="20"/>
                <w:szCs w:val="20"/>
                <w:color w:val="auto"/>
              </w:rPr>
              <w:t>(39)</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320" w:type="dxa"/>
            <w:vAlign w:val="bottom"/>
            <w:vMerge w:val="restart"/>
          </w:tcPr>
          <w:p>
            <w:pPr>
              <w:jc w:val="right"/>
              <w:spacing w:after="0"/>
              <w:rPr>
                <w:sz w:val="20"/>
                <w:szCs w:val="20"/>
                <w:color w:val="auto"/>
              </w:rPr>
            </w:pPr>
            <w:r>
              <w:rPr>
                <w:rFonts w:ascii="Arial" w:cs="Arial" w:eastAsia="Arial" w:hAnsi="Arial"/>
                <w:sz w:val="20"/>
                <w:szCs w:val="20"/>
                <w:color w:val="auto"/>
              </w:rPr>
              <w:t>1,014</w:t>
            </w: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300" w:type="dxa"/>
            <w:vAlign w:val="bottom"/>
            <w:vMerge w:val="restart"/>
          </w:tcPr>
          <w:p>
            <w:pPr>
              <w:jc w:val="right"/>
              <w:spacing w:after="0"/>
              <w:rPr>
                <w:sz w:val="20"/>
                <w:szCs w:val="20"/>
                <w:color w:val="auto"/>
              </w:rPr>
            </w:pPr>
            <w:r>
              <w:rPr>
                <w:rFonts w:ascii="Arial" w:cs="Arial" w:eastAsia="Arial" w:hAnsi="Arial"/>
                <w:sz w:val="20"/>
                <w:szCs w:val="20"/>
                <w:color w:val="auto"/>
              </w:rPr>
              <w:t>(271)</w:t>
            </w:r>
          </w:p>
        </w:tc>
        <w:tc>
          <w:tcPr>
            <w:tcW w:w="0" w:type="dxa"/>
            <w:vAlign w:val="bottom"/>
          </w:tcPr>
          <w:p>
            <w:pPr>
              <w:spacing w:after="0"/>
              <w:rPr>
                <w:sz w:val="1"/>
                <w:szCs w:val="1"/>
                <w:color w:val="auto"/>
              </w:rPr>
            </w:pPr>
          </w:p>
        </w:tc>
      </w:tr>
      <w:tr>
        <w:trPr>
          <w:trHeight w:val="251"/>
        </w:trPr>
        <w:tc>
          <w:tcPr>
            <w:tcW w:w="4220" w:type="dxa"/>
            <w:vAlign w:val="bottom"/>
          </w:tcPr>
          <w:p>
            <w:pPr>
              <w:ind w:left="240"/>
              <w:spacing w:after="0"/>
              <w:rPr>
                <w:sz w:val="20"/>
                <w:szCs w:val="20"/>
                <w:color w:val="auto"/>
              </w:rPr>
            </w:pPr>
            <w:r>
              <w:rPr>
                <w:rFonts w:ascii="Arial" w:cs="Arial" w:eastAsia="Arial" w:hAnsi="Arial"/>
                <w:sz w:val="20"/>
                <w:szCs w:val="20"/>
                <w:color w:val="auto"/>
              </w:rPr>
              <w:t>consideration</w:t>
            </w:r>
          </w:p>
        </w:tc>
        <w:tc>
          <w:tcPr>
            <w:tcW w:w="380" w:type="dxa"/>
            <w:vAlign w:val="bottom"/>
          </w:tcPr>
          <w:p>
            <w:pPr>
              <w:spacing w:after="0"/>
              <w:rPr>
                <w:sz w:val="21"/>
                <w:szCs w:val="21"/>
                <w:color w:val="auto"/>
              </w:rPr>
            </w:pPr>
          </w:p>
        </w:tc>
        <w:tc>
          <w:tcPr>
            <w:tcW w:w="1300" w:type="dxa"/>
            <w:vAlign w:val="bottom"/>
            <w:vMerge w:val="continue"/>
          </w:tcPr>
          <w:p>
            <w:pPr>
              <w:spacing w:after="0"/>
              <w:rPr>
                <w:sz w:val="21"/>
                <w:szCs w:val="21"/>
                <w:color w:val="auto"/>
              </w:rPr>
            </w:pP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0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320" w:type="dxa"/>
            <w:vAlign w:val="bottom"/>
            <w:vMerge w:val="continue"/>
          </w:tcPr>
          <w:p>
            <w:pPr>
              <w:spacing w:after="0"/>
              <w:rPr>
                <w:sz w:val="21"/>
                <w:szCs w:val="21"/>
                <w:color w:val="auto"/>
              </w:rPr>
            </w:pP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4220" w:type="dxa"/>
            <w:vAlign w:val="bottom"/>
            <w:shd w:val="clear" w:color="auto" w:fill="CCEEFF"/>
          </w:tcPr>
          <w:p>
            <w:pPr>
              <w:ind w:left="240"/>
              <w:spacing w:after="0"/>
              <w:rPr>
                <w:sz w:val="20"/>
                <w:szCs w:val="20"/>
                <w:color w:val="auto"/>
              </w:rPr>
            </w:pPr>
            <w:r>
              <w:rPr>
                <w:rFonts w:ascii="Arial" w:cs="Arial" w:eastAsia="Arial" w:hAnsi="Arial"/>
                <w:sz w:val="20"/>
                <w:szCs w:val="20"/>
                <w:color w:val="auto"/>
              </w:rPr>
              <w:t>Depreciation and amortization</w:t>
            </w:r>
          </w:p>
        </w:tc>
        <w:tc>
          <w:tcPr>
            <w:tcW w:w="38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6,958</w:t>
            </w:r>
          </w:p>
        </w:tc>
        <w:tc>
          <w:tcPr>
            <w:tcW w:w="8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8,880</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17,951</w:t>
            </w:r>
          </w:p>
        </w:tc>
        <w:tc>
          <w:tcPr>
            <w:tcW w:w="8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27,384</w:t>
            </w:r>
          </w:p>
        </w:tc>
        <w:tc>
          <w:tcPr>
            <w:tcW w:w="0" w:type="dxa"/>
            <w:vAlign w:val="bottom"/>
          </w:tcPr>
          <w:p>
            <w:pPr>
              <w:spacing w:after="0"/>
              <w:rPr>
                <w:sz w:val="1"/>
                <w:szCs w:val="1"/>
                <w:color w:val="auto"/>
              </w:rPr>
            </w:pPr>
          </w:p>
        </w:tc>
      </w:tr>
      <w:tr>
        <w:trPr>
          <w:trHeight w:val="257"/>
        </w:trPr>
        <w:tc>
          <w:tcPr>
            <w:tcW w:w="4220" w:type="dxa"/>
            <w:vAlign w:val="bottom"/>
          </w:tcPr>
          <w:p>
            <w:pPr>
              <w:ind w:left="240"/>
              <w:spacing w:after="0"/>
              <w:rPr>
                <w:sz w:val="20"/>
                <w:szCs w:val="20"/>
                <w:color w:val="auto"/>
              </w:rPr>
            </w:pPr>
            <w:r>
              <w:rPr>
                <w:rFonts w:ascii="Arial" w:cs="Arial" w:eastAsia="Arial" w:hAnsi="Arial"/>
                <w:sz w:val="20"/>
                <w:szCs w:val="20"/>
                <w:color w:val="auto"/>
              </w:rPr>
              <w:t>Goodwill impairment</w:t>
            </w:r>
          </w:p>
        </w:tc>
        <w:tc>
          <w:tcPr>
            <w:tcW w:w="380" w:type="dxa"/>
            <w:vAlign w:val="bottom"/>
          </w:tcPr>
          <w:p>
            <w:pPr>
              <w:spacing w:after="0"/>
              <w:rPr>
                <w:sz w:val="22"/>
                <w:szCs w:val="22"/>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20"/>
                <w:szCs w:val="20"/>
                <w:color w:val="auto"/>
              </w:rPr>
              <w:t>—</w:t>
            </w:r>
          </w:p>
        </w:tc>
        <w:tc>
          <w:tcPr>
            <w:tcW w:w="38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Arial" w:cs="Arial" w:eastAsia="Arial" w:hAnsi="Arial"/>
                <w:sz w:val="20"/>
                <w:szCs w:val="20"/>
                <w:color w:val="auto"/>
              </w:rPr>
              <w:t>162,000</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20"/>
                <w:szCs w:val="20"/>
                <w:color w:val="auto"/>
              </w:rPr>
              <w:t>—</w:t>
            </w:r>
          </w:p>
        </w:tc>
        <w:tc>
          <w:tcPr>
            <w:tcW w:w="38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Arial" w:cs="Arial" w:eastAsia="Arial" w:hAnsi="Arial"/>
                <w:sz w:val="20"/>
                <w:szCs w:val="20"/>
                <w:color w:val="auto"/>
              </w:rPr>
              <w:t>162,000</w:t>
            </w:r>
          </w:p>
        </w:tc>
        <w:tc>
          <w:tcPr>
            <w:tcW w:w="0" w:type="dxa"/>
            <w:vAlign w:val="bottom"/>
          </w:tcPr>
          <w:p>
            <w:pPr>
              <w:spacing w:after="0"/>
              <w:rPr>
                <w:sz w:val="1"/>
                <w:szCs w:val="1"/>
                <w:color w:val="auto"/>
              </w:rPr>
            </w:pPr>
          </w:p>
        </w:tc>
      </w:tr>
      <w:tr>
        <w:trPr>
          <w:trHeight w:val="250"/>
        </w:trPr>
        <w:tc>
          <w:tcPr>
            <w:tcW w:w="4220" w:type="dxa"/>
            <w:vAlign w:val="bottom"/>
            <w:tcBorders>
              <w:top w:val="single" w:sz="8" w:color="CCEEFF"/>
            </w:tcBorders>
            <w:shd w:val="clear" w:color="auto" w:fill="CCEEFF"/>
          </w:tcPr>
          <w:p>
            <w:pPr>
              <w:ind w:left="560"/>
              <w:spacing w:after="0"/>
              <w:rPr>
                <w:sz w:val="20"/>
                <w:szCs w:val="20"/>
                <w:color w:val="auto"/>
              </w:rPr>
            </w:pPr>
            <w:r>
              <w:rPr>
                <w:rFonts w:ascii="Arial" w:cs="Arial" w:eastAsia="Arial" w:hAnsi="Arial"/>
                <w:sz w:val="20"/>
                <w:szCs w:val="20"/>
                <w:color w:val="auto"/>
              </w:rPr>
              <w:t>Total operating expenses</w:t>
            </w:r>
          </w:p>
        </w:tc>
        <w:tc>
          <w:tcPr>
            <w:tcW w:w="380" w:type="dxa"/>
            <w:vAlign w:val="bottom"/>
            <w:tcBorders>
              <w:top w:val="single" w:sz="8" w:color="auto"/>
              <w:bottom w:val="single" w:sz="8" w:color="auto"/>
            </w:tcBorders>
            <w:shd w:val="clear" w:color="auto" w:fill="CCEEFF"/>
          </w:tcPr>
          <w:p>
            <w:pPr>
              <w:spacing w:after="0"/>
              <w:rPr>
                <w:sz w:val="21"/>
                <w:szCs w:val="21"/>
                <w:color w:val="auto"/>
              </w:rPr>
            </w:pP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60,220</w:t>
            </w:r>
          </w:p>
        </w:tc>
        <w:tc>
          <w:tcPr>
            <w:tcW w:w="80" w:type="dxa"/>
            <w:vAlign w:val="bottom"/>
            <w:tcBorders>
              <w:top w:val="single" w:sz="8" w:color="CCEEFF"/>
            </w:tcBorders>
            <w:shd w:val="clear" w:color="auto" w:fill="CCEEFF"/>
          </w:tcPr>
          <w:p>
            <w:pPr>
              <w:spacing w:after="0"/>
              <w:rPr>
                <w:sz w:val="21"/>
                <w:szCs w:val="21"/>
                <w:color w:val="auto"/>
              </w:rPr>
            </w:pPr>
          </w:p>
        </w:tc>
        <w:tc>
          <w:tcPr>
            <w:tcW w:w="380" w:type="dxa"/>
            <w:vAlign w:val="bottom"/>
            <w:tcBorders>
              <w:top w:val="single" w:sz="8" w:color="auto"/>
              <w:bottom w:val="single" w:sz="8" w:color="auto"/>
            </w:tcBorders>
            <w:shd w:val="clear" w:color="auto" w:fill="CCEEFF"/>
          </w:tcPr>
          <w:p>
            <w:pPr>
              <w:spacing w:after="0"/>
              <w:rPr>
                <w:sz w:val="21"/>
                <w:szCs w:val="21"/>
                <w:color w:val="auto"/>
              </w:rPr>
            </w:pP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210,990</w:t>
            </w:r>
          </w:p>
        </w:tc>
        <w:tc>
          <w:tcPr>
            <w:tcW w:w="100" w:type="dxa"/>
            <w:vAlign w:val="bottom"/>
            <w:tcBorders>
              <w:top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auto"/>
            </w:tcBorders>
            <w:shd w:val="clear" w:color="auto" w:fill="CCEEFF"/>
          </w:tcPr>
          <w:p>
            <w:pPr>
              <w:spacing w:after="0"/>
              <w:rPr>
                <w:sz w:val="21"/>
                <w:szCs w:val="21"/>
                <w:color w:val="auto"/>
              </w:rPr>
            </w:pP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160,112</w:t>
            </w:r>
          </w:p>
        </w:tc>
        <w:tc>
          <w:tcPr>
            <w:tcW w:w="80" w:type="dxa"/>
            <w:vAlign w:val="bottom"/>
            <w:tcBorders>
              <w:top w:val="single" w:sz="8" w:color="CCEEFF"/>
            </w:tcBorders>
            <w:shd w:val="clear" w:color="auto" w:fill="CCEEFF"/>
          </w:tcPr>
          <w:p>
            <w:pPr>
              <w:spacing w:after="0"/>
              <w:rPr>
                <w:sz w:val="21"/>
                <w:szCs w:val="21"/>
                <w:color w:val="auto"/>
              </w:rPr>
            </w:pPr>
          </w:p>
        </w:tc>
        <w:tc>
          <w:tcPr>
            <w:tcW w:w="380" w:type="dxa"/>
            <w:vAlign w:val="bottom"/>
            <w:tcBorders>
              <w:top w:val="single" w:sz="8" w:color="auto"/>
              <w:bottom w:val="single" w:sz="8" w:color="auto"/>
            </w:tcBorders>
            <w:shd w:val="clear" w:color="auto" w:fill="CCEEFF"/>
          </w:tcPr>
          <w:p>
            <w:pPr>
              <w:spacing w:after="0"/>
              <w:rPr>
                <w:sz w:val="21"/>
                <w:szCs w:val="21"/>
                <w:color w:val="auto"/>
              </w:rPr>
            </w:pP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304,017</w:t>
            </w:r>
          </w:p>
        </w:tc>
        <w:tc>
          <w:tcPr>
            <w:tcW w:w="0" w:type="dxa"/>
            <w:vAlign w:val="bottom"/>
          </w:tcPr>
          <w:p>
            <w:pPr>
              <w:spacing w:after="0"/>
              <w:rPr>
                <w:sz w:val="1"/>
                <w:szCs w:val="1"/>
                <w:color w:val="auto"/>
              </w:rPr>
            </w:pPr>
          </w:p>
        </w:tc>
      </w:tr>
      <w:tr>
        <w:trPr>
          <w:trHeight w:val="250"/>
        </w:trPr>
        <w:tc>
          <w:tcPr>
            <w:tcW w:w="42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4220" w:type="dxa"/>
            <w:vAlign w:val="bottom"/>
            <w:shd w:val="clear" w:color="auto" w:fill="CCEEFF"/>
          </w:tcPr>
          <w:p>
            <w:pPr>
              <w:ind w:left="20"/>
              <w:spacing w:after="0"/>
              <w:rPr>
                <w:sz w:val="20"/>
                <w:szCs w:val="20"/>
                <w:color w:val="auto"/>
              </w:rPr>
            </w:pPr>
            <w:r>
              <w:rPr>
                <w:rFonts w:ascii="Arial" w:cs="Arial" w:eastAsia="Arial" w:hAnsi="Arial"/>
                <w:sz w:val="20"/>
                <w:szCs w:val="20"/>
                <w:color w:val="auto"/>
              </w:rPr>
              <w:t>Income (loss) from operations</w:t>
            </w:r>
          </w:p>
        </w:tc>
        <w:tc>
          <w:tcPr>
            <w:tcW w:w="38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45,451</w:t>
            </w:r>
          </w:p>
        </w:tc>
        <w:tc>
          <w:tcPr>
            <w:tcW w:w="8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(132,675)</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119,111</w:t>
            </w:r>
          </w:p>
        </w:tc>
        <w:tc>
          <w:tcPr>
            <w:tcW w:w="8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(84,659)</w:t>
            </w:r>
          </w:p>
        </w:tc>
        <w:tc>
          <w:tcPr>
            <w:tcW w:w="0" w:type="dxa"/>
            <w:vAlign w:val="bottom"/>
          </w:tcPr>
          <w:p>
            <w:pPr>
              <w:spacing w:after="0"/>
              <w:rPr>
                <w:sz w:val="1"/>
                <w:szCs w:val="1"/>
                <w:color w:val="auto"/>
              </w:rPr>
            </w:pPr>
          </w:p>
        </w:tc>
      </w:tr>
      <w:tr>
        <w:trPr>
          <w:trHeight w:val="270"/>
        </w:trPr>
        <w:tc>
          <w:tcPr>
            <w:tcW w:w="42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6"/>
        </w:trPr>
        <w:tc>
          <w:tcPr>
            <w:tcW w:w="4220" w:type="dxa"/>
            <w:vAlign w:val="bottom"/>
            <w:shd w:val="clear" w:color="auto" w:fill="CCEEFF"/>
          </w:tcPr>
          <w:p>
            <w:pPr>
              <w:ind w:left="240"/>
              <w:spacing w:after="0"/>
              <w:rPr>
                <w:sz w:val="20"/>
                <w:szCs w:val="20"/>
                <w:color w:val="auto"/>
              </w:rPr>
            </w:pPr>
            <w:r>
              <w:rPr>
                <w:rFonts w:ascii="Arial" w:cs="Arial" w:eastAsia="Arial" w:hAnsi="Arial"/>
                <w:sz w:val="20"/>
                <w:szCs w:val="20"/>
                <w:color w:val="auto"/>
              </w:rPr>
              <w:t>Interest income</w:t>
            </w:r>
          </w:p>
        </w:tc>
        <w:tc>
          <w:tcPr>
            <w:tcW w:w="38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2,977</w:t>
            </w:r>
          </w:p>
        </w:tc>
        <w:tc>
          <w:tcPr>
            <w:tcW w:w="8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4,223</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10,096</w:t>
            </w:r>
          </w:p>
        </w:tc>
        <w:tc>
          <w:tcPr>
            <w:tcW w:w="8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12,685</w:t>
            </w:r>
          </w:p>
        </w:tc>
        <w:tc>
          <w:tcPr>
            <w:tcW w:w="0" w:type="dxa"/>
            <w:vAlign w:val="bottom"/>
          </w:tcPr>
          <w:p>
            <w:pPr>
              <w:spacing w:after="0"/>
              <w:rPr>
                <w:sz w:val="1"/>
                <w:szCs w:val="1"/>
                <w:color w:val="auto"/>
              </w:rPr>
            </w:pPr>
          </w:p>
        </w:tc>
      </w:tr>
      <w:tr>
        <w:trPr>
          <w:trHeight w:val="257"/>
        </w:trPr>
        <w:tc>
          <w:tcPr>
            <w:tcW w:w="4220" w:type="dxa"/>
            <w:vAlign w:val="bottom"/>
          </w:tcPr>
          <w:p>
            <w:pPr>
              <w:ind w:left="240"/>
              <w:spacing w:after="0"/>
              <w:rPr>
                <w:sz w:val="20"/>
                <w:szCs w:val="20"/>
                <w:color w:val="auto"/>
              </w:rPr>
            </w:pPr>
            <w:r>
              <w:rPr>
                <w:rFonts w:ascii="Arial" w:cs="Arial" w:eastAsia="Arial" w:hAnsi="Arial"/>
                <w:sz w:val="20"/>
                <w:szCs w:val="20"/>
                <w:color w:val="auto"/>
              </w:rPr>
              <w:t>Interest expense</w:t>
            </w:r>
          </w:p>
        </w:tc>
        <w:tc>
          <w:tcPr>
            <w:tcW w:w="38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Arial" w:cs="Arial" w:eastAsia="Arial" w:hAnsi="Arial"/>
                <w:sz w:val="20"/>
                <w:szCs w:val="20"/>
                <w:color w:val="auto"/>
              </w:rPr>
              <w:t>(5,046)</w:t>
            </w:r>
          </w:p>
        </w:tc>
        <w:tc>
          <w:tcPr>
            <w:tcW w:w="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Arial" w:cs="Arial" w:eastAsia="Arial" w:hAnsi="Arial"/>
                <w:sz w:val="20"/>
                <w:szCs w:val="20"/>
                <w:color w:val="auto"/>
              </w:rPr>
              <w:t>(8,264)</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Arial" w:cs="Arial" w:eastAsia="Arial" w:hAnsi="Arial"/>
                <w:sz w:val="20"/>
                <w:szCs w:val="20"/>
                <w:color w:val="auto"/>
              </w:rPr>
              <w:t>(21,849)</w:t>
            </w:r>
          </w:p>
        </w:tc>
        <w:tc>
          <w:tcPr>
            <w:tcW w:w="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Arial" w:cs="Arial" w:eastAsia="Arial" w:hAnsi="Arial"/>
                <w:sz w:val="20"/>
                <w:szCs w:val="20"/>
                <w:color w:val="auto"/>
              </w:rPr>
              <w:t>(25,818)</w:t>
            </w:r>
          </w:p>
        </w:tc>
        <w:tc>
          <w:tcPr>
            <w:tcW w:w="0" w:type="dxa"/>
            <w:vAlign w:val="bottom"/>
          </w:tcPr>
          <w:p>
            <w:pPr>
              <w:spacing w:after="0"/>
              <w:rPr>
                <w:sz w:val="1"/>
                <w:szCs w:val="1"/>
                <w:color w:val="auto"/>
              </w:rPr>
            </w:pPr>
          </w:p>
        </w:tc>
      </w:tr>
      <w:tr>
        <w:trPr>
          <w:trHeight w:val="256"/>
        </w:trPr>
        <w:tc>
          <w:tcPr>
            <w:tcW w:w="4220" w:type="dxa"/>
            <w:vAlign w:val="bottom"/>
            <w:shd w:val="clear" w:color="auto" w:fill="CCEEFF"/>
          </w:tcPr>
          <w:p>
            <w:pPr>
              <w:ind w:left="240"/>
              <w:spacing w:after="0"/>
              <w:rPr>
                <w:sz w:val="20"/>
                <w:szCs w:val="20"/>
                <w:color w:val="auto"/>
              </w:rPr>
            </w:pPr>
            <w:r>
              <w:rPr>
                <w:rFonts w:ascii="Arial" w:cs="Arial" w:eastAsia="Arial" w:hAnsi="Arial"/>
                <w:sz w:val="20"/>
                <w:szCs w:val="20"/>
                <w:color w:val="auto"/>
              </w:rPr>
              <w:t>Foreign currency (loss) gain, net</w:t>
            </w:r>
          </w:p>
        </w:tc>
        <w:tc>
          <w:tcPr>
            <w:tcW w:w="38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(6)</w:t>
            </w:r>
          </w:p>
        </w:tc>
        <w:tc>
          <w:tcPr>
            <w:tcW w:w="8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(106)</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2,026</w:t>
            </w:r>
          </w:p>
        </w:tc>
        <w:tc>
          <w:tcPr>
            <w:tcW w:w="8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(1,073)</w:t>
            </w:r>
          </w:p>
        </w:tc>
        <w:tc>
          <w:tcPr>
            <w:tcW w:w="0" w:type="dxa"/>
            <w:vAlign w:val="bottom"/>
          </w:tcPr>
          <w:p>
            <w:pPr>
              <w:spacing w:after="0"/>
              <w:rPr>
                <w:sz w:val="1"/>
                <w:szCs w:val="1"/>
                <w:color w:val="auto"/>
              </w:rPr>
            </w:pPr>
          </w:p>
        </w:tc>
      </w:tr>
      <w:tr>
        <w:trPr>
          <w:trHeight w:val="257"/>
        </w:trPr>
        <w:tc>
          <w:tcPr>
            <w:tcW w:w="4220" w:type="dxa"/>
            <w:vAlign w:val="bottom"/>
          </w:tcPr>
          <w:p>
            <w:pPr>
              <w:ind w:left="240"/>
              <w:spacing w:after="0"/>
              <w:rPr>
                <w:sz w:val="20"/>
                <w:szCs w:val="20"/>
                <w:color w:val="auto"/>
              </w:rPr>
            </w:pPr>
            <w:r>
              <w:rPr>
                <w:rFonts w:ascii="Arial" w:cs="Arial" w:eastAsia="Arial" w:hAnsi="Arial"/>
                <w:sz w:val="20"/>
                <w:szCs w:val="20"/>
                <w:color w:val="auto"/>
              </w:rPr>
              <w:t>Gain on extinguishment of debts, net</w:t>
            </w:r>
          </w:p>
        </w:tc>
        <w:tc>
          <w:tcPr>
            <w:tcW w:w="380" w:type="dxa"/>
            <w:vAlign w:val="bottom"/>
          </w:tcPr>
          <w:p>
            <w:pPr>
              <w:spacing w:after="0"/>
              <w:rPr>
                <w:sz w:val="22"/>
                <w:szCs w:val="22"/>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20"/>
                <w:szCs w:val="20"/>
                <w:color w:val="auto"/>
              </w:rPr>
              <w:t>—</w:t>
            </w:r>
          </w:p>
        </w:tc>
        <w:tc>
          <w:tcPr>
            <w:tcW w:w="380" w:type="dxa"/>
            <w:vAlign w:val="bottom"/>
          </w:tcPr>
          <w:p>
            <w:pPr>
              <w:spacing w:after="0"/>
              <w:rPr>
                <w:sz w:val="22"/>
                <w:szCs w:val="22"/>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20"/>
                <w:szCs w:val="20"/>
                <w:color w:val="auto"/>
              </w:rPr>
              <w:t>—</w:t>
            </w:r>
          </w:p>
        </w:tc>
        <w:tc>
          <w:tcPr>
            <w:tcW w:w="36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Arial" w:cs="Arial" w:eastAsia="Arial" w:hAnsi="Arial"/>
                <w:sz w:val="20"/>
                <w:szCs w:val="20"/>
                <w:color w:val="auto"/>
              </w:rPr>
              <w:t>14,207</w:t>
            </w:r>
          </w:p>
        </w:tc>
        <w:tc>
          <w:tcPr>
            <w:tcW w:w="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56"/>
        </w:trPr>
        <w:tc>
          <w:tcPr>
            <w:tcW w:w="4220" w:type="dxa"/>
            <w:vAlign w:val="bottom"/>
            <w:shd w:val="clear" w:color="auto" w:fill="CCEEFF"/>
          </w:tcPr>
          <w:p>
            <w:pPr>
              <w:ind w:left="240"/>
              <w:spacing w:after="0"/>
              <w:rPr>
                <w:sz w:val="20"/>
                <w:szCs w:val="20"/>
                <w:color w:val="auto"/>
              </w:rPr>
            </w:pPr>
            <w:r>
              <w:rPr>
                <w:rFonts w:ascii="Arial" w:cs="Arial" w:eastAsia="Arial" w:hAnsi="Arial"/>
                <w:sz w:val="20"/>
                <w:szCs w:val="20"/>
                <w:color w:val="auto"/>
              </w:rPr>
              <w:t>Other income (expense), net</w:t>
            </w:r>
          </w:p>
        </w:tc>
        <w:tc>
          <w:tcPr>
            <w:tcW w:w="380" w:type="dxa"/>
            <w:vAlign w:val="bottom"/>
            <w:tcBorders>
              <w:bottom w:val="single" w:sz="8" w:color="auto"/>
            </w:tcBorders>
            <w:shd w:val="clear" w:color="auto" w:fill="CCEEFF"/>
          </w:tcPr>
          <w:p>
            <w:pPr>
              <w:spacing w:after="0"/>
              <w:rPr>
                <w:sz w:val="22"/>
                <w:szCs w:val="22"/>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68</w:t>
            </w:r>
          </w:p>
        </w:tc>
        <w:tc>
          <w:tcPr>
            <w:tcW w:w="80" w:type="dxa"/>
            <w:vAlign w:val="bottom"/>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spacing w:after="0"/>
              <w:rPr>
                <w:sz w:val="22"/>
                <w:szCs w:val="22"/>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(682)</w:t>
            </w:r>
          </w:p>
        </w:tc>
        <w:tc>
          <w:tcPr>
            <w:tcW w:w="100" w:type="dxa"/>
            <w:vAlign w:val="bottom"/>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12</w:t>
            </w:r>
          </w:p>
        </w:tc>
        <w:tc>
          <w:tcPr>
            <w:tcW w:w="80" w:type="dxa"/>
            <w:vAlign w:val="bottom"/>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spacing w:after="0"/>
              <w:rPr>
                <w:sz w:val="22"/>
                <w:szCs w:val="22"/>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(1,662)</w:t>
            </w:r>
          </w:p>
        </w:tc>
        <w:tc>
          <w:tcPr>
            <w:tcW w:w="0" w:type="dxa"/>
            <w:vAlign w:val="bottom"/>
          </w:tcPr>
          <w:p>
            <w:pPr>
              <w:spacing w:after="0"/>
              <w:rPr>
                <w:sz w:val="1"/>
                <w:szCs w:val="1"/>
                <w:color w:val="auto"/>
              </w:rPr>
            </w:pPr>
          </w:p>
        </w:tc>
      </w:tr>
      <w:tr>
        <w:trPr>
          <w:trHeight w:val="250"/>
        </w:trPr>
        <w:tc>
          <w:tcPr>
            <w:tcW w:w="4220" w:type="dxa"/>
            <w:vAlign w:val="bottom"/>
            <w:tcBorders>
              <w:bottom w:val="single" w:sz="8" w:color="CCEEFF"/>
            </w:tcBorders>
          </w:tcPr>
          <w:p>
            <w:pPr>
              <w:ind w:left="580"/>
              <w:spacing w:after="0"/>
              <w:rPr>
                <w:sz w:val="20"/>
                <w:szCs w:val="20"/>
                <w:color w:val="auto"/>
              </w:rPr>
            </w:pPr>
            <w:r>
              <w:rPr>
                <w:rFonts w:ascii="Arial" w:cs="Arial" w:eastAsia="Arial" w:hAnsi="Arial"/>
                <w:sz w:val="20"/>
                <w:szCs w:val="20"/>
                <w:color w:val="auto"/>
              </w:rPr>
              <w:t>Total other income (expense), net</w:t>
            </w:r>
          </w:p>
        </w:tc>
        <w:tc>
          <w:tcPr>
            <w:tcW w:w="38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(2,007)</w:t>
            </w:r>
          </w:p>
        </w:tc>
        <w:tc>
          <w:tcPr>
            <w:tcW w:w="8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(4,829)</w:t>
            </w:r>
          </w:p>
        </w:tc>
        <w:tc>
          <w:tcPr>
            <w:tcW w:w="10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4,492</w:t>
            </w:r>
          </w:p>
        </w:tc>
        <w:tc>
          <w:tcPr>
            <w:tcW w:w="8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(15,868)</w:t>
            </w:r>
          </w:p>
        </w:tc>
        <w:tc>
          <w:tcPr>
            <w:tcW w:w="0" w:type="dxa"/>
            <w:vAlign w:val="bottom"/>
          </w:tcPr>
          <w:p>
            <w:pPr>
              <w:spacing w:after="0"/>
              <w:rPr>
                <w:sz w:val="1"/>
                <w:szCs w:val="1"/>
                <w:color w:val="auto"/>
              </w:rPr>
            </w:pPr>
          </w:p>
        </w:tc>
      </w:tr>
      <w:tr>
        <w:trPr>
          <w:trHeight w:val="250"/>
        </w:trPr>
        <w:tc>
          <w:tcPr>
            <w:tcW w:w="422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3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4220" w:type="dxa"/>
            <w:vAlign w:val="bottom"/>
          </w:tcPr>
          <w:p>
            <w:pPr>
              <w:ind w:left="20"/>
              <w:spacing w:after="0"/>
              <w:rPr>
                <w:sz w:val="20"/>
                <w:szCs w:val="20"/>
                <w:color w:val="auto"/>
              </w:rPr>
            </w:pPr>
            <w:r>
              <w:rPr>
                <w:rFonts w:ascii="Arial" w:cs="Arial" w:eastAsia="Arial" w:hAnsi="Arial"/>
                <w:sz w:val="20"/>
                <w:szCs w:val="20"/>
                <w:color w:val="auto"/>
              </w:rPr>
              <w:t>Income (loss) before income tax expense</w:t>
            </w:r>
          </w:p>
        </w:tc>
        <w:tc>
          <w:tcPr>
            <w:tcW w:w="38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Arial" w:cs="Arial" w:eastAsia="Arial" w:hAnsi="Arial"/>
                <w:sz w:val="20"/>
                <w:szCs w:val="20"/>
                <w:color w:val="auto"/>
              </w:rPr>
              <w:t>43,444</w:t>
            </w:r>
          </w:p>
        </w:tc>
        <w:tc>
          <w:tcPr>
            <w:tcW w:w="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Arial" w:cs="Arial" w:eastAsia="Arial" w:hAnsi="Arial"/>
                <w:sz w:val="20"/>
                <w:szCs w:val="20"/>
                <w:color w:val="auto"/>
              </w:rPr>
              <w:t>(137,504)</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Arial" w:cs="Arial" w:eastAsia="Arial" w:hAnsi="Arial"/>
                <w:sz w:val="20"/>
                <w:szCs w:val="20"/>
                <w:color w:val="auto"/>
              </w:rPr>
              <w:t>123,603</w:t>
            </w:r>
          </w:p>
        </w:tc>
        <w:tc>
          <w:tcPr>
            <w:tcW w:w="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Arial" w:cs="Arial" w:eastAsia="Arial" w:hAnsi="Arial"/>
                <w:sz w:val="20"/>
                <w:szCs w:val="20"/>
                <w:color w:val="auto"/>
              </w:rPr>
              <w:t>(100,527)</w:t>
            </w:r>
          </w:p>
        </w:tc>
        <w:tc>
          <w:tcPr>
            <w:tcW w:w="0" w:type="dxa"/>
            <w:vAlign w:val="bottom"/>
          </w:tcPr>
          <w:p>
            <w:pPr>
              <w:spacing w:after="0"/>
              <w:rPr>
                <w:sz w:val="1"/>
                <w:szCs w:val="1"/>
                <w:color w:val="auto"/>
              </w:rPr>
            </w:pPr>
          </w:p>
        </w:tc>
      </w:tr>
      <w:tr>
        <w:trPr>
          <w:trHeight w:val="256"/>
        </w:trPr>
        <w:tc>
          <w:tcPr>
            <w:tcW w:w="4220" w:type="dxa"/>
            <w:vAlign w:val="bottom"/>
            <w:shd w:val="clear" w:color="auto" w:fill="CCEEFF"/>
          </w:tcPr>
          <w:p>
            <w:pPr>
              <w:ind w:left="240"/>
              <w:spacing w:after="0"/>
              <w:rPr>
                <w:sz w:val="20"/>
                <w:szCs w:val="20"/>
                <w:color w:val="auto"/>
              </w:rPr>
            </w:pPr>
            <w:r>
              <w:rPr>
                <w:rFonts w:ascii="Arial" w:cs="Arial" w:eastAsia="Arial" w:hAnsi="Arial"/>
                <w:sz w:val="20"/>
                <w:szCs w:val="20"/>
                <w:color w:val="auto"/>
              </w:rPr>
              <w:t>Income tax expense</w:t>
            </w:r>
          </w:p>
        </w:tc>
        <w:tc>
          <w:tcPr>
            <w:tcW w:w="380" w:type="dxa"/>
            <w:vAlign w:val="bottom"/>
            <w:tcBorders>
              <w:bottom w:val="single" w:sz="8" w:color="auto"/>
            </w:tcBorders>
            <w:shd w:val="clear" w:color="auto" w:fill="CCEEFF"/>
          </w:tcPr>
          <w:p>
            <w:pPr>
              <w:spacing w:after="0"/>
              <w:rPr>
                <w:sz w:val="22"/>
                <w:szCs w:val="22"/>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9,941</w:t>
            </w:r>
          </w:p>
        </w:tc>
        <w:tc>
          <w:tcPr>
            <w:tcW w:w="80" w:type="dxa"/>
            <w:vAlign w:val="bottom"/>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spacing w:after="0"/>
              <w:rPr>
                <w:sz w:val="22"/>
                <w:szCs w:val="22"/>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3,850</w:t>
            </w:r>
          </w:p>
        </w:tc>
        <w:tc>
          <w:tcPr>
            <w:tcW w:w="100" w:type="dxa"/>
            <w:vAlign w:val="bottom"/>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30,092</w:t>
            </w:r>
          </w:p>
        </w:tc>
        <w:tc>
          <w:tcPr>
            <w:tcW w:w="80" w:type="dxa"/>
            <w:vAlign w:val="bottom"/>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spacing w:after="0"/>
              <w:rPr>
                <w:sz w:val="22"/>
                <w:szCs w:val="22"/>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12,964</w:t>
            </w:r>
          </w:p>
        </w:tc>
        <w:tc>
          <w:tcPr>
            <w:tcW w:w="0" w:type="dxa"/>
            <w:vAlign w:val="bottom"/>
          </w:tcPr>
          <w:p>
            <w:pPr>
              <w:spacing w:after="0"/>
              <w:rPr>
                <w:sz w:val="1"/>
                <w:szCs w:val="1"/>
                <w:color w:val="auto"/>
              </w:rPr>
            </w:pPr>
          </w:p>
        </w:tc>
      </w:tr>
      <w:tr>
        <w:trPr>
          <w:trHeight w:val="250"/>
        </w:trPr>
        <w:tc>
          <w:tcPr>
            <w:tcW w:w="4220" w:type="dxa"/>
            <w:vAlign w:val="bottom"/>
          </w:tcPr>
          <w:p>
            <w:pPr>
              <w:ind w:left="20"/>
              <w:spacing w:after="0"/>
              <w:rPr>
                <w:sz w:val="20"/>
                <w:szCs w:val="20"/>
                <w:color w:val="auto"/>
              </w:rPr>
            </w:pPr>
            <w:r>
              <w:rPr>
                <w:rFonts w:ascii="Arial" w:cs="Arial" w:eastAsia="Arial" w:hAnsi="Arial"/>
                <w:sz w:val="20"/>
                <w:szCs w:val="20"/>
                <w:color w:val="auto"/>
              </w:rPr>
              <w:t>Net income (loss)</w:t>
            </w:r>
          </w:p>
        </w:tc>
        <w:tc>
          <w:tcPr>
            <w:tcW w:w="3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20"/>
                <w:szCs w:val="20"/>
                <w:color w:val="auto"/>
              </w:rPr>
              <w:t>33,503</w:t>
            </w: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20"/>
                <w:szCs w:val="20"/>
                <w:color w:val="auto"/>
              </w:rPr>
              <w:t>(141,354)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20"/>
                <w:szCs w:val="20"/>
                <w:color w:val="auto"/>
              </w:rPr>
              <w:t>93,511</w:t>
            </w: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20"/>
                <w:szCs w:val="20"/>
                <w:color w:val="auto"/>
              </w:rPr>
              <w:t>(113,491)</w:t>
            </w:r>
          </w:p>
        </w:tc>
        <w:tc>
          <w:tcPr>
            <w:tcW w:w="0" w:type="dxa"/>
            <w:vAlign w:val="bottom"/>
          </w:tcPr>
          <w:p>
            <w:pPr>
              <w:spacing w:after="0"/>
              <w:rPr>
                <w:sz w:val="1"/>
                <w:szCs w:val="1"/>
                <w:color w:val="auto"/>
              </w:rPr>
            </w:pPr>
          </w:p>
        </w:tc>
      </w:tr>
      <w:tr>
        <w:trPr>
          <w:trHeight w:val="257"/>
        </w:trPr>
        <w:tc>
          <w:tcPr>
            <w:tcW w:w="4220" w:type="dxa"/>
            <w:vAlign w:val="bottom"/>
            <w:shd w:val="clear" w:color="auto" w:fill="CCEEFF"/>
          </w:tcPr>
          <w:p>
            <w:pPr>
              <w:ind w:left="240"/>
              <w:spacing w:after="0"/>
              <w:rPr>
                <w:sz w:val="20"/>
                <w:szCs w:val="20"/>
                <w:color w:val="auto"/>
              </w:rPr>
            </w:pPr>
            <w:r>
              <w:rPr>
                <w:rFonts w:ascii="Arial" w:cs="Arial" w:eastAsia="Arial" w:hAnsi="Arial"/>
                <w:sz w:val="20"/>
                <w:szCs w:val="20"/>
                <w:color w:val="auto"/>
              </w:rPr>
              <w:t>Preferred dividends and accretion</w:t>
            </w:r>
          </w:p>
        </w:tc>
        <w:tc>
          <w:tcPr>
            <w:tcW w:w="380" w:type="dxa"/>
            <w:vAlign w:val="bottom"/>
            <w:tcBorders>
              <w:bottom w:val="single" w:sz="8" w:color="auto"/>
            </w:tcBorders>
            <w:shd w:val="clear" w:color="auto" w:fill="CCEEFF"/>
          </w:tcPr>
          <w:p>
            <w:pPr>
              <w:spacing w:after="0"/>
              <w:rPr>
                <w:sz w:val="22"/>
                <w:szCs w:val="22"/>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15,144</w:t>
            </w:r>
          </w:p>
        </w:tc>
        <w:tc>
          <w:tcPr>
            <w:tcW w:w="80" w:type="dxa"/>
            <w:vAlign w:val="bottom"/>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spacing w:after="0"/>
              <w:rPr>
                <w:sz w:val="22"/>
                <w:szCs w:val="22"/>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14,080</w:t>
            </w:r>
          </w:p>
        </w:tc>
        <w:tc>
          <w:tcPr>
            <w:tcW w:w="100" w:type="dxa"/>
            <w:vAlign w:val="bottom"/>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44,375</w:t>
            </w:r>
          </w:p>
        </w:tc>
        <w:tc>
          <w:tcPr>
            <w:tcW w:w="80" w:type="dxa"/>
            <w:vAlign w:val="bottom"/>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spacing w:after="0"/>
              <w:rPr>
                <w:sz w:val="22"/>
                <w:szCs w:val="22"/>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41,332</w:t>
            </w:r>
          </w:p>
        </w:tc>
        <w:tc>
          <w:tcPr>
            <w:tcW w:w="0" w:type="dxa"/>
            <w:vAlign w:val="bottom"/>
          </w:tcPr>
          <w:p>
            <w:pPr>
              <w:spacing w:after="0"/>
              <w:rPr>
                <w:sz w:val="1"/>
                <w:szCs w:val="1"/>
                <w:color w:val="auto"/>
              </w:rPr>
            </w:pPr>
          </w:p>
        </w:tc>
      </w:tr>
      <w:tr>
        <w:trPr>
          <w:trHeight w:val="250"/>
        </w:trPr>
        <w:tc>
          <w:tcPr>
            <w:tcW w:w="4220" w:type="dxa"/>
            <w:vAlign w:val="bottom"/>
          </w:tcPr>
          <w:p>
            <w:pPr>
              <w:ind w:left="20"/>
              <w:spacing w:after="0"/>
              <w:rPr>
                <w:sz w:val="20"/>
                <w:szCs w:val="20"/>
                <w:color w:val="auto"/>
              </w:rPr>
            </w:pPr>
            <w:r>
              <w:rPr>
                <w:rFonts w:ascii="Arial" w:cs="Arial" w:eastAsia="Arial" w:hAnsi="Arial"/>
                <w:sz w:val="20"/>
                <w:szCs w:val="20"/>
                <w:color w:val="auto"/>
              </w:rPr>
              <w:t>Net income (loss) to common shareholders</w:t>
            </w:r>
          </w:p>
        </w:tc>
        <w:tc>
          <w:tcPr>
            <w:tcW w:w="380" w:type="dxa"/>
            <w:vAlign w:val="bottom"/>
            <w:tcBorders>
              <w:bottom w:val="single" w:sz="8" w:color="auto"/>
            </w:tcBorders>
          </w:tcPr>
          <w:p>
            <w:pPr>
              <w:ind w:left="20"/>
              <w:spacing w:after="0"/>
              <w:rPr>
                <w:sz w:val="20"/>
                <w:szCs w:val="20"/>
                <w:color w:val="auto"/>
              </w:rPr>
            </w:pPr>
            <w:r>
              <w:rPr>
                <w:rFonts w:ascii="Arial" w:cs="Arial" w:eastAsia="Arial" w:hAnsi="Arial"/>
                <w:sz w:val="20"/>
                <w:szCs w:val="20"/>
                <w:color w:val="auto"/>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18,359</w:t>
            </w:r>
          </w:p>
        </w:tc>
        <w:tc>
          <w:tcPr>
            <w:tcW w:w="80" w:type="dxa"/>
            <w:vAlign w:val="bottom"/>
          </w:tcPr>
          <w:p>
            <w:pPr>
              <w:spacing w:after="0"/>
              <w:rPr>
                <w:sz w:val="21"/>
                <w:szCs w:val="21"/>
                <w:color w:val="auto"/>
              </w:rPr>
            </w:pPr>
          </w:p>
        </w:tc>
        <w:tc>
          <w:tcPr>
            <w:tcW w:w="380" w:type="dxa"/>
            <w:vAlign w:val="bottom"/>
            <w:tcBorders>
              <w:bottom w:val="single" w:sz="8" w:color="auto"/>
            </w:tcBorders>
          </w:tcPr>
          <w:p>
            <w:pPr>
              <w:jc w:val="right"/>
              <w:ind w:right="141"/>
              <w:spacing w:after="0"/>
              <w:rPr>
                <w:sz w:val="20"/>
                <w:szCs w:val="20"/>
                <w:color w:val="auto"/>
              </w:rPr>
            </w:pPr>
            <w:r>
              <w:rPr>
                <w:rFonts w:ascii="Arial" w:cs="Arial" w:eastAsia="Arial" w:hAnsi="Arial"/>
                <w:sz w:val="20"/>
                <w:szCs w:val="20"/>
                <w:color w:val="auto"/>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(155,434)</w:t>
            </w:r>
          </w:p>
        </w:tc>
        <w:tc>
          <w:tcPr>
            <w:tcW w:w="100" w:type="dxa"/>
            <w:vAlign w:val="bottom"/>
          </w:tcPr>
          <w:p>
            <w:pPr>
              <w:spacing w:after="0"/>
              <w:rPr>
                <w:sz w:val="21"/>
                <w:szCs w:val="21"/>
                <w:color w:val="auto"/>
              </w:rPr>
            </w:pPr>
          </w:p>
        </w:tc>
        <w:tc>
          <w:tcPr>
            <w:tcW w:w="360" w:type="dxa"/>
            <w:vAlign w:val="bottom"/>
            <w:tcBorders>
              <w:bottom w:val="single" w:sz="8" w:color="auto"/>
            </w:tcBorders>
          </w:tcPr>
          <w:p>
            <w:pPr>
              <w:jc w:val="right"/>
              <w:ind w:right="141"/>
              <w:spacing w:after="0"/>
              <w:rPr>
                <w:sz w:val="20"/>
                <w:szCs w:val="20"/>
                <w:color w:val="auto"/>
              </w:rPr>
            </w:pPr>
            <w:r>
              <w:rPr>
                <w:rFonts w:ascii="Arial" w:cs="Arial" w:eastAsia="Arial" w:hAnsi="Arial"/>
                <w:sz w:val="20"/>
                <w:szCs w:val="20"/>
                <w:color w:val="auto"/>
                <w:w w:val="8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49,136</w:t>
            </w:r>
          </w:p>
        </w:tc>
        <w:tc>
          <w:tcPr>
            <w:tcW w:w="80" w:type="dxa"/>
            <w:vAlign w:val="bottom"/>
          </w:tcPr>
          <w:p>
            <w:pPr>
              <w:spacing w:after="0"/>
              <w:rPr>
                <w:sz w:val="21"/>
                <w:szCs w:val="21"/>
                <w:color w:val="auto"/>
              </w:rPr>
            </w:pPr>
          </w:p>
        </w:tc>
        <w:tc>
          <w:tcPr>
            <w:tcW w:w="380" w:type="dxa"/>
            <w:vAlign w:val="bottom"/>
            <w:tcBorders>
              <w:bottom w:val="single" w:sz="8" w:color="auto"/>
            </w:tcBorders>
          </w:tcPr>
          <w:p>
            <w:pPr>
              <w:jc w:val="right"/>
              <w:ind w:right="161"/>
              <w:spacing w:after="0"/>
              <w:rPr>
                <w:sz w:val="20"/>
                <w:szCs w:val="20"/>
                <w:color w:val="auto"/>
              </w:rPr>
            </w:pPr>
            <w:r>
              <w:rPr>
                <w:rFonts w:ascii="Arial" w:cs="Arial" w:eastAsia="Arial" w:hAnsi="Arial"/>
                <w:sz w:val="20"/>
                <w:szCs w:val="20"/>
                <w:color w:val="auto"/>
                <w:w w:val="8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(154,823)</w:t>
            </w:r>
          </w:p>
        </w:tc>
        <w:tc>
          <w:tcPr>
            <w:tcW w:w="0" w:type="dxa"/>
            <w:vAlign w:val="bottom"/>
          </w:tcPr>
          <w:p>
            <w:pPr>
              <w:spacing w:after="0"/>
              <w:rPr>
                <w:sz w:val="1"/>
                <w:szCs w:val="1"/>
                <w:color w:val="auto"/>
              </w:rPr>
            </w:pPr>
          </w:p>
        </w:tc>
      </w:tr>
      <w:tr>
        <w:trPr>
          <w:trHeight w:val="20"/>
        </w:trPr>
        <w:tc>
          <w:tcPr>
            <w:tcW w:w="42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22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4220" w:type="dxa"/>
            <w:vAlign w:val="bottom"/>
          </w:tcPr>
          <w:p>
            <w:pPr>
              <w:ind w:left="20"/>
              <w:spacing w:after="0"/>
              <w:rPr>
                <w:sz w:val="20"/>
                <w:szCs w:val="20"/>
                <w:color w:val="auto"/>
              </w:rPr>
            </w:pPr>
            <w:r>
              <w:rPr>
                <w:rFonts w:ascii="Arial" w:cs="Arial" w:eastAsia="Arial" w:hAnsi="Arial"/>
                <w:sz w:val="20"/>
                <w:szCs w:val="20"/>
                <w:color w:val="auto"/>
              </w:rPr>
              <w:t>Income (loss) per common share</w:t>
            </w:r>
          </w:p>
        </w:tc>
        <w:tc>
          <w:tcPr>
            <w:tcW w:w="38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2"/>
        </w:trPr>
        <w:tc>
          <w:tcPr>
            <w:tcW w:w="422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20"/>
                <w:szCs w:val="20"/>
                <w:color w:val="auto"/>
              </w:rPr>
              <w:t>Basic</w:t>
            </w:r>
          </w:p>
        </w:tc>
        <w:tc>
          <w:tcPr>
            <w:tcW w:w="3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20"/>
                <w:szCs w:val="20"/>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0.12</w:t>
            </w:r>
          </w:p>
        </w:tc>
        <w:tc>
          <w:tcPr>
            <w:tcW w:w="8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auto"/>
            </w:tcBorders>
            <w:shd w:val="clear" w:color="auto" w:fill="CCEEFF"/>
          </w:tcPr>
          <w:p>
            <w:pPr>
              <w:jc w:val="right"/>
              <w:ind w:right="141"/>
              <w:spacing w:after="0"/>
              <w:rPr>
                <w:sz w:val="20"/>
                <w:szCs w:val="20"/>
                <w:color w:val="auto"/>
              </w:rPr>
            </w:pPr>
            <w:r>
              <w:rPr>
                <w:rFonts w:ascii="Arial" w:cs="Arial" w:eastAsia="Arial" w:hAnsi="Arial"/>
                <w:sz w:val="20"/>
                <w:szCs w:val="20"/>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(1.02)</w:t>
            </w:r>
          </w:p>
        </w:tc>
        <w:tc>
          <w:tcPr>
            <w:tcW w:w="10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jc w:val="right"/>
              <w:ind w:right="141"/>
              <w:spacing w:after="0"/>
              <w:rPr>
                <w:sz w:val="20"/>
                <w:szCs w:val="20"/>
                <w:color w:val="auto"/>
              </w:rPr>
            </w:pPr>
            <w:r>
              <w:rPr>
                <w:rFonts w:ascii="Arial" w:cs="Arial" w:eastAsia="Arial" w:hAnsi="Arial"/>
                <w:sz w:val="20"/>
                <w:szCs w:val="20"/>
                <w:color w:val="auto"/>
                <w:w w:val="8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0.32</w:t>
            </w:r>
          </w:p>
        </w:tc>
        <w:tc>
          <w:tcPr>
            <w:tcW w:w="8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auto"/>
            </w:tcBorders>
            <w:shd w:val="clear" w:color="auto" w:fill="CCEEFF"/>
          </w:tcPr>
          <w:p>
            <w:pPr>
              <w:jc w:val="right"/>
              <w:ind w:right="161"/>
              <w:spacing w:after="0"/>
              <w:rPr>
                <w:sz w:val="20"/>
                <w:szCs w:val="20"/>
                <w:color w:val="auto"/>
              </w:rPr>
            </w:pPr>
            <w:r>
              <w:rPr>
                <w:rFonts w:ascii="Arial" w:cs="Arial" w:eastAsia="Arial" w:hAnsi="Arial"/>
                <w:sz w:val="20"/>
                <w:szCs w:val="20"/>
                <w:color w:val="auto"/>
                <w:w w:val="8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(1.02)</w:t>
            </w:r>
          </w:p>
        </w:tc>
        <w:tc>
          <w:tcPr>
            <w:tcW w:w="0" w:type="dxa"/>
            <w:vAlign w:val="bottom"/>
          </w:tcPr>
          <w:p>
            <w:pPr>
              <w:spacing w:after="0"/>
              <w:rPr>
                <w:sz w:val="1"/>
                <w:szCs w:val="1"/>
                <w:color w:val="auto"/>
              </w:rPr>
            </w:pPr>
          </w:p>
        </w:tc>
      </w:tr>
      <w:tr>
        <w:trPr>
          <w:trHeight w:val="20"/>
        </w:trPr>
        <w:tc>
          <w:tcPr>
            <w:tcW w:w="42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4220" w:type="dxa"/>
            <w:vAlign w:val="bottom"/>
          </w:tcPr>
          <w:p>
            <w:pPr>
              <w:ind w:left="260"/>
              <w:spacing w:after="0"/>
              <w:rPr>
                <w:sz w:val="20"/>
                <w:szCs w:val="20"/>
                <w:color w:val="auto"/>
              </w:rPr>
            </w:pPr>
            <w:r>
              <w:rPr>
                <w:rFonts w:ascii="Arial" w:cs="Arial" w:eastAsia="Arial" w:hAnsi="Arial"/>
                <w:sz w:val="20"/>
                <w:szCs w:val="20"/>
                <w:color w:val="auto"/>
              </w:rPr>
              <w:t>Diluted</w:t>
            </w:r>
          </w:p>
        </w:tc>
        <w:tc>
          <w:tcPr>
            <w:tcW w:w="380" w:type="dxa"/>
            <w:vAlign w:val="bottom"/>
            <w:tcBorders>
              <w:bottom w:val="single" w:sz="8" w:color="auto"/>
            </w:tcBorders>
          </w:tcPr>
          <w:p>
            <w:pPr>
              <w:ind w:left="20"/>
              <w:spacing w:after="0"/>
              <w:rPr>
                <w:sz w:val="20"/>
                <w:szCs w:val="20"/>
                <w:color w:val="auto"/>
              </w:rPr>
            </w:pPr>
            <w:r>
              <w:rPr>
                <w:rFonts w:ascii="Arial" w:cs="Arial" w:eastAsia="Arial" w:hAnsi="Arial"/>
                <w:sz w:val="20"/>
                <w:szCs w:val="20"/>
                <w:color w:val="auto"/>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0.12</w:t>
            </w:r>
          </w:p>
        </w:tc>
        <w:tc>
          <w:tcPr>
            <w:tcW w:w="80" w:type="dxa"/>
            <w:vAlign w:val="bottom"/>
          </w:tcPr>
          <w:p>
            <w:pPr>
              <w:spacing w:after="0"/>
              <w:rPr>
                <w:sz w:val="20"/>
                <w:szCs w:val="20"/>
                <w:color w:val="auto"/>
              </w:rPr>
            </w:pPr>
          </w:p>
        </w:tc>
        <w:tc>
          <w:tcPr>
            <w:tcW w:w="380" w:type="dxa"/>
            <w:vAlign w:val="bottom"/>
            <w:tcBorders>
              <w:bottom w:val="single" w:sz="8" w:color="auto"/>
            </w:tcBorders>
          </w:tcPr>
          <w:p>
            <w:pPr>
              <w:jc w:val="right"/>
              <w:ind w:right="141"/>
              <w:spacing w:after="0"/>
              <w:rPr>
                <w:sz w:val="20"/>
                <w:szCs w:val="20"/>
                <w:color w:val="auto"/>
              </w:rPr>
            </w:pPr>
            <w:r>
              <w:rPr>
                <w:rFonts w:ascii="Arial" w:cs="Arial" w:eastAsia="Arial" w:hAnsi="Arial"/>
                <w:sz w:val="20"/>
                <w:szCs w:val="20"/>
                <w:color w:val="auto"/>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(1.02)</w:t>
            </w:r>
          </w:p>
        </w:tc>
        <w:tc>
          <w:tcPr>
            <w:tcW w:w="100" w:type="dxa"/>
            <w:vAlign w:val="bottom"/>
          </w:tcPr>
          <w:p>
            <w:pPr>
              <w:spacing w:after="0"/>
              <w:rPr>
                <w:sz w:val="20"/>
                <w:szCs w:val="20"/>
                <w:color w:val="auto"/>
              </w:rPr>
            </w:pPr>
          </w:p>
        </w:tc>
        <w:tc>
          <w:tcPr>
            <w:tcW w:w="360" w:type="dxa"/>
            <w:vAlign w:val="bottom"/>
            <w:tcBorders>
              <w:bottom w:val="single" w:sz="8" w:color="auto"/>
            </w:tcBorders>
          </w:tcPr>
          <w:p>
            <w:pPr>
              <w:jc w:val="right"/>
              <w:ind w:right="141"/>
              <w:spacing w:after="0"/>
              <w:rPr>
                <w:sz w:val="20"/>
                <w:szCs w:val="20"/>
                <w:color w:val="auto"/>
              </w:rPr>
            </w:pPr>
            <w:r>
              <w:rPr>
                <w:rFonts w:ascii="Arial" w:cs="Arial" w:eastAsia="Arial" w:hAnsi="Arial"/>
                <w:sz w:val="20"/>
                <w:szCs w:val="20"/>
                <w:color w:val="auto"/>
                <w:w w:val="8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0.32</w:t>
            </w:r>
          </w:p>
        </w:tc>
        <w:tc>
          <w:tcPr>
            <w:tcW w:w="80" w:type="dxa"/>
            <w:vAlign w:val="bottom"/>
          </w:tcPr>
          <w:p>
            <w:pPr>
              <w:spacing w:after="0"/>
              <w:rPr>
                <w:sz w:val="20"/>
                <w:szCs w:val="20"/>
                <w:color w:val="auto"/>
              </w:rPr>
            </w:pPr>
          </w:p>
        </w:tc>
        <w:tc>
          <w:tcPr>
            <w:tcW w:w="380" w:type="dxa"/>
            <w:vAlign w:val="bottom"/>
            <w:tcBorders>
              <w:bottom w:val="single" w:sz="8" w:color="auto"/>
            </w:tcBorders>
          </w:tcPr>
          <w:p>
            <w:pPr>
              <w:jc w:val="right"/>
              <w:ind w:right="161"/>
              <w:spacing w:after="0"/>
              <w:rPr>
                <w:sz w:val="20"/>
                <w:szCs w:val="20"/>
                <w:color w:val="auto"/>
              </w:rPr>
            </w:pPr>
            <w:r>
              <w:rPr>
                <w:rFonts w:ascii="Arial" w:cs="Arial" w:eastAsia="Arial" w:hAnsi="Arial"/>
                <w:sz w:val="20"/>
                <w:szCs w:val="20"/>
                <w:color w:val="auto"/>
                <w:w w:val="8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(1.02)</w:t>
            </w:r>
          </w:p>
        </w:tc>
        <w:tc>
          <w:tcPr>
            <w:tcW w:w="0" w:type="dxa"/>
            <w:vAlign w:val="bottom"/>
          </w:tcPr>
          <w:p>
            <w:pPr>
              <w:spacing w:after="0"/>
              <w:rPr>
                <w:sz w:val="1"/>
                <w:szCs w:val="1"/>
                <w:color w:val="auto"/>
              </w:rPr>
            </w:pPr>
          </w:p>
        </w:tc>
      </w:tr>
      <w:tr>
        <w:trPr>
          <w:trHeight w:val="20"/>
        </w:trPr>
        <w:tc>
          <w:tcPr>
            <w:tcW w:w="42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1"/>
        </w:trPr>
        <w:tc>
          <w:tcPr>
            <w:tcW w:w="4220" w:type="dxa"/>
            <w:vAlign w:val="bottom"/>
            <w:shd w:val="clear" w:color="auto" w:fill="CCEEFF"/>
          </w:tcPr>
          <w:p>
            <w:pPr>
              <w:ind w:left="20"/>
              <w:spacing w:after="0" w:line="162" w:lineRule="exact"/>
              <w:rPr>
                <w:sz w:val="20"/>
                <w:szCs w:val="20"/>
                <w:color w:val="auto"/>
              </w:rPr>
            </w:pPr>
            <w:r>
              <w:rPr>
                <w:rFonts w:ascii="Arial" w:cs="Arial" w:eastAsia="Arial" w:hAnsi="Arial"/>
                <w:sz w:val="18"/>
                <w:szCs w:val="18"/>
                <w:color w:val="auto"/>
              </w:rPr>
              <w:t>Weighted average number of common shares</w:t>
            </w:r>
          </w:p>
        </w:tc>
        <w:tc>
          <w:tcPr>
            <w:tcW w:w="38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3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51"/>
        </w:trPr>
        <w:tc>
          <w:tcPr>
            <w:tcW w:w="4220" w:type="dxa"/>
            <w:vAlign w:val="bottom"/>
            <w:shd w:val="clear" w:color="auto" w:fill="CCEEFF"/>
          </w:tcPr>
          <w:p>
            <w:pPr>
              <w:ind w:left="20"/>
              <w:spacing w:after="0"/>
              <w:rPr>
                <w:sz w:val="20"/>
                <w:szCs w:val="20"/>
                <w:color w:val="auto"/>
              </w:rPr>
            </w:pPr>
            <w:r>
              <w:rPr>
                <w:rFonts w:ascii="Arial" w:cs="Arial" w:eastAsia="Arial" w:hAnsi="Arial"/>
                <w:sz w:val="20"/>
                <w:szCs w:val="20"/>
                <w:color w:val="auto"/>
              </w:rPr>
              <w:t>outstanding</w:t>
            </w:r>
          </w:p>
        </w:tc>
        <w:tc>
          <w:tcPr>
            <w:tcW w:w="38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3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4220" w:type="dxa"/>
            <w:vAlign w:val="bottom"/>
          </w:tcPr>
          <w:p>
            <w:pPr>
              <w:ind w:left="260"/>
              <w:spacing w:after="0"/>
              <w:rPr>
                <w:sz w:val="20"/>
                <w:szCs w:val="20"/>
                <w:color w:val="auto"/>
              </w:rPr>
            </w:pPr>
            <w:r>
              <w:rPr>
                <w:rFonts w:ascii="Arial" w:cs="Arial" w:eastAsia="Arial" w:hAnsi="Arial"/>
                <w:sz w:val="20"/>
                <w:szCs w:val="20"/>
                <w:color w:val="auto"/>
              </w:rPr>
              <w:t>Basic</w:t>
            </w:r>
          </w:p>
        </w:tc>
        <w:tc>
          <w:tcPr>
            <w:tcW w:w="38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152,727</w:t>
            </w:r>
          </w:p>
        </w:tc>
        <w:tc>
          <w:tcPr>
            <w:tcW w:w="8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151,923</w:t>
            </w:r>
          </w:p>
        </w:tc>
        <w:tc>
          <w:tcPr>
            <w:tcW w:w="10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152,465</w:t>
            </w:r>
          </w:p>
        </w:tc>
        <w:tc>
          <w:tcPr>
            <w:tcW w:w="8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151,691</w:t>
            </w:r>
          </w:p>
        </w:tc>
        <w:tc>
          <w:tcPr>
            <w:tcW w:w="0" w:type="dxa"/>
            <w:vAlign w:val="bottom"/>
          </w:tcPr>
          <w:p>
            <w:pPr>
              <w:spacing w:after="0"/>
              <w:rPr>
                <w:sz w:val="1"/>
                <w:szCs w:val="1"/>
                <w:color w:val="auto"/>
              </w:rPr>
            </w:pPr>
          </w:p>
        </w:tc>
      </w:tr>
      <w:tr>
        <w:trPr>
          <w:trHeight w:val="20"/>
        </w:trPr>
        <w:tc>
          <w:tcPr>
            <w:tcW w:w="42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5"/>
        </w:trPr>
        <w:tc>
          <w:tcPr>
            <w:tcW w:w="422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20"/>
                <w:szCs w:val="20"/>
                <w:color w:val="auto"/>
              </w:rPr>
              <w:t>Diluted</w:t>
            </w:r>
          </w:p>
        </w:tc>
        <w:tc>
          <w:tcPr>
            <w:tcW w:w="380" w:type="dxa"/>
            <w:vAlign w:val="bottom"/>
            <w:tcBorders>
              <w:bottom w:val="single" w:sz="8" w:color="auto"/>
            </w:tcBorders>
            <w:shd w:val="clear" w:color="auto" w:fill="CCEEFF"/>
          </w:tcPr>
          <w:p>
            <w:pPr>
              <w:spacing w:after="0"/>
              <w:rPr>
                <w:sz w:val="23"/>
                <w:szCs w:val="23"/>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154,090</w:t>
            </w:r>
          </w:p>
        </w:tc>
        <w:tc>
          <w:tcPr>
            <w:tcW w:w="8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spacing w:after="0"/>
              <w:rPr>
                <w:sz w:val="23"/>
                <w:szCs w:val="23"/>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151,923</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153,350</w:t>
            </w:r>
          </w:p>
        </w:tc>
        <w:tc>
          <w:tcPr>
            <w:tcW w:w="8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spacing w:after="0"/>
              <w:rPr>
                <w:sz w:val="23"/>
                <w:szCs w:val="23"/>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151,691</w:t>
            </w:r>
          </w:p>
        </w:tc>
        <w:tc>
          <w:tcPr>
            <w:tcW w:w="0" w:type="dxa"/>
            <w:vAlign w:val="bottom"/>
          </w:tcPr>
          <w:p>
            <w:pPr>
              <w:spacing w:after="0"/>
              <w:rPr>
                <w:sz w:val="1"/>
                <w:szCs w:val="1"/>
                <w:color w:val="auto"/>
              </w:rPr>
            </w:pPr>
          </w:p>
        </w:tc>
      </w:tr>
      <w:tr>
        <w:trPr>
          <w:trHeight w:val="20"/>
        </w:trPr>
        <w:tc>
          <w:tcPr>
            <w:tcW w:w="42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See accompanying Notes to Condensed Consolidated Financial Statements.</w:t>
      </w:r>
    </w:p>
    <w:p>
      <w:pPr>
        <w:sectPr>
          <w:pgSz w:w="11900" w:h="16838" w:orient="portrait"/>
          <w:cols w:equalWidth="0" w:num="1">
            <w:col w:w="11200"/>
          </w:cols>
          <w:pgMar w:left="340" w:top="602"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69215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602" w:right="359" w:bottom="1440" w:gutter="0" w:footer="0" w:header="0"/>
          <w:type w:val="continuous"/>
        </w:sectPr>
      </w:pPr>
    </w:p>
    <w:bookmarkStart w:id="6" w:name="page7"/>
    <w:bookmarkEnd w:id="6"/>
    <w:p>
      <w:pPr>
        <w:ind w:left="4480"/>
        <w:spacing w:after="0"/>
        <w:rPr>
          <w:sz w:val="20"/>
          <w:szCs w:val="20"/>
          <w:color w:val="auto"/>
        </w:rPr>
      </w:pPr>
      <w:r>
        <w:rPr>
          <w:rFonts w:ascii="Arial" w:cs="Arial" w:eastAsia="Arial" w:hAnsi="Arial"/>
          <w:sz w:val="20"/>
          <w:szCs w:val="20"/>
          <w:b w:val="1"/>
          <w:bCs w:val="1"/>
          <w:color w:val="auto"/>
        </w:rPr>
        <w:t>Array Technologies, Inc.</w:t>
      </w:r>
    </w:p>
    <w:p>
      <w:pPr>
        <w:spacing w:after="0" w:line="33" w:lineRule="exact"/>
        <w:rPr>
          <w:sz w:val="20"/>
          <w:szCs w:val="20"/>
          <w:color w:val="auto"/>
        </w:rPr>
      </w:pPr>
    </w:p>
    <w:p>
      <w:pPr>
        <w:ind w:left="1720"/>
        <w:spacing w:after="0"/>
        <w:rPr>
          <w:sz w:val="20"/>
          <w:szCs w:val="20"/>
          <w:color w:val="auto"/>
        </w:rPr>
      </w:pPr>
      <w:r>
        <w:rPr>
          <w:rFonts w:ascii="Arial" w:cs="Arial" w:eastAsia="Arial" w:hAnsi="Arial"/>
          <w:sz w:val="20"/>
          <w:szCs w:val="20"/>
          <w:b w:val="1"/>
          <w:bCs w:val="1"/>
          <w:color w:val="auto"/>
        </w:rPr>
        <w:t xml:space="preserve">Condensed Consolidated Statements of Comprehensive Income (Loss) </w:t>
      </w:r>
      <w:r>
        <w:rPr>
          <w:rFonts w:ascii="Arial" w:cs="Arial" w:eastAsia="Arial" w:hAnsi="Arial"/>
          <w:sz w:val="20"/>
          <w:szCs w:val="20"/>
          <w:b w:val="1"/>
          <w:bCs w:val="1"/>
          <w:i w:val="1"/>
          <w:iCs w:val="1"/>
          <w:color w:val="auto"/>
        </w:rPr>
        <w:t>(unaudited)</w:t>
      </w:r>
    </w:p>
    <w:p>
      <w:pPr>
        <w:jc w:val="center"/>
        <w:spacing w:after="0"/>
        <w:rPr>
          <w:sz w:val="20"/>
          <w:szCs w:val="20"/>
          <w:color w:val="auto"/>
        </w:rPr>
      </w:pPr>
      <w:r>
        <w:rPr>
          <w:rFonts w:ascii="Arial" w:cs="Arial" w:eastAsia="Arial" w:hAnsi="Arial"/>
          <w:sz w:val="20"/>
          <w:szCs w:val="20"/>
          <w:i w:val="1"/>
          <w:iCs w:val="1"/>
          <w:color w:val="auto"/>
        </w:rPr>
        <w:t>(in thousands)</w:t>
      </w:r>
    </w:p>
    <w:p>
      <w:pPr>
        <w:spacing w:after="0" w:line="200" w:lineRule="exact"/>
        <w:rPr>
          <w:sz w:val="20"/>
          <w:szCs w:val="20"/>
          <w:color w:val="auto"/>
        </w:rPr>
      </w:pP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67"/>
        </w:trPr>
        <w:tc>
          <w:tcPr>
            <w:tcW w:w="4300" w:type="dxa"/>
            <w:vAlign w:val="bottom"/>
          </w:tcPr>
          <w:p>
            <w:pPr>
              <w:spacing w:after="0"/>
              <w:rPr>
                <w:sz w:val="23"/>
                <w:szCs w:val="23"/>
                <w:color w:val="auto"/>
              </w:rPr>
            </w:pPr>
          </w:p>
        </w:tc>
        <w:tc>
          <w:tcPr>
            <w:tcW w:w="3500" w:type="dxa"/>
            <w:vAlign w:val="bottom"/>
            <w:gridSpan w:val="6"/>
          </w:tcPr>
          <w:p>
            <w:pPr>
              <w:jc w:val="right"/>
              <w:ind w:right="100"/>
              <w:spacing w:after="0"/>
              <w:rPr>
                <w:sz w:val="20"/>
                <w:szCs w:val="20"/>
                <w:color w:val="auto"/>
              </w:rPr>
            </w:pPr>
            <w:r>
              <w:rPr>
                <w:rFonts w:ascii="Arial" w:cs="Arial" w:eastAsia="Arial" w:hAnsi="Arial"/>
                <w:sz w:val="20"/>
                <w:szCs w:val="20"/>
                <w:b w:val="1"/>
                <w:bCs w:val="1"/>
                <w:color w:val="auto"/>
                <w:w w:val="99"/>
              </w:rPr>
              <w:t>Three Months Ended September 30,</w:t>
            </w:r>
          </w:p>
        </w:tc>
        <w:tc>
          <w:tcPr>
            <w:tcW w:w="3440" w:type="dxa"/>
            <w:vAlign w:val="bottom"/>
            <w:gridSpan w:val="5"/>
          </w:tcPr>
          <w:p>
            <w:pPr>
              <w:jc w:val="right"/>
              <w:ind w:right="1"/>
              <w:spacing w:after="0"/>
              <w:rPr>
                <w:sz w:val="20"/>
                <w:szCs w:val="20"/>
                <w:color w:val="auto"/>
              </w:rPr>
            </w:pPr>
            <w:r>
              <w:rPr>
                <w:rFonts w:ascii="Arial" w:cs="Arial" w:eastAsia="Arial" w:hAnsi="Arial"/>
                <w:sz w:val="20"/>
                <w:szCs w:val="20"/>
                <w:b w:val="1"/>
                <w:bCs w:val="1"/>
                <w:color w:val="auto"/>
              </w:rPr>
              <w:t>Nine Months Ended September 30,</w:t>
            </w:r>
          </w:p>
        </w:tc>
      </w:tr>
      <w:tr>
        <w:trPr>
          <w:trHeight w:val="250"/>
        </w:trPr>
        <w:tc>
          <w:tcPr>
            <w:tcW w:w="4300" w:type="dxa"/>
            <w:vAlign w:val="bottom"/>
            <w:tcBorders>
              <w:bottom w:val="single" w:sz="8" w:color="CCEEFF"/>
            </w:tcBorders>
          </w:tcPr>
          <w:p>
            <w:pPr>
              <w:spacing w:after="0"/>
              <w:rPr>
                <w:sz w:val="21"/>
                <w:szCs w:val="21"/>
                <w:color w:val="auto"/>
              </w:rPr>
            </w:pPr>
          </w:p>
        </w:tc>
        <w:tc>
          <w:tcPr>
            <w:tcW w:w="380" w:type="dxa"/>
            <w:vAlign w:val="bottom"/>
            <w:tcBorders>
              <w:top w:val="single" w:sz="8" w:color="auto"/>
              <w:bottom w:val="single" w:sz="8" w:color="auto"/>
            </w:tcBorders>
          </w:tcPr>
          <w:p>
            <w:pPr>
              <w:spacing w:after="0"/>
              <w:rPr>
                <w:sz w:val="21"/>
                <w:szCs w:val="21"/>
                <w:color w:val="auto"/>
              </w:rPr>
            </w:pPr>
          </w:p>
        </w:tc>
        <w:tc>
          <w:tcPr>
            <w:tcW w:w="1280" w:type="dxa"/>
            <w:vAlign w:val="bottom"/>
            <w:tcBorders>
              <w:top w:val="single" w:sz="8" w:color="auto"/>
              <w:bottom w:val="single" w:sz="8" w:color="auto"/>
            </w:tcBorders>
          </w:tcPr>
          <w:p>
            <w:pPr>
              <w:jc w:val="right"/>
              <w:ind w:right="501"/>
              <w:spacing w:after="0"/>
              <w:rPr>
                <w:sz w:val="20"/>
                <w:szCs w:val="20"/>
                <w:color w:val="auto"/>
              </w:rPr>
            </w:pPr>
            <w:r>
              <w:rPr>
                <w:rFonts w:ascii="Arial" w:cs="Arial" w:eastAsia="Arial" w:hAnsi="Arial"/>
                <w:sz w:val="20"/>
                <w:szCs w:val="20"/>
                <w:b w:val="1"/>
                <w:bCs w:val="1"/>
                <w:color w:val="auto"/>
              </w:rPr>
              <w:t>2025</w:t>
            </w:r>
          </w:p>
        </w:tc>
        <w:tc>
          <w:tcPr>
            <w:tcW w:w="80" w:type="dxa"/>
            <w:vAlign w:val="bottom"/>
            <w:tcBorders>
              <w:top w:val="single" w:sz="8" w:color="auto"/>
              <w:bottom w:val="single" w:sz="8" w:color="CCEEFF"/>
            </w:tcBorders>
          </w:tcPr>
          <w:p>
            <w:pPr>
              <w:spacing w:after="0"/>
              <w:rPr>
                <w:sz w:val="21"/>
                <w:szCs w:val="21"/>
                <w:color w:val="auto"/>
              </w:rPr>
            </w:pPr>
          </w:p>
        </w:tc>
        <w:tc>
          <w:tcPr>
            <w:tcW w:w="380" w:type="dxa"/>
            <w:vAlign w:val="bottom"/>
            <w:tcBorders>
              <w:top w:val="single" w:sz="8" w:color="auto"/>
              <w:bottom w:val="single" w:sz="8" w:color="auto"/>
            </w:tcBorders>
          </w:tcPr>
          <w:p>
            <w:pPr>
              <w:spacing w:after="0"/>
              <w:rPr>
                <w:sz w:val="21"/>
                <w:szCs w:val="21"/>
                <w:color w:val="auto"/>
              </w:rPr>
            </w:pPr>
          </w:p>
        </w:tc>
        <w:tc>
          <w:tcPr>
            <w:tcW w:w="1300" w:type="dxa"/>
            <w:vAlign w:val="bottom"/>
            <w:tcBorders>
              <w:top w:val="single" w:sz="8" w:color="auto"/>
              <w:bottom w:val="single" w:sz="8" w:color="auto"/>
            </w:tcBorders>
          </w:tcPr>
          <w:p>
            <w:pPr>
              <w:jc w:val="right"/>
              <w:ind w:right="521"/>
              <w:spacing w:after="0"/>
              <w:rPr>
                <w:sz w:val="20"/>
                <w:szCs w:val="20"/>
                <w:color w:val="auto"/>
              </w:rPr>
            </w:pPr>
            <w:r>
              <w:rPr>
                <w:rFonts w:ascii="Arial" w:cs="Arial" w:eastAsia="Arial" w:hAnsi="Arial"/>
                <w:sz w:val="20"/>
                <w:szCs w:val="20"/>
                <w:b w:val="1"/>
                <w:bCs w:val="1"/>
                <w:color w:val="auto"/>
              </w:rPr>
              <w:t>2024</w:t>
            </w:r>
          </w:p>
        </w:tc>
        <w:tc>
          <w:tcPr>
            <w:tcW w:w="80" w:type="dxa"/>
            <w:vAlign w:val="bottom"/>
            <w:tcBorders>
              <w:bottom w:val="single" w:sz="8" w:color="CCEEFF"/>
            </w:tcBorders>
          </w:tcPr>
          <w:p>
            <w:pPr>
              <w:spacing w:after="0"/>
              <w:rPr>
                <w:sz w:val="21"/>
                <w:szCs w:val="21"/>
                <w:color w:val="auto"/>
              </w:rPr>
            </w:pPr>
          </w:p>
        </w:tc>
        <w:tc>
          <w:tcPr>
            <w:tcW w:w="360" w:type="dxa"/>
            <w:vAlign w:val="bottom"/>
            <w:tcBorders>
              <w:top w:val="single" w:sz="8" w:color="auto"/>
              <w:bottom w:val="single" w:sz="8" w:color="auto"/>
            </w:tcBorders>
          </w:tcPr>
          <w:p>
            <w:pPr>
              <w:spacing w:after="0"/>
              <w:rPr>
                <w:sz w:val="21"/>
                <w:szCs w:val="21"/>
                <w:color w:val="auto"/>
              </w:rPr>
            </w:pPr>
          </w:p>
        </w:tc>
        <w:tc>
          <w:tcPr>
            <w:tcW w:w="1320" w:type="dxa"/>
            <w:vAlign w:val="bottom"/>
            <w:tcBorders>
              <w:top w:val="single" w:sz="8" w:color="auto"/>
              <w:bottom w:val="single" w:sz="8" w:color="auto"/>
            </w:tcBorders>
          </w:tcPr>
          <w:p>
            <w:pPr>
              <w:jc w:val="right"/>
              <w:ind w:right="521"/>
              <w:spacing w:after="0"/>
              <w:rPr>
                <w:sz w:val="20"/>
                <w:szCs w:val="20"/>
                <w:color w:val="auto"/>
              </w:rPr>
            </w:pPr>
            <w:r>
              <w:rPr>
                <w:rFonts w:ascii="Arial" w:cs="Arial" w:eastAsia="Arial" w:hAnsi="Arial"/>
                <w:sz w:val="20"/>
                <w:szCs w:val="20"/>
                <w:b w:val="1"/>
                <w:bCs w:val="1"/>
                <w:color w:val="auto"/>
              </w:rPr>
              <w:t>2025</w:t>
            </w:r>
          </w:p>
        </w:tc>
        <w:tc>
          <w:tcPr>
            <w:tcW w:w="80" w:type="dxa"/>
            <w:vAlign w:val="bottom"/>
            <w:tcBorders>
              <w:top w:val="single" w:sz="8" w:color="auto"/>
              <w:bottom w:val="single" w:sz="8" w:color="CCEEFF"/>
            </w:tcBorders>
          </w:tcPr>
          <w:p>
            <w:pPr>
              <w:spacing w:after="0"/>
              <w:rPr>
                <w:sz w:val="21"/>
                <w:szCs w:val="21"/>
                <w:color w:val="auto"/>
              </w:rPr>
            </w:pPr>
          </w:p>
        </w:tc>
        <w:tc>
          <w:tcPr>
            <w:tcW w:w="360" w:type="dxa"/>
            <w:vAlign w:val="bottom"/>
            <w:tcBorders>
              <w:top w:val="single" w:sz="8" w:color="auto"/>
              <w:bottom w:val="single" w:sz="8" w:color="auto"/>
            </w:tcBorders>
          </w:tcPr>
          <w:p>
            <w:pPr>
              <w:spacing w:after="0"/>
              <w:rPr>
                <w:sz w:val="21"/>
                <w:szCs w:val="21"/>
                <w:color w:val="auto"/>
              </w:rPr>
            </w:pPr>
          </w:p>
        </w:tc>
        <w:tc>
          <w:tcPr>
            <w:tcW w:w="1320" w:type="dxa"/>
            <w:vAlign w:val="bottom"/>
            <w:tcBorders>
              <w:top w:val="single" w:sz="8" w:color="auto"/>
              <w:bottom w:val="single" w:sz="8" w:color="auto"/>
            </w:tcBorders>
          </w:tcPr>
          <w:p>
            <w:pPr>
              <w:jc w:val="right"/>
              <w:ind w:right="521"/>
              <w:spacing w:after="0"/>
              <w:rPr>
                <w:sz w:val="20"/>
                <w:szCs w:val="20"/>
                <w:color w:val="auto"/>
              </w:rPr>
            </w:pPr>
            <w:r>
              <w:rPr>
                <w:rFonts w:ascii="Arial" w:cs="Arial" w:eastAsia="Arial" w:hAnsi="Arial"/>
                <w:sz w:val="20"/>
                <w:szCs w:val="20"/>
                <w:b w:val="1"/>
                <w:bCs w:val="1"/>
                <w:color w:val="auto"/>
              </w:rPr>
              <w:t>2024</w:t>
            </w:r>
          </w:p>
        </w:tc>
      </w:tr>
      <w:tr>
        <w:trPr>
          <w:trHeight w:val="250"/>
        </w:trPr>
        <w:tc>
          <w:tcPr>
            <w:tcW w:w="4300" w:type="dxa"/>
            <w:vAlign w:val="bottom"/>
            <w:shd w:val="clear" w:color="auto" w:fill="CCEEFF"/>
          </w:tcPr>
          <w:p>
            <w:pPr>
              <w:ind w:left="20"/>
              <w:spacing w:after="0"/>
              <w:rPr>
                <w:sz w:val="20"/>
                <w:szCs w:val="20"/>
                <w:color w:val="auto"/>
              </w:rPr>
            </w:pPr>
            <w:r>
              <w:rPr>
                <w:rFonts w:ascii="Arial" w:cs="Arial" w:eastAsia="Arial" w:hAnsi="Arial"/>
                <w:sz w:val="20"/>
                <w:szCs w:val="20"/>
                <w:color w:val="auto"/>
              </w:rPr>
              <w:t>Net income (loss)</w:t>
            </w:r>
          </w:p>
        </w:tc>
        <w:tc>
          <w:tcPr>
            <w:tcW w:w="380" w:type="dxa"/>
            <w:vAlign w:val="bottom"/>
            <w:shd w:val="clear" w:color="auto" w:fill="CCEEFF"/>
          </w:tcPr>
          <w:p>
            <w:pPr>
              <w:jc w:val="right"/>
              <w:ind w:right="161"/>
              <w:spacing w:after="0"/>
              <w:rPr>
                <w:sz w:val="20"/>
                <w:szCs w:val="20"/>
                <w:color w:val="auto"/>
              </w:rPr>
            </w:pPr>
            <w:r>
              <w:rPr>
                <w:rFonts w:ascii="Arial" w:cs="Arial" w:eastAsia="Arial" w:hAnsi="Arial"/>
                <w:sz w:val="20"/>
                <w:szCs w:val="20"/>
                <w:color w:val="auto"/>
                <w:w w:val="8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33,503</w:t>
            </w:r>
          </w:p>
        </w:tc>
        <w:tc>
          <w:tcPr>
            <w:tcW w:w="80" w:type="dxa"/>
            <w:vAlign w:val="bottom"/>
            <w:shd w:val="clear" w:color="auto" w:fill="CCEEFF"/>
          </w:tcPr>
          <w:p>
            <w:pPr>
              <w:spacing w:after="0"/>
              <w:rPr>
                <w:sz w:val="21"/>
                <w:szCs w:val="21"/>
                <w:color w:val="auto"/>
              </w:rPr>
            </w:pPr>
          </w:p>
        </w:tc>
        <w:tc>
          <w:tcPr>
            <w:tcW w:w="380" w:type="dxa"/>
            <w:vAlign w:val="bottom"/>
            <w:shd w:val="clear" w:color="auto" w:fill="CCEEFF"/>
          </w:tcPr>
          <w:p>
            <w:pPr>
              <w:jc w:val="right"/>
              <w:ind w:right="141"/>
              <w:spacing w:after="0"/>
              <w:rPr>
                <w:sz w:val="20"/>
                <w:szCs w:val="20"/>
                <w:color w:val="auto"/>
              </w:rPr>
            </w:pPr>
            <w:r>
              <w:rPr>
                <w:rFonts w:ascii="Arial" w:cs="Arial" w:eastAsia="Arial" w:hAnsi="Arial"/>
                <w:sz w:val="20"/>
                <w:szCs w:val="20"/>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(141,354)</w:t>
            </w: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41"/>
              <w:spacing w:after="0"/>
              <w:rPr>
                <w:sz w:val="20"/>
                <w:szCs w:val="20"/>
                <w:color w:val="auto"/>
              </w:rPr>
            </w:pPr>
            <w:r>
              <w:rPr>
                <w:rFonts w:ascii="Arial" w:cs="Arial" w:eastAsia="Arial" w:hAnsi="Arial"/>
                <w:sz w:val="20"/>
                <w:szCs w:val="20"/>
                <w:color w:val="auto"/>
                <w:w w:val="89"/>
              </w:rPr>
              <w:t>$</w:t>
            </w:r>
          </w:p>
        </w:tc>
        <w:tc>
          <w:tcPr>
            <w:tcW w:w="1320" w:type="dxa"/>
            <w:vAlign w:val="bottom"/>
            <w:shd w:val="clear" w:color="auto" w:fill="CCEEFF"/>
          </w:tcPr>
          <w:p>
            <w:pPr>
              <w:jc w:val="right"/>
              <w:ind w:right="1"/>
              <w:spacing w:after="0"/>
              <w:rPr>
                <w:sz w:val="20"/>
                <w:szCs w:val="20"/>
                <w:color w:val="auto"/>
              </w:rPr>
            </w:pPr>
            <w:r>
              <w:rPr>
                <w:rFonts w:ascii="Arial" w:cs="Arial" w:eastAsia="Arial" w:hAnsi="Arial"/>
                <w:sz w:val="20"/>
                <w:szCs w:val="20"/>
                <w:color w:val="auto"/>
              </w:rPr>
              <w:t>93,511</w:t>
            </w: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41"/>
              <w:spacing w:after="0"/>
              <w:rPr>
                <w:sz w:val="20"/>
                <w:szCs w:val="20"/>
                <w:color w:val="auto"/>
              </w:rPr>
            </w:pPr>
            <w:r>
              <w:rPr>
                <w:rFonts w:ascii="Arial" w:cs="Arial" w:eastAsia="Arial" w:hAnsi="Arial"/>
                <w:sz w:val="20"/>
                <w:szCs w:val="20"/>
                <w:color w:val="auto"/>
                <w:w w:val="8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(113,491)</w:t>
            </w:r>
          </w:p>
        </w:tc>
      </w:tr>
      <w:tr>
        <w:trPr>
          <w:trHeight w:val="257"/>
        </w:trPr>
        <w:tc>
          <w:tcPr>
            <w:tcW w:w="4300" w:type="dxa"/>
            <w:vAlign w:val="bottom"/>
            <w:tcBorders>
              <w:bottom w:val="single" w:sz="8" w:color="CCEEFF"/>
            </w:tcBorders>
          </w:tcPr>
          <w:p>
            <w:pPr>
              <w:ind w:left="260"/>
              <w:spacing w:after="0" w:line="257" w:lineRule="exact"/>
              <w:rPr>
                <w:sz w:val="20"/>
                <w:szCs w:val="20"/>
                <w:color w:val="auto"/>
              </w:rPr>
            </w:pPr>
            <w:r>
              <w:rPr>
                <w:rFonts w:ascii="Arial" w:cs="Arial" w:eastAsia="Arial" w:hAnsi="Arial"/>
                <w:sz w:val="20"/>
                <w:szCs w:val="20"/>
                <w:color w:val="auto"/>
              </w:rPr>
              <w:t>Foreign currency translation</w:t>
            </w:r>
            <w:r>
              <w:rPr>
                <w:rFonts w:ascii="Arial" w:cs="Arial" w:eastAsia="Arial" w:hAnsi="Arial"/>
                <w:sz w:val="25"/>
                <w:szCs w:val="25"/>
                <w:color w:val="auto"/>
                <w:vertAlign w:val="superscript"/>
              </w:rPr>
              <w:t>(1)</w:t>
            </w:r>
          </w:p>
        </w:tc>
        <w:tc>
          <w:tcPr>
            <w:tcW w:w="38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888</w:t>
            </w:r>
          </w:p>
        </w:tc>
        <w:tc>
          <w:tcPr>
            <w:tcW w:w="8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17,910</w:t>
            </w:r>
          </w:p>
        </w:tc>
        <w:tc>
          <w:tcPr>
            <w:tcW w:w="8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1"/>
              <w:spacing w:after="0"/>
              <w:rPr>
                <w:sz w:val="20"/>
                <w:szCs w:val="20"/>
                <w:color w:val="auto"/>
              </w:rPr>
            </w:pPr>
            <w:r>
              <w:rPr>
                <w:rFonts w:ascii="Arial" w:cs="Arial" w:eastAsia="Arial" w:hAnsi="Arial"/>
                <w:sz w:val="20"/>
                <w:szCs w:val="20"/>
                <w:color w:val="auto"/>
              </w:rPr>
              <w:t>37,604</w:t>
            </w:r>
          </w:p>
        </w:tc>
        <w:tc>
          <w:tcPr>
            <w:tcW w:w="8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(45,100)</w:t>
            </w:r>
          </w:p>
        </w:tc>
      </w:tr>
      <w:tr>
        <w:trPr>
          <w:trHeight w:val="275"/>
        </w:trPr>
        <w:tc>
          <w:tcPr>
            <w:tcW w:w="4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20"/>
                <w:szCs w:val="20"/>
                <w:color w:val="auto"/>
              </w:rPr>
              <w:t>Comprehensive income (loss)</w:t>
            </w:r>
          </w:p>
        </w:tc>
        <w:tc>
          <w:tcPr>
            <w:tcW w:w="380" w:type="dxa"/>
            <w:vAlign w:val="bottom"/>
            <w:tcBorders>
              <w:bottom w:val="single" w:sz="8" w:color="auto"/>
            </w:tcBorders>
            <w:shd w:val="clear" w:color="auto" w:fill="CCEEFF"/>
          </w:tcPr>
          <w:p>
            <w:pPr>
              <w:jc w:val="right"/>
              <w:ind w:right="161"/>
              <w:spacing w:after="0"/>
              <w:rPr>
                <w:sz w:val="20"/>
                <w:szCs w:val="20"/>
                <w:color w:val="auto"/>
              </w:rPr>
            </w:pPr>
            <w:r>
              <w:rPr>
                <w:rFonts w:ascii="Arial" w:cs="Arial" w:eastAsia="Arial" w:hAnsi="Arial"/>
                <w:sz w:val="20"/>
                <w:szCs w:val="20"/>
                <w:color w:val="auto"/>
                <w:w w:val="8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34,391</w:t>
            </w:r>
          </w:p>
        </w:tc>
        <w:tc>
          <w:tcPr>
            <w:tcW w:w="8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jc w:val="right"/>
              <w:ind w:right="141"/>
              <w:spacing w:after="0"/>
              <w:rPr>
                <w:sz w:val="20"/>
                <w:szCs w:val="20"/>
                <w:color w:val="auto"/>
              </w:rPr>
            </w:pPr>
            <w:r>
              <w:rPr>
                <w:rFonts w:ascii="Arial" w:cs="Arial" w:eastAsia="Arial" w:hAnsi="Arial"/>
                <w:sz w:val="20"/>
                <w:szCs w:val="20"/>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(123,444)</w:t>
            </w:r>
          </w:p>
        </w:tc>
        <w:tc>
          <w:tcPr>
            <w:tcW w:w="8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jc w:val="right"/>
              <w:ind w:right="141"/>
              <w:spacing w:after="0"/>
              <w:rPr>
                <w:sz w:val="20"/>
                <w:szCs w:val="20"/>
                <w:color w:val="auto"/>
              </w:rPr>
            </w:pPr>
            <w:r>
              <w:rPr>
                <w:rFonts w:ascii="Arial" w:cs="Arial" w:eastAsia="Arial" w:hAnsi="Arial"/>
                <w:sz w:val="20"/>
                <w:szCs w:val="20"/>
                <w:color w:val="auto"/>
                <w:w w:val="89"/>
              </w:rPr>
              <w:t>$</w:t>
            </w:r>
          </w:p>
        </w:tc>
        <w:tc>
          <w:tcPr>
            <w:tcW w:w="13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20"/>
                <w:szCs w:val="20"/>
                <w:color w:val="auto"/>
              </w:rPr>
              <w:t>131,115</w:t>
            </w:r>
          </w:p>
        </w:tc>
        <w:tc>
          <w:tcPr>
            <w:tcW w:w="8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jc w:val="right"/>
              <w:ind w:right="141"/>
              <w:spacing w:after="0"/>
              <w:rPr>
                <w:sz w:val="20"/>
                <w:szCs w:val="20"/>
                <w:color w:val="auto"/>
              </w:rPr>
            </w:pPr>
            <w:r>
              <w:rPr>
                <w:rFonts w:ascii="Arial" w:cs="Arial" w:eastAsia="Arial" w:hAnsi="Arial"/>
                <w:sz w:val="20"/>
                <w:szCs w:val="20"/>
                <w:color w:val="auto"/>
                <w:w w:val="8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(158,591)</w:t>
            </w:r>
          </w:p>
        </w:tc>
      </w:tr>
      <w:tr>
        <w:trPr>
          <w:trHeight w:val="20"/>
        </w:trPr>
        <w:tc>
          <w:tcPr>
            <w:tcW w:w="43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bl>
    <w:p>
      <w:pPr>
        <w:ind w:left="220" w:hanging="212"/>
        <w:spacing w:after="0" w:line="236" w:lineRule="auto"/>
        <w:tabs>
          <w:tab w:leader="none" w:pos="220" w:val="left"/>
        </w:tabs>
        <w:numPr>
          <w:ilvl w:val="0"/>
          <w:numId w:val="4"/>
        </w:numPr>
        <w:rPr>
          <w:rFonts w:ascii="Arial" w:cs="Arial" w:eastAsia="Arial" w:hAnsi="Arial"/>
          <w:sz w:val="26"/>
          <w:szCs w:val="26"/>
          <w:color w:val="auto"/>
          <w:vertAlign w:val="superscript"/>
        </w:rPr>
      </w:pPr>
      <w:r>
        <w:rPr>
          <w:rFonts w:ascii="Arial" w:cs="Arial" w:eastAsia="Arial" w:hAnsi="Arial"/>
          <w:sz w:val="16"/>
          <w:szCs w:val="16"/>
          <w:color w:val="auto"/>
        </w:rPr>
        <w:t>There are no tax effects on foreign currency adjustments.</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78105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02" w:right="339" w:bottom="1440" w:gutter="0" w:footer="0" w:header="0"/>
        </w:sectPr>
      </w:pPr>
    </w:p>
    <w:bookmarkStart w:id="7" w:name="page8"/>
    <w:bookmarkEnd w:id="7"/>
    <w:p>
      <w:pPr>
        <w:ind w:left="4480"/>
        <w:spacing w:after="0"/>
        <w:rPr>
          <w:sz w:val="20"/>
          <w:szCs w:val="20"/>
          <w:color w:val="auto"/>
        </w:rPr>
      </w:pPr>
      <w:r>
        <w:rPr>
          <w:rFonts w:ascii="Arial" w:cs="Arial" w:eastAsia="Arial" w:hAnsi="Arial"/>
          <w:sz w:val="20"/>
          <w:szCs w:val="20"/>
          <w:b w:val="1"/>
          <w:bCs w:val="1"/>
          <w:color w:val="auto"/>
        </w:rPr>
        <w:t>Array Technologies, Inc.</w:t>
      </w:r>
    </w:p>
    <w:p>
      <w:pPr>
        <w:spacing w:after="0" w:line="31" w:lineRule="exact"/>
        <w:rPr>
          <w:sz w:val="20"/>
          <w:szCs w:val="20"/>
          <w:color w:val="auto"/>
        </w:rPr>
      </w:pPr>
    </w:p>
    <w:p>
      <w:pPr>
        <w:ind w:left="120"/>
        <w:spacing w:after="0"/>
        <w:rPr>
          <w:sz w:val="20"/>
          <w:szCs w:val="20"/>
          <w:color w:val="auto"/>
        </w:rPr>
      </w:pPr>
      <w:r>
        <w:rPr>
          <w:rFonts w:ascii="Arial" w:cs="Arial" w:eastAsia="Arial" w:hAnsi="Arial"/>
          <w:sz w:val="19"/>
          <w:szCs w:val="19"/>
          <w:b w:val="1"/>
          <w:bCs w:val="1"/>
          <w:color w:val="auto"/>
        </w:rPr>
        <w:t>Condensed Consolidated Statements of Changes in Redeemable Perpetual Preferred Stock and Stockholders’ Equity</w:t>
      </w:r>
    </w:p>
    <w:p>
      <w:pPr>
        <w:jc w:val="center"/>
        <w:spacing w:after="0"/>
        <w:rPr>
          <w:sz w:val="20"/>
          <w:szCs w:val="20"/>
          <w:color w:val="auto"/>
        </w:rPr>
      </w:pPr>
      <w:r>
        <w:rPr>
          <w:rFonts w:ascii="Arial" w:cs="Arial" w:eastAsia="Arial" w:hAnsi="Arial"/>
          <w:sz w:val="20"/>
          <w:szCs w:val="20"/>
          <w:b w:val="1"/>
          <w:bCs w:val="1"/>
          <w:i w:val="1"/>
          <w:iCs w:val="1"/>
          <w:color w:val="auto"/>
        </w:rPr>
        <w:t>(unaudited)</w:t>
      </w:r>
    </w:p>
    <w:p>
      <w:pPr>
        <w:jc w:val="center"/>
        <w:spacing w:after="0"/>
        <w:rPr>
          <w:sz w:val="20"/>
          <w:szCs w:val="20"/>
          <w:color w:val="auto"/>
        </w:rPr>
      </w:pPr>
      <w:r>
        <w:rPr>
          <w:rFonts w:ascii="Arial" w:cs="Arial" w:eastAsia="Arial" w:hAnsi="Arial"/>
          <w:sz w:val="20"/>
          <w:szCs w:val="20"/>
          <w:i w:val="1"/>
          <w:iCs w:val="1"/>
          <w:color w:val="auto"/>
        </w:rPr>
        <w:t>(in thousands)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Three Months Ended September 30, 2025</w:t>
      </w:r>
    </w:p>
    <w:p>
      <w:pPr>
        <w:spacing w:after="0" w:line="62" w:lineRule="exact"/>
        <w:rPr>
          <w:sz w:val="20"/>
          <w:szCs w:val="20"/>
          <w:color w:val="auto"/>
        </w:rPr>
      </w:pPr>
    </w:p>
    <w:tbl>
      <w:tblPr>
        <w:tblLayout w:type="fixed"/>
        <w:tblInd w:w="20" w:type="dxa"/>
        <w:tblCellMar>
          <w:top w:w="0" w:type="dxa"/>
          <w:left w:w="0" w:type="dxa"/>
          <w:bottom w:w="0" w:type="dxa"/>
          <w:right w:w="0" w:type="dxa"/>
        </w:tblCellMar>
      </w:tblPr>
      <w:tr>
        <w:trPr>
          <w:trHeight w:val="229"/>
        </w:trPr>
        <w:tc>
          <w:tcPr>
            <w:tcW w:w="1180" w:type="dxa"/>
            <w:vAlign w:val="bottom"/>
          </w:tcPr>
          <w:p>
            <w:pPr>
              <w:spacing w:after="0"/>
              <w:rPr>
                <w:sz w:val="19"/>
                <w:szCs w:val="19"/>
                <w:color w:val="auto"/>
              </w:rPr>
            </w:pPr>
          </w:p>
        </w:tc>
        <w:tc>
          <w:tcPr>
            <w:tcW w:w="1680" w:type="dxa"/>
            <w:vAlign w:val="bottom"/>
            <w:tcBorders>
              <w:right w:val="single" w:sz="8" w:color="auto"/>
            </w:tcBorders>
            <w:gridSpan w:val="4"/>
          </w:tcPr>
          <w:p>
            <w:pPr>
              <w:jc w:val="center"/>
              <w:ind w:right="120"/>
              <w:spacing w:after="0"/>
              <w:rPr>
                <w:sz w:val="20"/>
                <w:szCs w:val="20"/>
                <w:color w:val="auto"/>
              </w:rPr>
            </w:pPr>
            <w:r>
              <w:rPr>
                <w:rFonts w:ascii="Arial" w:cs="Arial" w:eastAsia="Arial" w:hAnsi="Arial"/>
                <w:sz w:val="18"/>
                <w:szCs w:val="18"/>
                <w:b w:val="1"/>
                <w:bCs w:val="1"/>
                <w:color w:val="auto"/>
                <w:w w:val="99"/>
              </w:rPr>
              <w:t>Temporary Equity</w:t>
            </w:r>
          </w:p>
        </w:tc>
        <w:tc>
          <w:tcPr>
            <w:tcW w:w="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0" w:type="dxa"/>
            <w:vAlign w:val="bottom"/>
            <w:gridSpan w:val="5"/>
          </w:tcPr>
          <w:p>
            <w:pPr>
              <w:spacing w:after="0"/>
              <w:rPr>
                <w:sz w:val="20"/>
                <w:szCs w:val="20"/>
                <w:color w:val="auto"/>
              </w:rPr>
            </w:pPr>
            <w:r>
              <w:rPr>
                <w:rFonts w:ascii="Arial" w:cs="Arial" w:eastAsia="Arial" w:hAnsi="Arial"/>
                <w:sz w:val="18"/>
                <w:szCs w:val="18"/>
                <w:b w:val="1"/>
                <w:bCs w:val="1"/>
                <w:color w:val="auto"/>
              </w:rPr>
              <w:t>Permanent Equity</w:t>
            </w:r>
          </w:p>
        </w:tc>
        <w:tc>
          <w:tcPr>
            <w:tcW w:w="1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1180" w:type="dxa"/>
            <w:vAlign w:val="bottom"/>
          </w:tcPr>
          <w:p>
            <w:pPr>
              <w:spacing w:after="0"/>
              <w:rPr>
                <w:sz w:val="14"/>
                <w:szCs w:val="14"/>
                <w:color w:val="auto"/>
              </w:rPr>
            </w:pPr>
          </w:p>
        </w:tc>
        <w:tc>
          <w:tcPr>
            <w:tcW w:w="1580" w:type="dxa"/>
            <w:vAlign w:val="bottom"/>
            <w:tcBorders>
              <w:top w:val="single" w:sz="8" w:color="auto"/>
            </w:tcBorders>
            <w:gridSpan w:val="3"/>
          </w:tcPr>
          <w:p>
            <w:pPr>
              <w:jc w:val="center"/>
              <w:spacing w:after="0" w:line="169" w:lineRule="exact"/>
              <w:rPr>
                <w:sz w:val="20"/>
                <w:szCs w:val="20"/>
                <w:color w:val="auto"/>
              </w:rPr>
            </w:pPr>
            <w:r>
              <w:rPr>
                <w:rFonts w:ascii="Arial" w:cs="Arial" w:eastAsia="Arial" w:hAnsi="Arial"/>
                <w:sz w:val="18"/>
                <w:szCs w:val="18"/>
                <w:b w:val="1"/>
                <w:bCs w:val="1"/>
                <w:color w:val="auto"/>
                <w:w w:val="99"/>
              </w:rPr>
              <w:t>Series A</w:t>
            </w:r>
          </w:p>
        </w:tc>
        <w:tc>
          <w:tcPr>
            <w:tcW w:w="10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46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74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52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86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98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28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1180" w:type="dxa"/>
            <w:vAlign w:val="bottom"/>
          </w:tcPr>
          <w:p>
            <w:pPr>
              <w:spacing w:after="0"/>
              <w:rPr>
                <w:sz w:val="15"/>
                <w:szCs w:val="15"/>
                <w:color w:val="auto"/>
              </w:rPr>
            </w:pPr>
          </w:p>
        </w:tc>
        <w:tc>
          <w:tcPr>
            <w:tcW w:w="1680" w:type="dxa"/>
            <w:vAlign w:val="bottom"/>
            <w:tcBorders>
              <w:right w:val="single" w:sz="8" w:color="auto"/>
            </w:tcBorders>
            <w:gridSpan w:val="4"/>
          </w:tcPr>
          <w:p>
            <w:pPr>
              <w:jc w:val="center"/>
              <w:ind w:right="100"/>
              <w:spacing w:after="0" w:line="176" w:lineRule="exact"/>
              <w:rPr>
                <w:sz w:val="20"/>
                <w:szCs w:val="20"/>
                <w:color w:val="auto"/>
              </w:rPr>
            </w:pPr>
            <w:r>
              <w:rPr>
                <w:rFonts w:ascii="Arial" w:cs="Arial" w:eastAsia="Arial" w:hAnsi="Arial"/>
                <w:sz w:val="18"/>
                <w:szCs w:val="18"/>
                <w:b w:val="1"/>
                <w:bCs w:val="1"/>
                <w:color w:val="auto"/>
                <w:w w:val="99"/>
              </w:rPr>
              <w:t>Redeemable</w:t>
            </w: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1180" w:type="dxa"/>
            <w:vAlign w:val="bottom"/>
          </w:tcPr>
          <w:p>
            <w:pPr>
              <w:spacing w:after="0"/>
              <w:rPr>
                <w:sz w:val="15"/>
                <w:szCs w:val="15"/>
                <w:color w:val="auto"/>
              </w:rPr>
            </w:pPr>
          </w:p>
        </w:tc>
        <w:tc>
          <w:tcPr>
            <w:tcW w:w="1680" w:type="dxa"/>
            <w:vAlign w:val="bottom"/>
            <w:tcBorders>
              <w:right w:val="single" w:sz="8" w:color="auto"/>
            </w:tcBorders>
            <w:gridSpan w:val="4"/>
          </w:tcPr>
          <w:p>
            <w:pPr>
              <w:jc w:val="center"/>
              <w:ind w:right="100"/>
              <w:spacing w:after="0" w:line="183" w:lineRule="exact"/>
              <w:rPr>
                <w:sz w:val="20"/>
                <w:szCs w:val="20"/>
                <w:color w:val="auto"/>
              </w:rPr>
            </w:pPr>
            <w:r>
              <w:rPr>
                <w:rFonts w:ascii="Arial" w:cs="Arial" w:eastAsia="Arial" w:hAnsi="Arial"/>
                <w:sz w:val="18"/>
                <w:szCs w:val="18"/>
                <w:b w:val="1"/>
                <w:bCs w:val="1"/>
                <w:color w:val="auto"/>
                <w:w w:val="99"/>
              </w:rPr>
              <w:t>Perpetual</w:t>
            </w:r>
          </w:p>
        </w:tc>
        <w:tc>
          <w:tcPr>
            <w:tcW w:w="80" w:type="dxa"/>
            <w:vAlign w:val="bottom"/>
          </w:tcPr>
          <w:p>
            <w:pPr>
              <w:spacing w:after="0"/>
              <w:rPr>
                <w:sz w:val="15"/>
                <w:szCs w:val="15"/>
                <w:color w:val="auto"/>
              </w:rPr>
            </w:pPr>
          </w:p>
        </w:tc>
        <w:tc>
          <w:tcPr>
            <w:tcW w:w="1580" w:type="dxa"/>
            <w:vAlign w:val="bottom"/>
            <w:gridSpan w:val="5"/>
            <w:vMerge w:val="restart"/>
          </w:tcPr>
          <w:p>
            <w:pPr>
              <w:ind w:left="80"/>
              <w:spacing w:after="0"/>
              <w:rPr>
                <w:sz w:val="20"/>
                <w:szCs w:val="20"/>
                <w:color w:val="auto"/>
              </w:rPr>
            </w:pPr>
            <w:r>
              <w:rPr>
                <w:rFonts w:ascii="Arial" w:cs="Arial" w:eastAsia="Arial" w:hAnsi="Arial"/>
                <w:sz w:val="18"/>
                <w:szCs w:val="18"/>
                <w:b w:val="1"/>
                <w:bCs w:val="1"/>
                <w:color w:val="auto"/>
              </w:rPr>
              <w:t>Preferred Stock</w:t>
            </w:r>
          </w:p>
        </w:tc>
        <w:tc>
          <w:tcPr>
            <w:tcW w:w="1660" w:type="dxa"/>
            <w:vAlign w:val="bottom"/>
            <w:gridSpan w:val="5"/>
            <w:vMerge w:val="restart"/>
          </w:tcPr>
          <w:p>
            <w:pPr>
              <w:ind w:left="120"/>
              <w:spacing w:after="0"/>
              <w:rPr>
                <w:sz w:val="20"/>
                <w:szCs w:val="20"/>
                <w:color w:val="auto"/>
              </w:rPr>
            </w:pPr>
            <w:r>
              <w:rPr>
                <w:rFonts w:ascii="Arial" w:cs="Arial" w:eastAsia="Arial" w:hAnsi="Arial"/>
                <w:sz w:val="18"/>
                <w:szCs w:val="18"/>
                <w:b w:val="1"/>
                <w:bCs w:val="1"/>
                <w:color w:val="auto"/>
              </w:rPr>
              <w:t>Common Stock</w:t>
            </w: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5"/>
        </w:trPr>
        <w:tc>
          <w:tcPr>
            <w:tcW w:w="1180" w:type="dxa"/>
            <w:vAlign w:val="bottom"/>
          </w:tcPr>
          <w:p>
            <w:pPr>
              <w:spacing w:after="0"/>
              <w:rPr>
                <w:sz w:val="20"/>
                <w:szCs w:val="20"/>
                <w:color w:val="auto"/>
              </w:rPr>
            </w:pPr>
          </w:p>
        </w:tc>
        <w:tc>
          <w:tcPr>
            <w:tcW w:w="1680" w:type="dxa"/>
            <w:vAlign w:val="bottom"/>
            <w:tcBorders>
              <w:right w:val="single" w:sz="8" w:color="auto"/>
            </w:tcBorders>
            <w:gridSpan w:val="4"/>
          </w:tcPr>
          <w:p>
            <w:pPr>
              <w:jc w:val="center"/>
              <w:ind w:right="100"/>
              <w:spacing w:after="0"/>
              <w:rPr>
                <w:sz w:val="20"/>
                <w:szCs w:val="20"/>
                <w:color w:val="auto"/>
              </w:rPr>
            </w:pPr>
            <w:r>
              <w:rPr>
                <w:rFonts w:ascii="Arial" w:cs="Arial" w:eastAsia="Arial" w:hAnsi="Arial"/>
                <w:sz w:val="18"/>
                <w:szCs w:val="18"/>
                <w:b w:val="1"/>
                <w:bCs w:val="1"/>
                <w:color w:val="auto"/>
                <w:w w:val="99"/>
              </w:rPr>
              <w:t>Preferred Stock</w:t>
            </w:r>
          </w:p>
        </w:tc>
        <w:tc>
          <w:tcPr>
            <w:tcW w:w="80" w:type="dxa"/>
            <w:vAlign w:val="bottom"/>
          </w:tcPr>
          <w:p>
            <w:pPr>
              <w:spacing w:after="0"/>
              <w:rPr>
                <w:sz w:val="20"/>
                <w:szCs w:val="20"/>
                <w:color w:val="auto"/>
              </w:rPr>
            </w:pPr>
          </w:p>
        </w:tc>
        <w:tc>
          <w:tcPr>
            <w:tcW w:w="1580" w:type="dxa"/>
            <w:vAlign w:val="bottom"/>
            <w:gridSpan w:val="5"/>
            <w:vMerge w:val="continue"/>
          </w:tcPr>
          <w:p>
            <w:pPr>
              <w:spacing w:after="0"/>
              <w:rPr>
                <w:sz w:val="20"/>
                <w:szCs w:val="20"/>
                <w:color w:val="auto"/>
              </w:rPr>
            </w:pPr>
          </w:p>
        </w:tc>
        <w:tc>
          <w:tcPr>
            <w:tcW w:w="1660" w:type="dxa"/>
            <w:vAlign w:val="bottom"/>
            <w:gridSpan w:val="5"/>
            <w:vMerge w:val="continue"/>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gridSpan w:val="2"/>
            <w:vMerge w:val="restart"/>
          </w:tcPr>
          <w:p>
            <w:pPr>
              <w:jc w:val="center"/>
              <w:ind w:right="200"/>
              <w:spacing w:after="0"/>
              <w:rPr>
                <w:sz w:val="20"/>
                <w:szCs w:val="20"/>
                <w:color w:val="auto"/>
              </w:rPr>
            </w:pPr>
            <w:r>
              <w:rPr>
                <w:rFonts w:ascii="Arial" w:cs="Arial" w:eastAsia="Arial" w:hAnsi="Arial"/>
                <w:sz w:val="18"/>
                <w:szCs w:val="18"/>
                <w:b w:val="1"/>
                <w:bCs w:val="1"/>
                <w:color w:val="auto"/>
                <w:w w:val="99"/>
              </w:rPr>
              <w:t>Accumulated</w:t>
            </w:r>
          </w:p>
        </w:tc>
        <w:tc>
          <w:tcPr>
            <w:tcW w:w="2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6"/>
        </w:trPr>
        <w:tc>
          <w:tcPr>
            <w:tcW w:w="1180" w:type="dxa"/>
            <w:vAlign w:val="bottom"/>
          </w:tcPr>
          <w:p>
            <w:pPr>
              <w:spacing w:after="0"/>
              <w:rPr>
                <w:sz w:val="13"/>
                <w:szCs w:val="13"/>
                <w:color w:val="auto"/>
              </w:rPr>
            </w:pPr>
          </w:p>
        </w:tc>
        <w:tc>
          <w:tcPr>
            <w:tcW w:w="64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spacing w:after="0"/>
              <w:rPr>
                <w:sz w:val="13"/>
                <w:szCs w:val="13"/>
                <w:color w:val="auto"/>
              </w:rPr>
            </w:pPr>
          </w:p>
        </w:tc>
        <w:tc>
          <w:tcPr>
            <w:tcW w:w="100" w:type="dxa"/>
            <w:vAlign w:val="bottom"/>
            <w:tcBorders>
              <w:right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46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52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gridSpan w:val="3"/>
            <w:vMerge w:val="restart"/>
          </w:tcPr>
          <w:p>
            <w:pPr>
              <w:jc w:val="center"/>
              <w:ind w:right="100"/>
              <w:spacing w:after="0"/>
              <w:rPr>
                <w:sz w:val="20"/>
                <w:szCs w:val="20"/>
                <w:color w:val="auto"/>
              </w:rPr>
            </w:pPr>
            <w:r>
              <w:rPr>
                <w:rFonts w:ascii="Arial" w:cs="Arial" w:eastAsia="Arial" w:hAnsi="Arial"/>
                <w:sz w:val="18"/>
                <w:szCs w:val="18"/>
                <w:b w:val="1"/>
                <w:bCs w:val="1"/>
                <w:color w:val="auto"/>
                <w:w w:val="99"/>
              </w:rPr>
              <w:t>Additional</w:t>
            </w:r>
          </w:p>
        </w:tc>
        <w:tc>
          <w:tcPr>
            <w:tcW w:w="2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60" w:type="dxa"/>
            <w:vAlign w:val="bottom"/>
            <w:gridSpan w:val="2"/>
            <w:vMerge w:val="continue"/>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vMerge w:val="restart"/>
          </w:tcPr>
          <w:p>
            <w:pPr>
              <w:jc w:val="right"/>
              <w:ind w:right="33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175"/>
        </w:trPr>
        <w:tc>
          <w:tcPr>
            <w:tcW w:w="11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60" w:type="dxa"/>
            <w:vAlign w:val="bottom"/>
            <w:gridSpan w:val="3"/>
            <w:vMerge w:val="continue"/>
          </w:tcPr>
          <w:p>
            <w:pPr>
              <w:spacing w:after="0"/>
              <w:rPr>
                <w:sz w:val="15"/>
                <w:szCs w:val="15"/>
                <w:color w:val="auto"/>
              </w:rPr>
            </w:pPr>
          </w:p>
        </w:tc>
        <w:tc>
          <w:tcPr>
            <w:tcW w:w="1260" w:type="dxa"/>
            <w:vAlign w:val="bottom"/>
            <w:gridSpan w:val="3"/>
            <w:vMerge w:val="restart"/>
          </w:tcPr>
          <w:p>
            <w:pPr>
              <w:ind w:left="20"/>
              <w:spacing w:after="0"/>
              <w:rPr>
                <w:sz w:val="20"/>
                <w:szCs w:val="20"/>
                <w:color w:val="auto"/>
              </w:rPr>
            </w:pPr>
            <w:r>
              <w:rPr>
                <w:rFonts w:ascii="Arial" w:cs="Arial" w:eastAsia="Arial" w:hAnsi="Arial"/>
                <w:sz w:val="18"/>
                <w:szCs w:val="18"/>
                <w:b w:val="1"/>
                <w:bCs w:val="1"/>
                <w:color w:val="auto"/>
              </w:rPr>
              <w:t>Accumulated</w:t>
            </w:r>
          </w:p>
        </w:tc>
        <w:tc>
          <w:tcPr>
            <w:tcW w:w="120" w:type="dxa"/>
            <w:vAlign w:val="bottom"/>
          </w:tcPr>
          <w:p>
            <w:pPr>
              <w:spacing w:after="0"/>
              <w:rPr>
                <w:sz w:val="15"/>
                <w:szCs w:val="15"/>
                <w:color w:val="auto"/>
              </w:rPr>
            </w:pPr>
          </w:p>
        </w:tc>
        <w:tc>
          <w:tcPr>
            <w:tcW w:w="1360" w:type="dxa"/>
            <w:vAlign w:val="bottom"/>
            <w:gridSpan w:val="2"/>
          </w:tcPr>
          <w:p>
            <w:pPr>
              <w:jc w:val="center"/>
              <w:ind w:right="200"/>
              <w:spacing w:after="0" w:line="176" w:lineRule="exact"/>
              <w:rPr>
                <w:sz w:val="20"/>
                <w:szCs w:val="20"/>
                <w:color w:val="auto"/>
              </w:rPr>
            </w:pPr>
            <w:r>
              <w:rPr>
                <w:rFonts w:ascii="Arial" w:cs="Arial" w:eastAsia="Arial" w:hAnsi="Arial"/>
                <w:sz w:val="18"/>
                <w:szCs w:val="18"/>
                <w:b w:val="1"/>
                <w:bCs w:val="1"/>
                <w:color w:val="auto"/>
                <w:w w:val="99"/>
              </w:rPr>
              <w:t>Other</w:t>
            </w:r>
          </w:p>
        </w:tc>
        <w:tc>
          <w:tcPr>
            <w:tcW w:w="220" w:type="dxa"/>
            <w:vAlign w:val="bottom"/>
          </w:tcPr>
          <w:p>
            <w:pPr>
              <w:spacing w:after="0"/>
              <w:rPr>
                <w:sz w:val="15"/>
                <w:szCs w:val="15"/>
                <w:color w:val="auto"/>
              </w:rPr>
            </w:pPr>
          </w:p>
        </w:tc>
        <w:tc>
          <w:tcPr>
            <w:tcW w:w="10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180" w:type="dxa"/>
            <w:vAlign w:val="bottom"/>
          </w:tcPr>
          <w:p>
            <w:pPr>
              <w:spacing w:after="0"/>
              <w:rPr>
                <w:sz w:val="15"/>
                <w:szCs w:val="15"/>
                <w:color w:val="auto"/>
              </w:rPr>
            </w:pPr>
          </w:p>
        </w:tc>
        <w:tc>
          <w:tcPr>
            <w:tcW w:w="72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rPr>
              <w:t>Shares</w:t>
            </w:r>
          </w:p>
        </w:tc>
        <w:tc>
          <w:tcPr>
            <w:tcW w:w="960" w:type="dxa"/>
            <w:vAlign w:val="bottom"/>
            <w:tcBorders>
              <w:right w:val="single" w:sz="8" w:color="auto"/>
            </w:tcBorders>
            <w:gridSpan w:val="2"/>
            <w:vMerge w:val="restart"/>
          </w:tcPr>
          <w:p>
            <w:pPr>
              <w:ind w:left="100"/>
              <w:spacing w:after="0"/>
              <w:rPr>
                <w:sz w:val="20"/>
                <w:szCs w:val="20"/>
                <w:color w:val="auto"/>
              </w:rPr>
            </w:pPr>
            <w:r>
              <w:rPr>
                <w:rFonts w:ascii="Arial" w:cs="Arial" w:eastAsia="Arial" w:hAnsi="Arial"/>
                <w:sz w:val="18"/>
                <w:szCs w:val="18"/>
                <w:b w:val="1"/>
                <w:bCs w:val="1"/>
                <w:color w:val="auto"/>
              </w:rPr>
              <w:t>Amount</w:t>
            </w:r>
          </w:p>
        </w:tc>
        <w:tc>
          <w:tcPr>
            <w:tcW w:w="80" w:type="dxa"/>
            <w:vAlign w:val="bottom"/>
          </w:tcPr>
          <w:p>
            <w:pPr>
              <w:spacing w:after="0"/>
              <w:rPr>
                <w:sz w:val="15"/>
                <w:szCs w:val="15"/>
                <w:color w:val="auto"/>
              </w:rPr>
            </w:pPr>
          </w:p>
        </w:tc>
        <w:tc>
          <w:tcPr>
            <w:tcW w:w="74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rPr>
              <w:t>Shares</w:t>
            </w:r>
          </w:p>
        </w:tc>
        <w:tc>
          <w:tcPr>
            <w:tcW w:w="840" w:type="dxa"/>
            <w:vAlign w:val="bottom"/>
            <w:gridSpan w:val="3"/>
            <w:vMerge w:val="restart"/>
          </w:tcPr>
          <w:p>
            <w:pPr>
              <w:ind w:left="40"/>
              <w:spacing w:after="0"/>
              <w:rPr>
                <w:sz w:val="20"/>
                <w:szCs w:val="20"/>
                <w:color w:val="auto"/>
              </w:rPr>
            </w:pPr>
            <w:r>
              <w:rPr>
                <w:rFonts w:ascii="Arial" w:cs="Arial" w:eastAsia="Arial" w:hAnsi="Arial"/>
                <w:sz w:val="18"/>
                <w:szCs w:val="18"/>
                <w:b w:val="1"/>
                <w:bCs w:val="1"/>
                <w:color w:val="auto"/>
              </w:rPr>
              <w:t>Amount</w:t>
            </w:r>
          </w:p>
        </w:tc>
        <w:tc>
          <w:tcPr>
            <w:tcW w:w="820" w:type="dxa"/>
            <w:vAlign w:val="bottom"/>
            <w:gridSpan w:val="2"/>
            <w:vMerge w:val="restart"/>
          </w:tcPr>
          <w:p>
            <w:pPr>
              <w:ind w:left="60"/>
              <w:spacing w:after="0"/>
              <w:rPr>
                <w:sz w:val="20"/>
                <w:szCs w:val="20"/>
                <w:color w:val="auto"/>
              </w:rPr>
            </w:pPr>
            <w:r>
              <w:rPr>
                <w:rFonts w:ascii="Arial" w:cs="Arial" w:eastAsia="Arial" w:hAnsi="Arial"/>
                <w:sz w:val="18"/>
                <w:szCs w:val="18"/>
                <w:b w:val="1"/>
                <w:bCs w:val="1"/>
                <w:color w:val="auto"/>
              </w:rPr>
              <w:t>Shares</w:t>
            </w:r>
          </w:p>
        </w:tc>
        <w:tc>
          <w:tcPr>
            <w:tcW w:w="840" w:type="dxa"/>
            <w:vAlign w:val="bottom"/>
            <w:gridSpan w:val="3"/>
            <w:vMerge w:val="restart"/>
          </w:tcPr>
          <w:p>
            <w:pPr>
              <w:ind w:left="40"/>
              <w:spacing w:after="0"/>
              <w:rPr>
                <w:sz w:val="20"/>
                <w:szCs w:val="20"/>
                <w:color w:val="auto"/>
              </w:rPr>
            </w:pPr>
            <w:r>
              <w:rPr>
                <w:rFonts w:ascii="Arial" w:cs="Arial" w:eastAsia="Arial" w:hAnsi="Arial"/>
                <w:sz w:val="18"/>
                <w:szCs w:val="18"/>
                <w:b w:val="1"/>
                <w:bCs w:val="1"/>
                <w:color w:val="auto"/>
              </w:rPr>
              <w:t>Amount</w:t>
            </w:r>
          </w:p>
        </w:tc>
        <w:tc>
          <w:tcPr>
            <w:tcW w:w="120" w:type="dxa"/>
            <w:vAlign w:val="bottom"/>
          </w:tcPr>
          <w:p>
            <w:pPr>
              <w:spacing w:after="0"/>
              <w:rPr>
                <w:sz w:val="15"/>
                <w:szCs w:val="15"/>
                <w:color w:val="auto"/>
              </w:rPr>
            </w:pPr>
          </w:p>
        </w:tc>
        <w:tc>
          <w:tcPr>
            <w:tcW w:w="940" w:type="dxa"/>
            <w:vAlign w:val="bottom"/>
            <w:gridSpan w:val="2"/>
          </w:tcPr>
          <w:p>
            <w:pPr>
              <w:jc w:val="center"/>
              <w:ind w:right="220"/>
              <w:spacing w:after="0" w:line="176" w:lineRule="exact"/>
              <w:rPr>
                <w:sz w:val="20"/>
                <w:szCs w:val="20"/>
                <w:color w:val="auto"/>
              </w:rPr>
            </w:pPr>
            <w:r>
              <w:rPr>
                <w:rFonts w:ascii="Arial" w:cs="Arial" w:eastAsia="Arial" w:hAnsi="Arial"/>
                <w:sz w:val="18"/>
                <w:szCs w:val="18"/>
                <w:b w:val="1"/>
                <w:bCs w:val="1"/>
                <w:color w:val="auto"/>
                <w:w w:val="99"/>
              </w:rPr>
              <w:t>Paid-In</w:t>
            </w:r>
          </w:p>
        </w:tc>
        <w:tc>
          <w:tcPr>
            <w:tcW w:w="1260" w:type="dxa"/>
            <w:vAlign w:val="bottom"/>
            <w:gridSpan w:val="3"/>
            <w:vMerge w:val="continue"/>
          </w:tcPr>
          <w:p>
            <w:pPr>
              <w:spacing w:after="0"/>
              <w:rPr>
                <w:sz w:val="15"/>
                <w:szCs w:val="15"/>
                <w:color w:val="auto"/>
              </w:rPr>
            </w:pPr>
          </w:p>
        </w:tc>
        <w:tc>
          <w:tcPr>
            <w:tcW w:w="1480" w:type="dxa"/>
            <w:vAlign w:val="bottom"/>
            <w:gridSpan w:val="3"/>
          </w:tcPr>
          <w:p>
            <w:pPr>
              <w:jc w:val="center"/>
              <w:ind w:right="100"/>
              <w:spacing w:after="0" w:line="176" w:lineRule="exact"/>
              <w:rPr>
                <w:sz w:val="20"/>
                <w:szCs w:val="20"/>
                <w:color w:val="auto"/>
              </w:rPr>
            </w:pPr>
            <w:r>
              <w:rPr>
                <w:rFonts w:ascii="Arial" w:cs="Arial" w:eastAsia="Arial" w:hAnsi="Arial"/>
                <w:sz w:val="18"/>
                <w:szCs w:val="18"/>
                <w:b w:val="1"/>
                <w:bCs w:val="1"/>
                <w:color w:val="auto"/>
                <w:w w:val="99"/>
              </w:rPr>
              <w:t>Comprehensive</w:t>
            </w:r>
          </w:p>
        </w:tc>
        <w:tc>
          <w:tcPr>
            <w:tcW w:w="1240" w:type="dxa"/>
            <w:vAlign w:val="bottom"/>
            <w:gridSpan w:val="2"/>
          </w:tcPr>
          <w:p>
            <w:pPr>
              <w:ind w:left="20"/>
              <w:spacing w:after="0" w:line="176" w:lineRule="exact"/>
              <w:rPr>
                <w:sz w:val="20"/>
                <w:szCs w:val="20"/>
                <w:color w:val="auto"/>
              </w:rPr>
            </w:pPr>
            <w:r>
              <w:rPr>
                <w:rFonts w:ascii="Arial" w:cs="Arial" w:eastAsia="Arial" w:hAnsi="Arial"/>
                <w:sz w:val="18"/>
                <w:szCs w:val="18"/>
                <w:b w:val="1"/>
                <w:bCs w:val="1"/>
                <w:color w:val="auto"/>
              </w:rPr>
              <w:t>Stockholders’</w:t>
            </w:r>
          </w:p>
        </w:tc>
        <w:tc>
          <w:tcPr>
            <w:tcW w:w="0" w:type="dxa"/>
            <w:vAlign w:val="bottom"/>
          </w:tcPr>
          <w:p>
            <w:pPr>
              <w:spacing w:after="0"/>
              <w:rPr>
                <w:sz w:val="1"/>
                <w:szCs w:val="1"/>
                <w:color w:val="auto"/>
              </w:rPr>
            </w:pPr>
          </w:p>
        </w:tc>
      </w:tr>
      <w:tr>
        <w:trPr>
          <w:trHeight w:val="243"/>
        </w:trPr>
        <w:tc>
          <w:tcPr>
            <w:tcW w:w="1180" w:type="dxa"/>
            <w:vAlign w:val="bottom"/>
          </w:tcPr>
          <w:p>
            <w:pPr>
              <w:spacing w:after="0"/>
              <w:rPr>
                <w:sz w:val="21"/>
                <w:szCs w:val="21"/>
                <w:color w:val="auto"/>
              </w:rPr>
            </w:pPr>
          </w:p>
        </w:tc>
        <w:tc>
          <w:tcPr>
            <w:tcW w:w="720" w:type="dxa"/>
            <w:vAlign w:val="bottom"/>
            <w:gridSpan w:val="2"/>
            <w:vMerge w:val="continue"/>
          </w:tcPr>
          <w:p>
            <w:pPr>
              <w:spacing w:after="0"/>
              <w:rPr>
                <w:sz w:val="21"/>
                <w:szCs w:val="21"/>
                <w:color w:val="auto"/>
              </w:rPr>
            </w:pPr>
          </w:p>
        </w:tc>
        <w:tc>
          <w:tcPr>
            <w:tcW w:w="960" w:type="dxa"/>
            <w:vAlign w:val="bottom"/>
            <w:tcBorders>
              <w:right w:val="single" w:sz="8" w:color="auto"/>
            </w:tcBorders>
            <w:gridSpan w:val="2"/>
            <w:vMerge w:val="continue"/>
          </w:tcPr>
          <w:p>
            <w:pPr>
              <w:spacing w:after="0"/>
              <w:rPr>
                <w:sz w:val="21"/>
                <w:szCs w:val="21"/>
                <w:color w:val="auto"/>
              </w:rPr>
            </w:pPr>
          </w:p>
        </w:tc>
        <w:tc>
          <w:tcPr>
            <w:tcW w:w="80" w:type="dxa"/>
            <w:vAlign w:val="bottom"/>
          </w:tcPr>
          <w:p>
            <w:pPr>
              <w:spacing w:after="0"/>
              <w:rPr>
                <w:sz w:val="21"/>
                <w:szCs w:val="21"/>
                <w:color w:val="auto"/>
              </w:rPr>
            </w:pPr>
          </w:p>
        </w:tc>
        <w:tc>
          <w:tcPr>
            <w:tcW w:w="740" w:type="dxa"/>
            <w:vAlign w:val="bottom"/>
            <w:gridSpan w:val="2"/>
            <w:vMerge w:val="continue"/>
          </w:tcPr>
          <w:p>
            <w:pPr>
              <w:spacing w:after="0"/>
              <w:rPr>
                <w:sz w:val="21"/>
                <w:szCs w:val="21"/>
                <w:color w:val="auto"/>
              </w:rPr>
            </w:pPr>
          </w:p>
        </w:tc>
        <w:tc>
          <w:tcPr>
            <w:tcW w:w="840" w:type="dxa"/>
            <w:vAlign w:val="bottom"/>
            <w:gridSpan w:val="3"/>
            <w:vMerge w:val="continue"/>
          </w:tcPr>
          <w:p>
            <w:pPr>
              <w:spacing w:after="0"/>
              <w:rPr>
                <w:sz w:val="21"/>
                <w:szCs w:val="21"/>
                <w:color w:val="auto"/>
              </w:rPr>
            </w:pPr>
          </w:p>
        </w:tc>
        <w:tc>
          <w:tcPr>
            <w:tcW w:w="820" w:type="dxa"/>
            <w:vAlign w:val="bottom"/>
            <w:gridSpan w:val="2"/>
            <w:vMerge w:val="continue"/>
          </w:tcPr>
          <w:p>
            <w:pPr>
              <w:spacing w:after="0"/>
              <w:rPr>
                <w:sz w:val="21"/>
                <w:szCs w:val="21"/>
                <w:color w:val="auto"/>
              </w:rPr>
            </w:pPr>
          </w:p>
        </w:tc>
        <w:tc>
          <w:tcPr>
            <w:tcW w:w="840" w:type="dxa"/>
            <w:vAlign w:val="bottom"/>
            <w:gridSpan w:val="3"/>
            <w:vMerge w:val="continue"/>
          </w:tcPr>
          <w:p>
            <w:pPr>
              <w:spacing w:after="0"/>
              <w:rPr>
                <w:sz w:val="21"/>
                <w:szCs w:val="21"/>
                <w:color w:val="auto"/>
              </w:rPr>
            </w:pPr>
          </w:p>
        </w:tc>
        <w:tc>
          <w:tcPr>
            <w:tcW w:w="120" w:type="dxa"/>
            <w:vAlign w:val="bottom"/>
          </w:tcPr>
          <w:p>
            <w:pPr>
              <w:spacing w:after="0"/>
              <w:rPr>
                <w:sz w:val="21"/>
                <w:szCs w:val="21"/>
                <w:color w:val="auto"/>
              </w:rPr>
            </w:pPr>
          </w:p>
        </w:tc>
        <w:tc>
          <w:tcPr>
            <w:tcW w:w="9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9"/>
              </w:rPr>
              <w:t>Capital</w:t>
            </w:r>
          </w:p>
        </w:tc>
        <w:tc>
          <w:tcPr>
            <w:tcW w:w="200" w:type="dxa"/>
            <w:vAlign w:val="bottom"/>
          </w:tcPr>
          <w:p>
            <w:pPr>
              <w:spacing w:after="0"/>
              <w:rPr>
                <w:sz w:val="21"/>
                <w:szCs w:val="21"/>
                <w:color w:val="auto"/>
              </w:rPr>
            </w:pPr>
          </w:p>
        </w:tc>
        <w:tc>
          <w:tcPr>
            <w:tcW w:w="1060" w:type="dxa"/>
            <w:vAlign w:val="bottom"/>
            <w:gridSpan w:val="2"/>
          </w:tcPr>
          <w:p>
            <w:pPr>
              <w:ind w:left="100"/>
              <w:spacing w:after="0"/>
              <w:rPr>
                <w:sz w:val="20"/>
                <w:szCs w:val="20"/>
                <w:color w:val="auto"/>
              </w:rPr>
            </w:pPr>
            <w:r>
              <w:rPr>
                <w:rFonts w:ascii="Arial" w:cs="Arial" w:eastAsia="Arial" w:hAnsi="Arial"/>
                <w:sz w:val="18"/>
                <w:szCs w:val="18"/>
                <w:b w:val="1"/>
                <w:bCs w:val="1"/>
                <w:color w:val="auto"/>
              </w:rPr>
              <w:t>Deficit</w:t>
            </w:r>
          </w:p>
        </w:tc>
        <w:tc>
          <w:tcPr>
            <w:tcW w:w="120" w:type="dxa"/>
            <w:vAlign w:val="bottom"/>
          </w:tcPr>
          <w:p>
            <w:pPr>
              <w:spacing w:after="0"/>
              <w:rPr>
                <w:sz w:val="21"/>
                <w:szCs w:val="21"/>
                <w:color w:val="auto"/>
              </w:rPr>
            </w:pPr>
          </w:p>
        </w:tc>
        <w:tc>
          <w:tcPr>
            <w:tcW w:w="13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9"/>
              </w:rPr>
              <w:t>Loss</w:t>
            </w:r>
          </w:p>
        </w:tc>
        <w:tc>
          <w:tcPr>
            <w:tcW w:w="220" w:type="dxa"/>
            <w:vAlign w:val="bottom"/>
          </w:tcPr>
          <w:p>
            <w:pPr>
              <w:spacing w:after="0"/>
              <w:rPr>
                <w:sz w:val="21"/>
                <w:szCs w:val="21"/>
                <w:color w:val="auto"/>
              </w:rPr>
            </w:pPr>
          </w:p>
        </w:tc>
        <w:tc>
          <w:tcPr>
            <w:tcW w:w="1020" w:type="dxa"/>
            <w:vAlign w:val="bottom"/>
          </w:tcPr>
          <w:p>
            <w:pPr>
              <w:jc w:val="right"/>
              <w:ind w:right="270"/>
              <w:spacing w:after="0"/>
              <w:rPr>
                <w:sz w:val="20"/>
                <w:szCs w:val="20"/>
                <w:color w:val="auto"/>
              </w:rPr>
            </w:pPr>
            <w:r>
              <w:rPr>
                <w:rFonts w:ascii="Arial" w:cs="Arial" w:eastAsia="Arial" w:hAnsi="Arial"/>
                <w:sz w:val="18"/>
                <w:szCs w:val="18"/>
                <w:b w:val="1"/>
                <w:bCs w:val="1"/>
                <w:color w:val="auto"/>
              </w:rPr>
              <w:t>Equity</w:t>
            </w:r>
          </w:p>
        </w:tc>
        <w:tc>
          <w:tcPr>
            <w:tcW w:w="0" w:type="dxa"/>
            <w:vAlign w:val="bottom"/>
          </w:tcPr>
          <w:p>
            <w:pPr>
              <w:spacing w:after="0"/>
              <w:rPr>
                <w:sz w:val="1"/>
                <w:szCs w:val="1"/>
                <w:color w:val="auto"/>
              </w:rPr>
            </w:pPr>
          </w:p>
        </w:tc>
      </w:tr>
      <w:tr>
        <w:trPr>
          <w:trHeight w:val="156"/>
        </w:trPr>
        <w:tc>
          <w:tcPr>
            <w:tcW w:w="1180" w:type="dxa"/>
            <w:vAlign w:val="bottom"/>
            <w:tcBorders>
              <w:top w:val="single" w:sz="8" w:color="CCEEFF"/>
            </w:tcBorders>
            <w:shd w:val="clear" w:color="auto" w:fill="CCEEFF"/>
          </w:tcPr>
          <w:p>
            <w:pPr>
              <w:ind w:left="20"/>
              <w:spacing w:after="0" w:line="156" w:lineRule="exact"/>
              <w:rPr>
                <w:sz w:val="20"/>
                <w:szCs w:val="20"/>
                <w:color w:val="auto"/>
              </w:rPr>
            </w:pPr>
            <w:r>
              <w:rPr>
                <w:rFonts w:ascii="Arial" w:cs="Arial" w:eastAsia="Arial" w:hAnsi="Arial"/>
                <w:sz w:val="18"/>
                <w:szCs w:val="18"/>
                <w:b w:val="1"/>
                <w:bCs w:val="1"/>
                <w:color w:val="auto"/>
              </w:rPr>
              <w:t>Balance at</w:t>
            </w:r>
          </w:p>
        </w:tc>
        <w:tc>
          <w:tcPr>
            <w:tcW w:w="64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86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right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66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300" w:type="dxa"/>
            <w:vAlign w:val="bottom"/>
            <w:tcBorders>
              <w:top w:val="single" w:sz="8" w:color="auto"/>
            </w:tcBorders>
            <w:shd w:val="clear" w:color="auto" w:fill="CCEEFF"/>
          </w:tcPr>
          <w:p>
            <w:pPr>
              <w:spacing w:after="0"/>
              <w:rPr>
                <w:sz w:val="13"/>
                <w:szCs w:val="13"/>
                <w:color w:val="auto"/>
              </w:rPr>
            </w:pPr>
          </w:p>
        </w:tc>
        <w:tc>
          <w:tcPr>
            <w:tcW w:w="46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74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40" w:type="dxa"/>
            <w:vAlign w:val="bottom"/>
            <w:tcBorders>
              <w:top w:val="single" w:sz="8" w:color="auto"/>
            </w:tcBorders>
            <w:shd w:val="clear" w:color="auto" w:fill="CCEEFF"/>
          </w:tcPr>
          <w:p>
            <w:pPr>
              <w:spacing w:after="0"/>
              <w:rPr>
                <w:sz w:val="13"/>
                <w:szCs w:val="13"/>
                <w:color w:val="auto"/>
              </w:rPr>
            </w:pPr>
          </w:p>
        </w:tc>
        <w:tc>
          <w:tcPr>
            <w:tcW w:w="52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86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spacing w:after="0"/>
              <w:rPr>
                <w:sz w:val="13"/>
                <w:szCs w:val="13"/>
                <w:color w:val="auto"/>
              </w:rPr>
            </w:pPr>
          </w:p>
        </w:tc>
        <w:tc>
          <w:tcPr>
            <w:tcW w:w="98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128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spacing w:after="0"/>
              <w:rPr>
                <w:sz w:val="13"/>
                <w:szCs w:val="13"/>
                <w:color w:val="auto"/>
              </w:rPr>
            </w:pPr>
          </w:p>
        </w:tc>
        <w:tc>
          <w:tcPr>
            <w:tcW w:w="102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118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b w:val="1"/>
                <w:bCs w:val="1"/>
                <w:color w:val="auto"/>
              </w:rPr>
              <w:t>June 30,</w:t>
            </w: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476</w:t>
            </w:r>
          </w:p>
        </w:tc>
        <w:tc>
          <w:tcPr>
            <w:tcW w:w="80" w:type="dxa"/>
            <w:vAlign w:val="bottom"/>
            <w:shd w:val="clear" w:color="auto" w:fill="CCEEFF"/>
          </w:tcPr>
          <w:p>
            <w:pPr>
              <w:spacing w:after="0"/>
              <w:rPr>
                <w:sz w:val="15"/>
                <w:szCs w:val="15"/>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$436,162</w:t>
            </w:r>
          </w:p>
        </w:tc>
        <w:tc>
          <w:tcPr>
            <w:tcW w:w="100" w:type="dxa"/>
            <w:vAlign w:val="bottom"/>
            <w:tcBorders>
              <w:right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40" w:type="dxa"/>
            <w:vAlign w:val="bottom"/>
            <w:gridSpan w:val="2"/>
            <w:vMerge w:val="restart"/>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300" w:type="dxa"/>
            <w:vAlign w:val="bottom"/>
            <w:vMerge w:val="restart"/>
            <w:shd w:val="clear" w:color="auto" w:fill="CCEEFF"/>
          </w:tcPr>
          <w:p>
            <w:pPr>
              <w:ind w:left="20"/>
              <w:spacing w:after="0"/>
              <w:rPr>
                <w:sz w:val="20"/>
                <w:szCs w:val="20"/>
                <w:color w:val="auto"/>
              </w:rPr>
            </w:pPr>
            <w:r>
              <w:rPr>
                <w:rFonts w:ascii="Arial" w:cs="Arial" w:eastAsia="Arial" w:hAnsi="Arial"/>
                <w:sz w:val="18"/>
                <w:szCs w:val="18"/>
                <w:color w:val="auto"/>
              </w:rPr>
              <w:t>$</w:t>
            </w:r>
          </w:p>
        </w:tc>
        <w:tc>
          <w:tcPr>
            <w:tcW w:w="540" w:type="dxa"/>
            <w:vAlign w:val="bottom"/>
            <w:gridSpan w:val="2"/>
            <w:vMerge w:val="restart"/>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8"/>
              </w:rPr>
              <w:t>152,661</w:t>
            </w:r>
          </w:p>
        </w:tc>
        <w:tc>
          <w:tcPr>
            <w:tcW w:w="80" w:type="dxa"/>
            <w:vAlign w:val="bottom"/>
            <w:shd w:val="clear" w:color="auto" w:fill="CCEEFF"/>
          </w:tcPr>
          <w:p>
            <w:pPr>
              <w:spacing w:after="0"/>
              <w:rPr>
                <w:sz w:val="15"/>
                <w:szCs w:val="15"/>
                <w:color w:val="auto"/>
              </w:rPr>
            </w:pPr>
          </w:p>
        </w:tc>
        <w:tc>
          <w:tcPr>
            <w:tcW w:w="240" w:type="dxa"/>
            <w:vAlign w:val="bottom"/>
            <w:vMerge w:val="restart"/>
            <w:shd w:val="clear" w:color="auto" w:fill="CCEEFF"/>
          </w:tcPr>
          <w:p>
            <w:pPr>
              <w:ind w:left="20"/>
              <w:spacing w:after="0"/>
              <w:rPr>
                <w:sz w:val="20"/>
                <w:szCs w:val="20"/>
                <w:color w:val="auto"/>
              </w:rPr>
            </w:pPr>
            <w:r>
              <w:rPr>
                <w:rFonts w:ascii="Arial" w:cs="Arial" w:eastAsia="Arial" w:hAnsi="Arial"/>
                <w:sz w:val="18"/>
                <w:szCs w:val="18"/>
                <w:color w:val="auto"/>
              </w:rPr>
              <w:t>$</w:t>
            </w:r>
          </w:p>
        </w:tc>
        <w:tc>
          <w:tcPr>
            <w:tcW w:w="5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151</w:t>
            </w:r>
          </w:p>
        </w:tc>
        <w:tc>
          <w:tcPr>
            <w:tcW w:w="80" w:type="dxa"/>
            <w:vAlign w:val="bottom"/>
            <w:shd w:val="clear" w:color="auto" w:fill="CCEEFF"/>
          </w:tcPr>
          <w:p>
            <w:pPr>
              <w:spacing w:after="0"/>
              <w:rPr>
                <w:sz w:val="15"/>
                <w:szCs w:val="15"/>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248,285</w:t>
            </w:r>
          </w:p>
        </w:tc>
        <w:tc>
          <w:tcPr>
            <w:tcW w:w="80" w:type="dxa"/>
            <w:vAlign w:val="bottom"/>
            <w:shd w:val="clear" w:color="auto" w:fill="CCEEFF"/>
          </w:tcPr>
          <w:p>
            <w:pPr>
              <w:spacing w:after="0"/>
              <w:rPr>
                <w:sz w:val="15"/>
                <w:szCs w:val="15"/>
                <w:color w:val="auto"/>
              </w:rPr>
            </w:pPr>
          </w:p>
        </w:tc>
        <w:tc>
          <w:tcPr>
            <w:tcW w:w="20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(310,616)</w:t>
            </w:r>
          </w:p>
        </w:tc>
        <w:tc>
          <w:tcPr>
            <w:tcW w:w="80" w:type="dxa"/>
            <w:vAlign w:val="bottom"/>
            <w:shd w:val="clear" w:color="auto" w:fill="CCEEFF"/>
          </w:tcPr>
          <w:p>
            <w:pPr>
              <w:spacing w:after="0"/>
              <w:rPr>
                <w:sz w:val="15"/>
                <w:szCs w:val="15"/>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(8,687)</w:t>
            </w:r>
          </w:p>
        </w:tc>
        <w:tc>
          <w:tcPr>
            <w:tcW w:w="80" w:type="dxa"/>
            <w:vAlign w:val="bottom"/>
            <w:shd w:val="clear" w:color="auto" w:fill="CCEEFF"/>
          </w:tcPr>
          <w:p>
            <w:pPr>
              <w:spacing w:after="0"/>
              <w:rPr>
                <w:sz w:val="15"/>
                <w:szCs w:val="15"/>
                <w:color w:val="auto"/>
              </w:rPr>
            </w:pPr>
          </w:p>
        </w:tc>
        <w:tc>
          <w:tcPr>
            <w:tcW w:w="22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w:t>
            </w: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(70,867)</w:t>
            </w:r>
          </w:p>
        </w:tc>
        <w:tc>
          <w:tcPr>
            <w:tcW w:w="0" w:type="dxa"/>
            <w:vAlign w:val="bottom"/>
          </w:tcPr>
          <w:p>
            <w:pPr>
              <w:spacing w:after="0"/>
              <w:rPr>
                <w:sz w:val="1"/>
                <w:szCs w:val="1"/>
                <w:color w:val="auto"/>
              </w:rPr>
            </w:pPr>
          </w:p>
        </w:tc>
      </w:tr>
      <w:tr>
        <w:trPr>
          <w:trHeight w:val="243"/>
        </w:trPr>
        <w:tc>
          <w:tcPr>
            <w:tcW w:w="11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2025</w:t>
            </w:r>
          </w:p>
        </w:tc>
        <w:tc>
          <w:tcPr>
            <w:tcW w:w="640" w:type="dxa"/>
            <w:vAlign w:val="bottom"/>
            <w:vMerge w:val="continue"/>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860" w:type="dxa"/>
            <w:vAlign w:val="bottom"/>
            <w:vMerge w:val="continue"/>
            <w:shd w:val="clear" w:color="auto" w:fill="CCEEFF"/>
          </w:tcPr>
          <w:p>
            <w:pPr>
              <w:spacing w:after="0"/>
              <w:rPr>
                <w:sz w:val="21"/>
                <w:szCs w:val="21"/>
                <w:color w:val="auto"/>
              </w:rPr>
            </w:pPr>
          </w:p>
        </w:tc>
        <w:tc>
          <w:tcPr>
            <w:tcW w:w="100" w:type="dxa"/>
            <w:vAlign w:val="bottom"/>
            <w:tcBorders>
              <w:right w:val="single" w:sz="8" w:color="auto"/>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740" w:type="dxa"/>
            <w:vAlign w:val="bottom"/>
            <w:gridSpan w:val="2"/>
            <w:vMerge w:val="continue"/>
            <w:shd w:val="clear" w:color="auto" w:fill="CCEEFF"/>
          </w:tcPr>
          <w:p>
            <w:pPr>
              <w:spacing w:after="0"/>
              <w:rPr>
                <w:sz w:val="21"/>
                <w:szCs w:val="21"/>
                <w:color w:val="auto"/>
              </w:rPr>
            </w:pPr>
          </w:p>
        </w:tc>
        <w:tc>
          <w:tcPr>
            <w:tcW w:w="300" w:type="dxa"/>
            <w:vAlign w:val="bottom"/>
            <w:vMerge w:val="continue"/>
            <w:shd w:val="clear" w:color="auto" w:fill="CCEEFF"/>
          </w:tcPr>
          <w:p>
            <w:pPr>
              <w:spacing w:after="0"/>
              <w:rPr>
                <w:sz w:val="21"/>
                <w:szCs w:val="21"/>
                <w:color w:val="auto"/>
              </w:rPr>
            </w:pPr>
          </w:p>
        </w:tc>
        <w:tc>
          <w:tcPr>
            <w:tcW w:w="540" w:type="dxa"/>
            <w:vAlign w:val="bottom"/>
            <w:gridSpan w:val="2"/>
            <w:vMerge w:val="continue"/>
            <w:shd w:val="clear" w:color="auto" w:fill="CCEEFF"/>
          </w:tcPr>
          <w:p>
            <w:pPr>
              <w:spacing w:after="0"/>
              <w:rPr>
                <w:sz w:val="21"/>
                <w:szCs w:val="21"/>
                <w:color w:val="auto"/>
              </w:rPr>
            </w:pPr>
          </w:p>
        </w:tc>
        <w:tc>
          <w:tcPr>
            <w:tcW w:w="740" w:type="dxa"/>
            <w:vAlign w:val="bottom"/>
            <w:vMerge w:val="continue"/>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40" w:type="dxa"/>
            <w:vAlign w:val="bottom"/>
            <w:vMerge w:val="continue"/>
            <w:shd w:val="clear" w:color="auto" w:fill="CCEEFF"/>
          </w:tcPr>
          <w:p>
            <w:pPr>
              <w:spacing w:after="0"/>
              <w:rPr>
                <w:sz w:val="21"/>
                <w:szCs w:val="21"/>
                <w:color w:val="auto"/>
              </w:rPr>
            </w:pPr>
          </w:p>
        </w:tc>
        <w:tc>
          <w:tcPr>
            <w:tcW w:w="520" w:type="dxa"/>
            <w:vAlign w:val="bottom"/>
            <w:vMerge w:val="continue"/>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20" w:type="dxa"/>
            <w:vAlign w:val="bottom"/>
            <w:vMerge w:val="continue"/>
            <w:shd w:val="clear" w:color="auto" w:fill="CCEEFF"/>
          </w:tcPr>
          <w:p>
            <w:pPr>
              <w:spacing w:after="0"/>
              <w:rPr>
                <w:sz w:val="21"/>
                <w:szCs w:val="21"/>
                <w:color w:val="auto"/>
              </w:rPr>
            </w:pPr>
          </w:p>
        </w:tc>
        <w:tc>
          <w:tcPr>
            <w:tcW w:w="860" w:type="dxa"/>
            <w:vAlign w:val="bottom"/>
            <w:vMerge w:val="continue"/>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0" w:type="dxa"/>
            <w:vAlign w:val="bottom"/>
            <w:vMerge w:val="continue"/>
            <w:shd w:val="clear" w:color="auto" w:fill="CCEEFF"/>
          </w:tcPr>
          <w:p>
            <w:pPr>
              <w:spacing w:after="0"/>
              <w:rPr>
                <w:sz w:val="21"/>
                <w:szCs w:val="21"/>
                <w:color w:val="auto"/>
              </w:rPr>
            </w:pPr>
          </w:p>
        </w:tc>
        <w:tc>
          <w:tcPr>
            <w:tcW w:w="980" w:type="dxa"/>
            <w:vAlign w:val="bottom"/>
            <w:vMerge w:val="continue"/>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20" w:type="dxa"/>
            <w:vAlign w:val="bottom"/>
            <w:vMerge w:val="continue"/>
            <w:shd w:val="clear" w:color="auto" w:fill="CCEEFF"/>
          </w:tcPr>
          <w:p>
            <w:pPr>
              <w:spacing w:after="0"/>
              <w:rPr>
                <w:sz w:val="21"/>
                <w:szCs w:val="21"/>
                <w:color w:val="auto"/>
              </w:rPr>
            </w:pPr>
          </w:p>
        </w:tc>
        <w:tc>
          <w:tcPr>
            <w:tcW w:w="1280" w:type="dxa"/>
            <w:vAlign w:val="bottom"/>
            <w:vMerge w:val="continue"/>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20" w:type="dxa"/>
            <w:vAlign w:val="bottom"/>
            <w:vMerge w:val="continue"/>
            <w:shd w:val="clear" w:color="auto" w:fill="CCEEFF"/>
          </w:tcPr>
          <w:p>
            <w:pPr>
              <w:spacing w:after="0"/>
              <w:rPr>
                <w:sz w:val="21"/>
                <w:szCs w:val="21"/>
                <w:color w:val="auto"/>
              </w:rPr>
            </w:pPr>
          </w:p>
        </w:tc>
        <w:tc>
          <w:tcPr>
            <w:tcW w:w="102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76"/>
        </w:trPr>
        <w:tc>
          <w:tcPr>
            <w:tcW w:w="1180" w:type="dxa"/>
            <w:vAlign w:val="bottom"/>
          </w:tcPr>
          <w:p>
            <w:pPr>
              <w:ind w:left="20"/>
              <w:spacing w:after="0" w:line="176" w:lineRule="exact"/>
              <w:rPr>
                <w:sz w:val="20"/>
                <w:szCs w:val="20"/>
                <w:color w:val="auto"/>
              </w:rPr>
            </w:pPr>
            <w:r>
              <w:rPr>
                <w:rFonts w:ascii="Arial" w:cs="Arial" w:eastAsia="Arial" w:hAnsi="Arial"/>
                <w:sz w:val="18"/>
                <w:szCs w:val="18"/>
                <w:i w:val="1"/>
                <w:iCs w:val="1"/>
                <w:color w:val="auto"/>
              </w:rPr>
              <w:t>Shares</w:t>
            </w: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180" w:type="dxa"/>
            <w:vAlign w:val="bottom"/>
          </w:tcPr>
          <w:p>
            <w:pPr>
              <w:ind w:left="20"/>
              <w:spacing w:after="0" w:line="176" w:lineRule="exact"/>
              <w:rPr>
                <w:sz w:val="20"/>
                <w:szCs w:val="20"/>
                <w:color w:val="auto"/>
              </w:rPr>
            </w:pPr>
            <w:r>
              <w:rPr>
                <w:rFonts w:ascii="Arial" w:cs="Arial" w:eastAsia="Arial" w:hAnsi="Arial"/>
                <w:sz w:val="18"/>
                <w:szCs w:val="18"/>
                <w:i w:val="1"/>
                <w:iCs w:val="1"/>
                <w:color w:val="auto"/>
              </w:rPr>
              <w:t>issued in</w:t>
            </w: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1180" w:type="dxa"/>
            <w:vAlign w:val="bottom"/>
          </w:tcPr>
          <w:p>
            <w:pPr>
              <w:ind w:left="20"/>
              <w:spacing w:after="0" w:line="186" w:lineRule="exact"/>
              <w:rPr>
                <w:sz w:val="20"/>
                <w:szCs w:val="20"/>
                <w:color w:val="auto"/>
              </w:rPr>
            </w:pPr>
            <w:r>
              <w:rPr>
                <w:rFonts w:ascii="Arial" w:cs="Arial" w:eastAsia="Arial" w:hAnsi="Arial"/>
                <w:sz w:val="18"/>
                <w:szCs w:val="18"/>
                <w:i w:val="1"/>
                <w:iCs w:val="1"/>
                <w:color w:val="auto"/>
              </w:rPr>
              <w:t>connection</w:t>
            </w: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3"/>
        </w:trPr>
        <w:tc>
          <w:tcPr>
            <w:tcW w:w="1180" w:type="dxa"/>
            <w:vAlign w:val="bottom"/>
          </w:tcPr>
          <w:p>
            <w:pPr>
              <w:ind w:left="20"/>
              <w:spacing w:after="0"/>
              <w:rPr>
                <w:sz w:val="20"/>
                <w:szCs w:val="20"/>
                <w:color w:val="auto"/>
              </w:rPr>
            </w:pPr>
            <w:r>
              <w:rPr>
                <w:rFonts w:ascii="Arial" w:cs="Arial" w:eastAsia="Arial" w:hAnsi="Arial"/>
                <w:sz w:val="18"/>
                <w:szCs w:val="18"/>
                <w:i w:val="1"/>
                <w:iCs w:val="1"/>
                <w:color w:val="auto"/>
              </w:rPr>
              <w:t>with:</w:t>
            </w:r>
          </w:p>
        </w:tc>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6"/>
        </w:trPr>
        <w:tc>
          <w:tcPr>
            <w:tcW w:w="118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Vesting of</w:t>
            </w:r>
          </w:p>
        </w:tc>
        <w:tc>
          <w:tcPr>
            <w:tcW w:w="6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tcBorders>
              <w:right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18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restricted</w:t>
            </w:r>
          </w:p>
        </w:tc>
        <w:tc>
          <w:tcPr>
            <w:tcW w:w="7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60" w:type="dxa"/>
            <w:vAlign w:val="bottom"/>
            <w:tcBorders>
              <w:right w:val="single" w:sz="8" w:color="auto"/>
            </w:tcBorders>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5"/>
                <w:szCs w:val="15"/>
                <w:color w:val="auto"/>
              </w:rPr>
            </w:pPr>
          </w:p>
        </w:tc>
        <w:tc>
          <w:tcPr>
            <w:tcW w:w="740" w:type="dxa"/>
            <w:vAlign w:val="bottom"/>
            <w:gridSpan w:val="2"/>
            <w:vMerge w:val="restart"/>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5"/>
                <w:szCs w:val="15"/>
                <w:color w:val="auto"/>
              </w:rPr>
            </w:pPr>
          </w:p>
        </w:tc>
        <w:tc>
          <w:tcPr>
            <w:tcW w:w="540" w:type="dxa"/>
            <w:vAlign w:val="bottom"/>
            <w:gridSpan w:val="2"/>
            <w:vMerge w:val="restart"/>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5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5"/>
                <w:szCs w:val="15"/>
                <w:color w:val="auto"/>
              </w:rPr>
            </w:pPr>
          </w:p>
        </w:tc>
        <w:tc>
          <w:tcPr>
            <w:tcW w:w="10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5"/>
                <w:szCs w:val="15"/>
                <w:color w:val="auto"/>
              </w:rPr>
            </w:pPr>
          </w:p>
        </w:tc>
        <w:tc>
          <w:tcPr>
            <w:tcW w:w="13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5"/>
                <w:szCs w:val="15"/>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43"/>
        </w:trPr>
        <w:tc>
          <w:tcPr>
            <w:tcW w:w="1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 units</w:t>
            </w:r>
          </w:p>
        </w:tc>
        <w:tc>
          <w:tcPr>
            <w:tcW w:w="720" w:type="dxa"/>
            <w:vAlign w:val="bottom"/>
            <w:gridSpan w:val="2"/>
            <w:vMerge w:val="continue"/>
            <w:shd w:val="clear" w:color="auto" w:fill="CCEEFF"/>
          </w:tcPr>
          <w:p>
            <w:pPr>
              <w:spacing w:after="0"/>
              <w:rPr>
                <w:sz w:val="21"/>
                <w:szCs w:val="21"/>
                <w:color w:val="auto"/>
              </w:rPr>
            </w:pPr>
          </w:p>
        </w:tc>
        <w:tc>
          <w:tcPr>
            <w:tcW w:w="960" w:type="dxa"/>
            <w:vAlign w:val="bottom"/>
            <w:tcBorders>
              <w:right w:val="single" w:sz="8" w:color="auto"/>
            </w:tcBorders>
            <w:gridSpan w:val="2"/>
            <w:vMerge w:val="continue"/>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740" w:type="dxa"/>
            <w:vAlign w:val="bottom"/>
            <w:gridSpan w:val="2"/>
            <w:vMerge w:val="continue"/>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540" w:type="dxa"/>
            <w:vAlign w:val="bottom"/>
            <w:gridSpan w:val="2"/>
            <w:vMerge w:val="continue"/>
            <w:shd w:val="clear" w:color="auto" w:fill="CCEEFF"/>
          </w:tcPr>
          <w:p>
            <w:pPr>
              <w:spacing w:after="0"/>
              <w:rPr>
                <w:sz w:val="21"/>
                <w:szCs w:val="21"/>
                <w:color w:val="auto"/>
              </w:rPr>
            </w:pPr>
          </w:p>
        </w:tc>
        <w:tc>
          <w:tcPr>
            <w:tcW w:w="740" w:type="dxa"/>
            <w:vAlign w:val="bottom"/>
            <w:vMerge w:val="continue"/>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520" w:type="dxa"/>
            <w:vAlign w:val="bottom"/>
            <w:vMerge w:val="continue"/>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40" w:type="dxa"/>
            <w:vAlign w:val="bottom"/>
            <w:gridSpan w:val="2"/>
            <w:vMerge w:val="continue"/>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60" w:type="dxa"/>
            <w:vAlign w:val="bottom"/>
            <w:gridSpan w:val="2"/>
            <w:vMerge w:val="continue"/>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360" w:type="dxa"/>
            <w:vAlign w:val="bottom"/>
            <w:gridSpan w:val="2"/>
            <w:vMerge w:val="continue"/>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2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75"/>
        </w:trPr>
        <w:tc>
          <w:tcPr>
            <w:tcW w:w="1180" w:type="dxa"/>
            <w:vAlign w:val="bottom"/>
          </w:tcPr>
          <w:p>
            <w:pPr>
              <w:ind w:left="20"/>
              <w:spacing w:after="0" w:line="176" w:lineRule="exact"/>
              <w:rPr>
                <w:sz w:val="20"/>
                <w:szCs w:val="20"/>
                <w:color w:val="auto"/>
              </w:rPr>
            </w:pPr>
            <w:r>
              <w:rPr>
                <w:rFonts w:ascii="Arial" w:cs="Arial" w:eastAsia="Arial" w:hAnsi="Arial"/>
                <w:sz w:val="18"/>
                <w:szCs w:val="18"/>
                <w:color w:val="auto"/>
              </w:rPr>
              <w:t>Employee</w:t>
            </w:r>
          </w:p>
        </w:tc>
        <w:tc>
          <w:tcPr>
            <w:tcW w:w="72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960" w:type="dxa"/>
            <w:vAlign w:val="bottom"/>
            <w:tcBorders>
              <w:right w:val="single" w:sz="8" w:color="auto"/>
            </w:tcBorders>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5"/>
                <w:szCs w:val="15"/>
                <w:color w:val="auto"/>
              </w:rPr>
            </w:pPr>
          </w:p>
        </w:tc>
        <w:tc>
          <w:tcPr>
            <w:tcW w:w="740" w:type="dxa"/>
            <w:vAlign w:val="bottom"/>
            <w:gridSpan w:val="2"/>
            <w:vMerge w:val="restart"/>
          </w:tcPr>
          <w:p>
            <w:pPr>
              <w:ind w:left="4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5"/>
                <w:szCs w:val="15"/>
                <w:color w:val="auto"/>
              </w:rPr>
            </w:pPr>
          </w:p>
        </w:tc>
        <w:tc>
          <w:tcPr>
            <w:tcW w:w="540" w:type="dxa"/>
            <w:vAlign w:val="bottom"/>
            <w:gridSpan w:val="2"/>
            <w:vMerge w:val="restart"/>
          </w:tcPr>
          <w:p>
            <w:pPr>
              <w:ind w:left="200"/>
              <w:spacing w:after="0"/>
              <w:rPr>
                <w:sz w:val="20"/>
                <w:szCs w:val="20"/>
                <w:color w:val="auto"/>
              </w:rPr>
            </w:pPr>
            <w:r>
              <w:rPr>
                <w:rFonts w:ascii="Arial" w:cs="Arial" w:eastAsia="Arial" w:hAnsi="Arial"/>
                <w:sz w:val="18"/>
                <w:szCs w:val="18"/>
                <w:color w:val="auto"/>
              </w:rPr>
              <w:t>—</w:t>
            </w:r>
          </w:p>
        </w:tc>
        <w:tc>
          <w:tcPr>
            <w:tcW w:w="740" w:type="dxa"/>
            <w:vAlign w:val="bottom"/>
            <w:vMerge w:val="restart"/>
          </w:tcPr>
          <w:p>
            <w:pPr>
              <w:jc w:val="right"/>
              <w:spacing w:after="0"/>
              <w:rPr>
                <w:sz w:val="20"/>
                <w:szCs w:val="20"/>
                <w:color w:val="auto"/>
              </w:rPr>
            </w:pPr>
            <w:r>
              <w:rPr>
                <w:rFonts w:ascii="Arial" w:cs="Arial" w:eastAsia="Arial" w:hAnsi="Arial"/>
                <w:sz w:val="18"/>
                <w:szCs w:val="18"/>
                <w:color w:val="auto"/>
              </w:rPr>
              <w:t>60</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5"/>
                <w:szCs w:val="15"/>
                <w:color w:val="auto"/>
              </w:rPr>
            </w:pP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rPr>
              <w:t>346</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6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5"/>
                <w:szCs w:val="15"/>
                <w:color w:val="auto"/>
              </w:rPr>
            </w:pPr>
          </w:p>
        </w:tc>
        <w:tc>
          <w:tcPr>
            <w:tcW w:w="136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5"/>
                <w:szCs w:val="15"/>
                <w:color w:val="auto"/>
              </w:rPr>
            </w:pPr>
          </w:p>
        </w:tc>
        <w:tc>
          <w:tcPr>
            <w:tcW w:w="1020" w:type="dxa"/>
            <w:vAlign w:val="bottom"/>
            <w:vMerge w:val="restart"/>
          </w:tcPr>
          <w:p>
            <w:pPr>
              <w:jc w:val="right"/>
              <w:spacing w:after="0"/>
              <w:rPr>
                <w:sz w:val="20"/>
                <w:szCs w:val="20"/>
                <w:color w:val="auto"/>
              </w:rPr>
            </w:pPr>
            <w:r>
              <w:rPr>
                <w:rFonts w:ascii="Arial" w:cs="Arial" w:eastAsia="Arial" w:hAnsi="Arial"/>
                <w:sz w:val="18"/>
                <w:szCs w:val="18"/>
                <w:color w:val="auto"/>
              </w:rPr>
              <w:t>346</w:t>
            </w:r>
          </w:p>
        </w:tc>
        <w:tc>
          <w:tcPr>
            <w:tcW w:w="0" w:type="dxa"/>
            <w:vAlign w:val="bottom"/>
          </w:tcPr>
          <w:p>
            <w:pPr>
              <w:spacing w:after="0"/>
              <w:rPr>
                <w:sz w:val="1"/>
                <w:szCs w:val="1"/>
                <w:color w:val="auto"/>
              </w:rPr>
            </w:pPr>
          </w:p>
        </w:tc>
      </w:tr>
      <w:tr>
        <w:trPr>
          <w:trHeight w:val="243"/>
        </w:trPr>
        <w:tc>
          <w:tcPr>
            <w:tcW w:w="1180" w:type="dxa"/>
            <w:vAlign w:val="bottom"/>
          </w:tcPr>
          <w:p>
            <w:pPr>
              <w:ind w:left="20"/>
              <w:spacing w:after="0"/>
              <w:rPr>
                <w:sz w:val="20"/>
                <w:szCs w:val="20"/>
                <w:color w:val="auto"/>
              </w:rPr>
            </w:pPr>
            <w:r>
              <w:rPr>
                <w:rFonts w:ascii="Arial" w:cs="Arial" w:eastAsia="Arial" w:hAnsi="Arial"/>
                <w:sz w:val="18"/>
                <w:szCs w:val="18"/>
                <w:color w:val="auto"/>
              </w:rPr>
              <w:t>purchase plan</w:t>
            </w:r>
          </w:p>
        </w:tc>
        <w:tc>
          <w:tcPr>
            <w:tcW w:w="720" w:type="dxa"/>
            <w:vAlign w:val="bottom"/>
            <w:gridSpan w:val="2"/>
            <w:vMerge w:val="continue"/>
          </w:tcPr>
          <w:p>
            <w:pPr>
              <w:spacing w:after="0"/>
              <w:rPr>
                <w:sz w:val="21"/>
                <w:szCs w:val="21"/>
                <w:color w:val="auto"/>
              </w:rPr>
            </w:pPr>
          </w:p>
        </w:tc>
        <w:tc>
          <w:tcPr>
            <w:tcW w:w="960" w:type="dxa"/>
            <w:vAlign w:val="bottom"/>
            <w:tcBorders>
              <w:right w:val="single" w:sz="8" w:color="auto"/>
            </w:tcBorders>
            <w:gridSpan w:val="2"/>
            <w:vMerge w:val="continue"/>
          </w:tcPr>
          <w:p>
            <w:pPr>
              <w:spacing w:after="0"/>
              <w:rPr>
                <w:sz w:val="21"/>
                <w:szCs w:val="21"/>
                <w:color w:val="auto"/>
              </w:rPr>
            </w:pPr>
          </w:p>
        </w:tc>
        <w:tc>
          <w:tcPr>
            <w:tcW w:w="80" w:type="dxa"/>
            <w:vAlign w:val="bottom"/>
          </w:tcPr>
          <w:p>
            <w:pPr>
              <w:spacing w:after="0"/>
              <w:rPr>
                <w:sz w:val="21"/>
                <w:szCs w:val="21"/>
                <w:color w:val="auto"/>
              </w:rPr>
            </w:pPr>
          </w:p>
        </w:tc>
        <w:tc>
          <w:tcPr>
            <w:tcW w:w="740" w:type="dxa"/>
            <w:vAlign w:val="bottom"/>
            <w:gridSpan w:val="2"/>
            <w:vMerge w:val="continue"/>
          </w:tcPr>
          <w:p>
            <w:pPr>
              <w:spacing w:after="0"/>
              <w:rPr>
                <w:sz w:val="21"/>
                <w:szCs w:val="21"/>
                <w:color w:val="auto"/>
              </w:rPr>
            </w:pPr>
          </w:p>
        </w:tc>
        <w:tc>
          <w:tcPr>
            <w:tcW w:w="300" w:type="dxa"/>
            <w:vAlign w:val="bottom"/>
          </w:tcPr>
          <w:p>
            <w:pPr>
              <w:spacing w:after="0"/>
              <w:rPr>
                <w:sz w:val="21"/>
                <w:szCs w:val="21"/>
                <w:color w:val="auto"/>
              </w:rPr>
            </w:pPr>
          </w:p>
        </w:tc>
        <w:tc>
          <w:tcPr>
            <w:tcW w:w="540" w:type="dxa"/>
            <w:vAlign w:val="bottom"/>
            <w:gridSpan w:val="2"/>
            <w:vMerge w:val="continue"/>
          </w:tcPr>
          <w:p>
            <w:pPr>
              <w:spacing w:after="0"/>
              <w:rPr>
                <w:sz w:val="21"/>
                <w:szCs w:val="21"/>
                <w:color w:val="auto"/>
              </w:rPr>
            </w:pPr>
          </w:p>
        </w:tc>
        <w:tc>
          <w:tcPr>
            <w:tcW w:w="740" w:type="dxa"/>
            <w:vAlign w:val="bottom"/>
            <w:vMerge w:val="continue"/>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00" w:type="dxa"/>
            <w:vAlign w:val="bottom"/>
            <w:gridSpan w:val="2"/>
            <w:vMerge w:val="continue"/>
          </w:tcPr>
          <w:p>
            <w:pPr>
              <w:spacing w:after="0"/>
              <w:rPr>
                <w:sz w:val="21"/>
                <w:szCs w:val="21"/>
                <w:color w:val="auto"/>
              </w:rPr>
            </w:pPr>
          </w:p>
        </w:tc>
        <w:tc>
          <w:tcPr>
            <w:tcW w:w="120" w:type="dxa"/>
            <w:vAlign w:val="bottom"/>
          </w:tcPr>
          <w:p>
            <w:pPr>
              <w:spacing w:after="0"/>
              <w:rPr>
                <w:sz w:val="21"/>
                <w:szCs w:val="21"/>
                <w:color w:val="auto"/>
              </w:rPr>
            </w:pPr>
          </w:p>
        </w:tc>
        <w:tc>
          <w:tcPr>
            <w:tcW w:w="860" w:type="dxa"/>
            <w:vAlign w:val="bottom"/>
            <w:vMerge w:val="continue"/>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gridSpan w:val="2"/>
            <w:vMerge w:val="continue"/>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gridSpan w:val="2"/>
            <w:vMerge w:val="continue"/>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75"/>
        </w:trPr>
        <w:tc>
          <w:tcPr>
            <w:tcW w:w="118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Equity-based</w:t>
            </w:r>
          </w:p>
        </w:tc>
        <w:tc>
          <w:tcPr>
            <w:tcW w:w="7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60" w:type="dxa"/>
            <w:vAlign w:val="bottom"/>
            <w:tcBorders>
              <w:right w:val="single" w:sz="8" w:color="auto"/>
            </w:tcBorders>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5"/>
                <w:szCs w:val="15"/>
                <w:color w:val="auto"/>
              </w:rPr>
            </w:pPr>
          </w:p>
        </w:tc>
        <w:tc>
          <w:tcPr>
            <w:tcW w:w="740" w:type="dxa"/>
            <w:vAlign w:val="bottom"/>
            <w:gridSpan w:val="2"/>
            <w:vMerge w:val="restart"/>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5"/>
                <w:szCs w:val="15"/>
                <w:color w:val="auto"/>
              </w:rPr>
            </w:pPr>
          </w:p>
        </w:tc>
        <w:tc>
          <w:tcPr>
            <w:tcW w:w="540" w:type="dxa"/>
            <w:vAlign w:val="bottom"/>
            <w:gridSpan w:val="2"/>
            <w:vMerge w:val="restart"/>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8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5"/>
                <w:szCs w:val="15"/>
                <w:color w:val="auto"/>
              </w:rPr>
            </w:pPr>
          </w:p>
        </w:tc>
        <w:tc>
          <w:tcPr>
            <w:tcW w:w="6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5"/>
                <w:szCs w:val="15"/>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4,602</w:t>
            </w: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5"/>
                <w:szCs w:val="15"/>
                <w:color w:val="auto"/>
              </w:rPr>
            </w:pPr>
          </w:p>
        </w:tc>
        <w:tc>
          <w:tcPr>
            <w:tcW w:w="13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5"/>
                <w:szCs w:val="15"/>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4,602</w:t>
            </w:r>
          </w:p>
        </w:tc>
        <w:tc>
          <w:tcPr>
            <w:tcW w:w="0" w:type="dxa"/>
            <w:vAlign w:val="bottom"/>
          </w:tcPr>
          <w:p>
            <w:pPr>
              <w:spacing w:after="0"/>
              <w:rPr>
                <w:sz w:val="1"/>
                <w:szCs w:val="1"/>
                <w:color w:val="auto"/>
              </w:rPr>
            </w:pPr>
          </w:p>
        </w:tc>
      </w:tr>
      <w:tr>
        <w:trPr>
          <w:trHeight w:val="243"/>
        </w:trPr>
        <w:tc>
          <w:tcPr>
            <w:tcW w:w="1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compensation</w:t>
            </w:r>
          </w:p>
        </w:tc>
        <w:tc>
          <w:tcPr>
            <w:tcW w:w="720" w:type="dxa"/>
            <w:vAlign w:val="bottom"/>
            <w:gridSpan w:val="2"/>
            <w:vMerge w:val="continue"/>
            <w:shd w:val="clear" w:color="auto" w:fill="CCEEFF"/>
          </w:tcPr>
          <w:p>
            <w:pPr>
              <w:spacing w:after="0"/>
              <w:rPr>
                <w:sz w:val="21"/>
                <w:szCs w:val="21"/>
                <w:color w:val="auto"/>
              </w:rPr>
            </w:pPr>
          </w:p>
        </w:tc>
        <w:tc>
          <w:tcPr>
            <w:tcW w:w="960" w:type="dxa"/>
            <w:vAlign w:val="bottom"/>
            <w:tcBorders>
              <w:right w:val="single" w:sz="8" w:color="auto"/>
            </w:tcBorders>
            <w:gridSpan w:val="2"/>
            <w:vMerge w:val="continue"/>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740" w:type="dxa"/>
            <w:vAlign w:val="bottom"/>
            <w:gridSpan w:val="2"/>
            <w:vMerge w:val="continue"/>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540" w:type="dxa"/>
            <w:vAlign w:val="bottom"/>
            <w:gridSpan w:val="2"/>
            <w:vMerge w:val="continue"/>
            <w:shd w:val="clear" w:color="auto" w:fill="CCEEFF"/>
          </w:tcPr>
          <w:p>
            <w:pPr>
              <w:spacing w:after="0"/>
              <w:rPr>
                <w:sz w:val="21"/>
                <w:szCs w:val="21"/>
                <w:color w:val="auto"/>
              </w:rPr>
            </w:pPr>
          </w:p>
        </w:tc>
        <w:tc>
          <w:tcPr>
            <w:tcW w:w="820" w:type="dxa"/>
            <w:vAlign w:val="bottom"/>
            <w:gridSpan w:val="2"/>
            <w:vMerge w:val="continue"/>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600" w:type="dxa"/>
            <w:vAlign w:val="bottom"/>
            <w:gridSpan w:val="2"/>
            <w:vMerge w:val="continue"/>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60" w:type="dxa"/>
            <w:vAlign w:val="bottom"/>
            <w:vMerge w:val="continue"/>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60" w:type="dxa"/>
            <w:vAlign w:val="bottom"/>
            <w:gridSpan w:val="2"/>
            <w:vMerge w:val="continue"/>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360" w:type="dxa"/>
            <w:vAlign w:val="bottom"/>
            <w:gridSpan w:val="2"/>
            <w:vMerge w:val="continue"/>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2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75"/>
        </w:trPr>
        <w:tc>
          <w:tcPr>
            <w:tcW w:w="1180" w:type="dxa"/>
            <w:vAlign w:val="bottom"/>
          </w:tcPr>
          <w:p>
            <w:pPr>
              <w:ind w:left="20"/>
              <w:spacing w:after="0" w:line="176" w:lineRule="exact"/>
              <w:rPr>
                <w:sz w:val="20"/>
                <w:szCs w:val="20"/>
                <w:color w:val="auto"/>
              </w:rPr>
            </w:pPr>
            <w:r>
              <w:rPr>
                <w:rFonts w:ascii="Arial" w:cs="Arial" w:eastAsia="Arial" w:hAnsi="Arial"/>
                <w:sz w:val="18"/>
                <w:szCs w:val="18"/>
                <w:color w:val="auto"/>
              </w:rPr>
              <w:t>Tax</w:t>
            </w: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180" w:type="dxa"/>
            <w:vAlign w:val="bottom"/>
          </w:tcPr>
          <w:p>
            <w:pPr>
              <w:ind w:left="20"/>
              <w:spacing w:after="0" w:line="176" w:lineRule="exact"/>
              <w:rPr>
                <w:sz w:val="20"/>
                <w:szCs w:val="20"/>
                <w:color w:val="auto"/>
              </w:rPr>
            </w:pPr>
            <w:r>
              <w:rPr>
                <w:rFonts w:ascii="Arial" w:cs="Arial" w:eastAsia="Arial" w:hAnsi="Arial"/>
                <w:sz w:val="18"/>
                <w:szCs w:val="18"/>
                <w:color w:val="auto"/>
              </w:rPr>
              <w:t>withholding</w:t>
            </w: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1180" w:type="dxa"/>
            <w:vAlign w:val="bottom"/>
          </w:tcPr>
          <w:p>
            <w:pPr>
              <w:ind w:left="20"/>
              <w:spacing w:after="0" w:line="183" w:lineRule="exact"/>
              <w:rPr>
                <w:sz w:val="20"/>
                <w:szCs w:val="20"/>
                <w:color w:val="auto"/>
              </w:rPr>
            </w:pPr>
            <w:r>
              <w:rPr>
                <w:rFonts w:ascii="Arial" w:cs="Arial" w:eastAsia="Arial" w:hAnsi="Arial"/>
                <w:sz w:val="18"/>
                <w:szCs w:val="18"/>
                <w:color w:val="auto"/>
              </w:rPr>
              <w:t>related to</w:t>
            </w: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1180" w:type="dxa"/>
            <w:vAlign w:val="bottom"/>
          </w:tcPr>
          <w:p>
            <w:pPr>
              <w:ind w:left="20"/>
              <w:spacing w:after="0" w:line="181" w:lineRule="exact"/>
              <w:rPr>
                <w:sz w:val="20"/>
                <w:szCs w:val="20"/>
                <w:color w:val="auto"/>
              </w:rPr>
            </w:pPr>
            <w:r>
              <w:rPr>
                <w:rFonts w:ascii="Arial" w:cs="Arial" w:eastAsia="Arial" w:hAnsi="Arial"/>
                <w:sz w:val="18"/>
                <w:szCs w:val="18"/>
                <w:color w:val="auto"/>
              </w:rPr>
              <w:t>vesting of</w:t>
            </w: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180" w:type="dxa"/>
            <w:vAlign w:val="bottom"/>
          </w:tcPr>
          <w:p>
            <w:pPr>
              <w:ind w:left="20"/>
              <w:spacing w:after="0" w:line="176" w:lineRule="exact"/>
              <w:rPr>
                <w:sz w:val="20"/>
                <w:szCs w:val="20"/>
                <w:color w:val="auto"/>
              </w:rPr>
            </w:pPr>
            <w:r>
              <w:rPr>
                <w:rFonts w:ascii="Arial" w:cs="Arial" w:eastAsia="Arial" w:hAnsi="Arial"/>
                <w:sz w:val="18"/>
                <w:szCs w:val="18"/>
                <w:color w:val="auto"/>
              </w:rPr>
              <w:t>equity-based</w:t>
            </w:r>
          </w:p>
        </w:tc>
        <w:tc>
          <w:tcPr>
            <w:tcW w:w="72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960" w:type="dxa"/>
            <w:vAlign w:val="bottom"/>
            <w:tcBorders>
              <w:right w:val="single" w:sz="8" w:color="auto"/>
            </w:tcBorders>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5"/>
                <w:szCs w:val="15"/>
                <w:color w:val="auto"/>
              </w:rPr>
            </w:pPr>
          </w:p>
        </w:tc>
        <w:tc>
          <w:tcPr>
            <w:tcW w:w="740" w:type="dxa"/>
            <w:vAlign w:val="bottom"/>
            <w:gridSpan w:val="2"/>
            <w:vMerge w:val="restart"/>
          </w:tcPr>
          <w:p>
            <w:pPr>
              <w:ind w:left="4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5"/>
                <w:szCs w:val="15"/>
                <w:color w:val="auto"/>
              </w:rPr>
            </w:pPr>
          </w:p>
        </w:tc>
        <w:tc>
          <w:tcPr>
            <w:tcW w:w="540" w:type="dxa"/>
            <w:vAlign w:val="bottom"/>
            <w:gridSpan w:val="2"/>
            <w:vMerge w:val="restart"/>
          </w:tcPr>
          <w:p>
            <w:pPr>
              <w:ind w:left="200"/>
              <w:spacing w:after="0"/>
              <w:rPr>
                <w:sz w:val="20"/>
                <w:szCs w:val="20"/>
                <w:color w:val="auto"/>
              </w:rPr>
            </w:pPr>
            <w:r>
              <w:rPr>
                <w:rFonts w:ascii="Arial" w:cs="Arial" w:eastAsia="Arial" w:hAnsi="Arial"/>
                <w:sz w:val="18"/>
                <w:szCs w:val="18"/>
                <w:color w:val="auto"/>
              </w:rPr>
              <w:t>—</w:t>
            </w:r>
          </w:p>
        </w:tc>
        <w:tc>
          <w:tcPr>
            <w:tcW w:w="82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5"/>
                <w:szCs w:val="15"/>
                <w:color w:val="auto"/>
              </w:rPr>
            </w:pPr>
          </w:p>
        </w:tc>
        <w:tc>
          <w:tcPr>
            <w:tcW w:w="60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5"/>
                <w:szCs w:val="15"/>
                <w:color w:val="auto"/>
              </w:rPr>
            </w:pP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rPr>
              <w:t>(46)</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6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5"/>
                <w:szCs w:val="15"/>
                <w:color w:val="auto"/>
              </w:rPr>
            </w:pPr>
          </w:p>
        </w:tc>
        <w:tc>
          <w:tcPr>
            <w:tcW w:w="136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5"/>
                <w:szCs w:val="15"/>
                <w:color w:val="auto"/>
              </w:rPr>
            </w:pPr>
          </w:p>
        </w:tc>
        <w:tc>
          <w:tcPr>
            <w:tcW w:w="1020" w:type="dxa"/>
            <w:vAlign w:val="bottom"/>
            <w:vMerge w:val="restart"/>
          </w:tcPr>
          <w:p>
            <w:pPr>
              <w:jc w:val="right"/>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43"/>
        </w:trPr>
        <w:tc>
          <w:tcPr>
            <w:tcW w:w="1180" w:type="dxa"/>
            <w:vAlign w:val="bottom"/>
          </w:tcPr>
          <w:p>
            <w:pPr>
              <w:ind w:left="20"/>
              <w:spacing w:after="0"/>
              <w:rPr>
                <w:sz w:val="20"/>
                <w:szCs w:val="20"/>
                <w:color w:val="auto"/>
              </w:rPr>
            </w:pPr>
            <w:r>
              <w:rPr>
                <w:rFonts w:ascii="Arial" w:cs="Arial" w:eastAsia="Arial" w:hAnsi="Arial"/>
                <w:sz w:val="18"/>
                <w:szCs w:val="18"/>
                <w:color w:val="auto"/>
              </w:rPr>
              <w:t>compensation</w:t>
            </w:r>
          </w:p>
        </w:tc>
        <w:tc>
          <w:tcPr>
            <w:tcW w:w="720" w:type="dxa"/>
            <w:vAlign w:val="bottom"/>
            <w:gridSpan w:val="2"/>
            <w:vMerge w:val="continue"/>
          </w:tcPr>
          <w:p>
            <w:pPr>
              <w:spacing w:after="0"/>
              <w:rPr>
                <w:sz w:val="21"/>
                <w:szCs w:val="21"/>
                <w:color w:val="auto"/>
              </w:rPr>
            </w:pPr>
          </w:p>
        </w:tc>
        <w:tc>
          <w:tcPr>
            <w:tcW w:w="960" w:type="dxa"/>
            <w:vAlign w:val="bottom"/>
            <w:tcBorders>
              <w:right w:val="single" w:sz="8" w:color="auto"/>
            </w:tcBorders>
            <w:gridSpan w:val="2"/>
            <w:vMerge w:val="continue"/>
          </w:tcPr>
          <w:p>
            <w:pPr>
              <w:spacing w:after="0"/>
              <w:rPr>
                <w:sz w:val="21"/>
                <w:szCs w:val="21"/>
                <w:color w:val="auto"/>
              </w:rPr>
            </w:pPr>
          </w:p>
        </w:tc>
        <w:tc>
          <w:tcPr>
            <w:tcW w:w="80" w:type="dxa"/>
            <w:vAlign w:val="bottom"/>
          </w:tcPr>
          <w:p>
            <w:pPr>
              <w:spacing w:after="0"/>
              <w:rPr>
                <w:sz w:val="21"/>
                <w:szCs w:val="21"/>
                <w:color w:val="auto"/>
              </w:rPr>
            </w:pPr>
          </w:p>
        </w:tc>
        <w:tc>
          <w:tcPr>
            <w:tcW w:w="740" w:type="dxa"/>
            <w:vAlign w:val="bottom"/>
            <w:gridSpan w:val="2"/>
            <w:vMerge w:val="continue"/>
          </w:tcPr>
          <w:p>
            <w:pPr>
              <w:spacing w:after="0"/>
              <w:rPr>
                <w:sz w:val="21"/>
                <w:szCs w:val="21"/>
                <w:color w:val="auto"/>
              </w:rPr>
            </w:pPr>
          </w:p>
        </w:tc>
        <w:tc>
          <w:tcPr>
            <w:tcW w:w="300" w:type="dxa"/>
            <w:vAlign w:val="bottom"/>
          </w:tcPr>
          <w:p>
            <w:pPr>
              <w:spacing w:after="0"/>
              <w:rPr>
                <w:sz w:val="21"/>
                <w:szCs w:val="21"/>
                <w:color w:val="auto"/>
              </w:rPr>
            </w:pPr>
          </w:p>
        </w:tc>
        <w:tc>
          <w:tcPr>
            <w:tcW w:w="540" w:type="dxa"/>
            <w:vAlign w:val="bottom"/>
            <w:gridSpan w:val="2"/>
            <w:vMerge w:val="continue"/>
          </w:tcPr>
          <w:p>
            <w:pPr>
              <w:spacing w:after="0"/>
              <w:rPr>
                <w:sz w:val="21"/>
                <w:szCs w:val="21"/>
                <w:color w:val="auto"/>
              </w:rPr>
            </w:pPr>
          </w:p>
        </w:tc>
        <w:tc>
          <w:tcPr>
            <w:tcW w:w="820" w:type="dxa"/>
            <w:vAlign w:val="bottom"/>
            <w:gridSpan w:val="2"/>
            <w:vMerge w:val="continue"/>
          </w:tcPr>
          <w:p>
            <w:pPr>
              <w:spacing w:after="0"/>
              <w:rPr>
                <w:sz w:val="21"/>
                <w:szCs w:val="21"/>
                <w:color w:val="auto"/>
              </w:rPr>
            </w:pPr>
          </w:p>
        </w:tc>
        <w:tc>
          <w:tcPr>
            <w:tcW w:w="240" w:type="dxa"/>
            <w:vAlign w:val="bottom"/>
          </w:tcPr>
          <w:p>
            <w:pPr>
              <w:spacing w:after="0"/>
              <w:rPr>
                <w:sz w:val="21"/>
                <w:szCs w:val="21"/>
                <w:color w:val="auto"/>
              </w:rPr>
            </w:pPr>
          </w:p>
        </w:tc>
        <w:tc>
          <w:tcPr>
            <w:tcW w:w="600" w:type="dxa"/>
            <w:vAlign w:val="bottom"/>
            <w:gridSpan w:val="2"/>
            <w:vMerge w:val="continue"/>
          </w:tcPr>
          <w:p>
            <w:pPr>
              <w:spacing w:after="0"/>
              <w:rPr>
                <w:sz w:val="21"/>
                <w:szCs w:val="21"/>
                <w:color w:val="auto"/>
              </w:rPr>
            </w:pPr>
          </w:p>
        </w:tc>
        <w:tc>
          <w:tcPr>
            <w:tcW w:w="120" w:type="dxa"/>
            <w:vAlign w:val="bottom"/>
          </w:tcPr>
          <w:p>
            <w:pPr>
              <w:spacing w:after="0"/>
              <w:rPr>
                <w:sz w:val="21"/>
                <w:szCs w:val="21"/>
                <w:color w:val="auto"/>
              </w:rPr>
            </w:pPr>
          </w:p>
        </w:tc>
        <w:tc>
          <w:tcPr>
            <w:tcW w:w="860" w:type="dxa"/>
            <w:vAlign w:val="bottom"/>
            <w:vMerge w:val="continue"/>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gridSpan w:val="2"/>
            <w:vMerge w:val="continue"/>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gridSpan w:val="2"/>
            <w:vMerge w:val="continue"/>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75"/>
        </w:trPr>
        <w:tc>
          <w:tcPr>
            <w:tcW w:w="118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Preferred</w:t>
            </w:r>
          </w:p>
        </w:tc>
        <w:tc>
          <w:tcPr>
            <w:tcW w:w="6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tcBorders>
              <w:right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18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cumulative</w:t>
            </w:r>
          </w:p>
        </w:tc>
        <w:tc>
          <w:tcPr>
            <w:tcW w:w="6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tcBorders>
              <w:right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1180" w:type="dxa"/>
            <w:vAlign w:val="bottom"/>
            <w:shd w:val="clear" w:color="auto" w:fill="CCEEFF"/>
          </w:tcPr>
          <w:p>
            <w:pPr>
              <w:ind w:left="20"/>
              <w:spacing w:after="0" w:line="183" w:lineRule="exact"/>
              <w:rPr>
                <w:sz w:val="20"/>
                <w:szCs w:val="20"/>
                <w:color w:val="auto"/>
              </w:rPr>
            </w:pPr>
            <w:r>
              <w:rPr>
                <w:rFonts w:ascii="Arial" w:cs="Arial" w:eastAsia="Arial" w:hAnsi="Arial"/>
                <w:sz w:val="18"/>
                <w:szCs w:val="18"/>
                <w:color w:val="auto"/>
              </w:rPr>
              <w:t>dividends</w:t>
            </w: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80" w:type="dxa"/>
            <w:vAlign w:val="bottom"/>
            <w:shd w:val="clear" w:color="auto" w:fill="CCEEFF"/>
          </w:tcPr>
          <w:p>
            <w:pPr>
              <w:spacing w:after="0"/>
              <w:rPr>
                <w:sz w:val="15"/>
                <w:szCs w:val="15"/>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15,144</w:t>
            </w:r>
          </w:p>
        </w:tc>
        <w:tc>
          <w:tcPr>
            <w:tcW w:w="100" w:type="dxa"/>
            <w:vAlign w:val="bottom"/>
            <w:tcBorders>
              <w:right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40" w:type="dxa"/>
            <w:vAlign w:val="bottom"/>
            <w:gridSpan w:val="2"/>
            <w:vMerge w:val="restart"/>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5"/>
                <w:szCs w:val="15"/>
                <w:color w:val="auto"/>
              </w:rPr>
            </w:pPr>
          </w:p>
        </w:tc>
        <w:tc>
          <w:tcPr>
            <w:tcW w:w="540" w:type="dxa"/>
            <w:vAlign w:val="bottom"/>
            <w:gridSpan w:val="2"/>
            <w:vMerge w:val="restart"/>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8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5"/>
                <w:szCs w:val="15"/>
                <w:color w:val="auto"/>
              </w:rPr>
            </w:pPr>
          </w:p>
        </w:tc>
        <w:tc>
          <w:tcPr>
            <w:tcW w:w="6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5"/>
                <w:szCs w:val="15"/>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(15,144)</w:t>
            </w: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5"/>
                <w:szCs w:val="15"/>
                <w:color w:val="auto"/>
              </w:rPr>
            </w:pPr>
          </w:p>
        </w:tc>
        <w:tc>
          <w:tcPr>
            <w:tcW w:w="13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5"/>
                <w:szCs w:val="15"/>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(15,144)</w:t>
            </w:r>
          </w:p>
        </w:tc>
        <w:tc>
          <w:tcPr>
            <w:tcW w:w="0" w:type="dxa"/>
            <w:vAlign w:val="bottom"/>
          </w:tcPr>
          <w:p>
            <w:pPr>
              <w:spacing w:after="0"/>
              <w:rPr>
                <w:sz w:val="1"/>
                <w:szCs w:val="1"/>
                <w:color w:val="auto"/>
              </w:rPr>
            </w:pPr>
          </w:p>
        </w:tc>
      </w:tr>
      <w:tr>
        <w:trPr>
          <w:trHeight w:val="235"/>
        </w:trPr>
        <w:tc>
          <w:tcPr>
            <w:tcW w:w="1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plus accretion</w:t>
            </w:r>
          </w:p>
        </w:tc>
        <w:tc>
          <w:tcPr>
            <w:tcW w:w="640" w:type="dxa"/>
            <w:vAlign w:val="bottom"/>
            <w:vMerge w:val="continue"/>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60" w:type="dxa"/>
            <w:vAlign w:val="bottom"/>
            <w:vMerge w:val="continue"/>
            <w:shd w:val="clear" w:color="auto" w:fill="CCEEFF"/>
          </w:tcPr>
          <w:p>
            <w:pPr>
              <w:spacing w:after="0"/>
              <w:rPr>
                <w:sz w:val="20"/>
                <w:szCs w:val="20"/>
                <w:color w:val="auto"/>
              </w:rPr>
            </w:pPr>
          </w:p>
        </w:tc>
        <w:tc>
          <w:tcPr>
            <w:tcW w:w="100" w:type="dxa"/>
            <w:vAlign w:val="bottom"/>
            <w:tcBorders>
              <w:right w:val="single" w:sz="8" w:color="auto"/>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740" w:type="dxa"/>
            <w:vAlign w:val="bottom"/>
            <w:gridSpan w:val="2"/>
            <w:vMerge w:val="continue"/>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540" w:type="dxa"/>
            <w:vAlign w:val="bottom"/>
            <w:gridSpan w:val="2"/>
            <w:vMerge w:val="continue"/>
            <w:shd w:val="clear" w:color="auto" w:fill="CCEEFF"/>
          </w:tcPr>
          <w:p>
            <w:pPr>
              <w:spacing w:after="0"/>
              <w:rPr>
                <w:sz w:val="20"/>
                <w:szCs w:val="20"/>
                <w:color w:val="auto"/>
              </w:rPr>
            </w:pPr>
          </w:p>
        </w:tc>
        <w:tc>
          <w:tcPr>
            <w:tcW w:w="820" w:type="dxa"/>
            <w:vAlign w:val="bottom"/>
            <w:gridSpan w:val="2"/>
            <w:vMerge w:val="continue"/>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600" w:type="dxa"/>
            <w:vAlign w:val="bottom"/>
            <w:gridSpan w:val="2"/>
            <w:vMerge w:val="continue"/>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60" w:type="dxa"/>
            <w:vAlign w:val="bottom"/>
            <w:vMerge w:val="continue"/>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60" w:type="dxa"/>
            <w:vAlign w:val="bottom"/>
            <w:gridSpan w:val="2"/>
            <w:vMerge w:val="continue"/>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60" w:type="dxa"/>
            <w:vAlign w:val="bottom"/>
            <w:gridSpan w:val="2"/>
            <w:vMerge w:val="continue"/>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20" w:type="dxa"/>
            <w:vAlign w:val="bottom"/>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118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6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74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54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33,503</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33,503</w:t>
            </w:r>
          </w:p>
        </w:tc>
        <w:tc>
          <w:tcPr>
            <w:tcW w:w="0" w:type="dxa"/>
            <w:vAlign w:val="bottom"/>
          </w:tcPr>
          <w:p>
            <w:pPr>
              <w:spacing w:after="0"/>
              <w:rPr>
                <w:sz w:val="1"/>
                <w:szCs w:val="1"/>
                <w:color w:val="auto"/>
              </w:rPr>
            </w:pPr>
          </w:p>
        </w:tc>
      </w:tr>
      <w:tr>
        <w:trPr>
          <w:trHeight w:val="175"/>
        </w:trPr>
        <w:tc>
          <w:tcPr>
            <w:tcW w:w="118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Foreign</w:t>
            </w:r>
          </w:p>
        </w:tc>
        <w:tc>
          <w:tcPr>
            <w:tcW w:w="6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tcBorders>
              <w:right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18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currency</w:t>
            </w:r>
          </w:p>
        </w:tc>
        <w:tc>
          <w:tcPr>
            <w:tcW w:w="7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60" w:type="dxa"/>
            <w:vAlign w:val="bottom"/>
            <w:tcBorders>
              <w:right w:val="single" w:sz="8" w:color="auto"/>
            </w:tcBorders>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5"/>
                <w:szCs w:val="15"/>
                <w:color w:val="auto"/>
              </w:rPr>
            </w:pPr>
          </w:p>
        </w:tc>
        <w:tc>
          <w:tcPr>
            <w:tcW w:w="740" w:type="dxa"/>
            <w:vAlign w:val="bottom"/>
            <w:gridSpan w:val="2"/>
            <w:vMerge w:val="restart"/>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5"/>
                <w:szCs w:val="15"/>
                <w:color w:val="auto"/>
              </w:rPr>
            </w:pPr>
          </w:p>
        </w:tc>
        <w:tc>
          <w:tcPr>
            <w:tcW w:w="540" w:type="dxa"/>
            <w:vAlign w:val="bottom"/>
            <w:gridSpan w:val="2"/>
            <w:vMerge w:val="restart"/>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8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5"/>
                <w:szCs w:val="15"/>
                <w:color w:val="auto"/>
              </w:rPr>
            </w:pPr>
          </w:p>
        </w:tc>
        <w:tc>
          <w:tcPr>
            <w:tcW w:w="6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5"/>
                <w:szCs w:val="15"/>
                <w:color w:val="auto"/>
              </w:rPr>
            </w:pPr>
          </w:p>
        </w:tc>
        <w:tc>
          <w:tcPr>
            <w:tcW w:w="9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5"/>
                <w:szCs w:val="15"/>
                <w:color w:val="auto"/>
              </w:rPr>
            </w:pPr>
          </w:p>
        </w:tc>
        <w:tc>
          <w:tcPr>
            <w:tcW w:w="10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5"/>
                <w:szCs w:val="15"/>
                <w:color w:val="auto"/>
              </w:rPr>
            </w:pPr>
          </w:p>
        </w:tc>
        <w:tc>
          <w:tcPr>
            <w:tcW w:w="12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888</w:t>
            </w: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888</w:t>
            </w:r>
          </w:p>
        </w:tc>
        <w:tc>
          <w:tcPr>
            <w:tcW w:w="0" w:type="dxa"/>
            <w:vAlign w:val="bottom"/>
          </w:tcPr>
          <w:p>
            <w:pPr>
              <w:spacing w:after="0"/>
              <w:rPr>
                <w:sz w:val="1"/>
                <w:szCs w:val="1"/>
                <w:color w:val="auto"/>
              </w:rPr>
            </w:pPr>
          </w:p>
        </w:tc>
      </w:tr>
      <w:tr>
        <w:trPr>
          <w:trHeight w:val="243"/>
        </w:trPr>
        <w:tc>
          <w:tcPr>
            <w:tcW w:w="1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translation</w:t>
            </w:r>
          </w:p>
        </w:tc>
        <w:tc>
          <w:tcPr>
            <w:tcW w:w="720" w:type="dxa"/>
            <w:vAlign w:val="bottom"/>
            <w:gridSpan w:val="2"/>
            <w:vMerge w:val="continue"/>
            <w:shd w:val="clear" w:color="auto" w:fill="CCEEFF"/>
          </w:tcPr>
          <w:p>
            <w:pPr>
              <w:spacing w:after="0"/>
              <w:rPr>
                <w:sz w:val="21"/>
                <w:szCs w:val="21"/>
                <w:color w:val="auto"/>
              </w:rPr>
            </w:pPr>
          </w:p>
        </w:tc>
        <w:tc>
          <w:tcPr>
            <w:tcW w:w="960" w:type="dxa"/>
            <w:vAlign w:val="bottom"/>
            <w:tcBorders>
              <w:right w:val="single" w:sz="8" w:color="auto"/>
            </w:tcBorders>
            <w:gridSpan w:val="2"/>
            <w:vMerge w:val="continue"/>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740" w:type="dxa"/>
            <w:vAlign w:val="bottom"/>
            <w:gridSpan w:val="2"/>
            <w:vMerge w:val="continue"/>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540" w:type="dxa"/>
            <w:vAlign w:val="bottom"/>
            <w:gridSpan w:val="2"/>
            <w:vMerge w:val="continue"/>
            <w:shd w:val="clear" w:color="auto" w:fill="CCEEFF"/>
          </w:tcPr>
          <w:p>
            <w:pPr>
              <w:spacing w:after="0"/>
              <w:rPr>
                <w:sz w:val="21"/>
                <w:szCs w:val="21"/>
                <w:color w:val="auto"/>
              </w:rPr>
            </w:pPr>
          </w:p>
        </w:tc>
        <w:tc>
          <w:tcPr>
            <w:tcW w:w="820" w:type="dxa"/>
            <w:vAlign w:val="bottom"/>
            <w:gridSpan w:val="2"/>
            <w:vMerge w:val="continue"/>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600" w:type="dxa"/>
            <w:vAlign w:val="bottom"/>
            <w:gridSpan w:val="2"/>
            <w:vMerge w:val="continue"/>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40" w:type="dxa"/>
            <w:vAlign w:val="bottom"/>
            <w:gridSpan w:val="2"/>
            <w:vMerge w:val="continue"/>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60" w:type="dxa"/>
            <w:vAlign w:val="bottom"/>
            <w:gridSpan w:val="2"/>
            <w:vMerge w:val="continue"/>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80" w:type="dxa"/>
            <w:vAlign w:val="bottom"/>
            <w:vMerge w:val="continue"/>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2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55"/>
        </w:trPr>
        <w:tc>
          <w:tcPr>
            <w:tcW w:w="1180" w:type="dxa"/>
            <w:vAlign w:val="bottom"/>
          </w:tcPr>
          <w:p>
            <w:pPr>
              <w:ind w:left="20"/>
              <w:spacing w:after="0" w:line="156" w:lineRule="exact"/>
              <w:rPr>
                <w:sz w:val="20"/>
                <w:szCs w:val="20"/>
                <w:color w:val="auto"/>
              </w:rPr>
            </w:pPr>
            <w:r>
              <w:rPr>
                <w:rFonts w:ascii="Arial" w:cs="Arial" w:eastAsia="Arial" w:hAnsi="Arial"/>
                <w:sz w:val="18"/>
                <w:szCs w:val="18"/>
                <w:b w:val="1"/>
                <w:bCs w:val="1"/>
                <w:color w:val="auto"/>
              </w:rPr>
              <w:t>Balance at</w:t>
            </w:r>
          </w:p>
        </w:tc>
        <w:tc>
          <w:tcPr>
            <w:tcW w:w="64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Borders>
              <w:top w:val="single" w:sz="8" w:color="auto"/>
            </w:tcBorders>
          </w:tcPr>
          <w:p>
            <w:pPr>
              <w:spacing w:after="0"/>
              <w:rPr>
                <w:sz w:val="13"/>
                <w:szCs w:val="13"/>
                <w:color w:val="auto"/>
              </w:rPr>
            </w:pPr>
          </w:p>
        </w:tc>
        <w:tc>
          <w:tcPr>
            <w:tcW w:w="100" w:type="dxa"/>
            <w:vAlign w:val="bottom"/>
            <w:tcBorders>
              <w:right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46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52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28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02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1180" w:type="dxa"/>
            <w:vAlign w:val="bottom"/>
          </w:tcPr>
          <w:p>
            <w:pPr>
              <w:ind w:left="20"/>
              <w:spacing w:after="0" w:line="176" w:lineRule="exact"/>
              <w:rPr>
                <w:sz w:val="20"/>
                <w:szCs w:val="20"/>
                <w:color w:val="auto"/>
              </w:rPr>
            </w:pPr>
            <w:r>
              <w:rPr>
                <w:rFonts w:ascii="Arial" w:cs="Arial" w:eastAsia="Arial" w:hAnsi="Arial"/>
                <w:sz w:val="18"/>
                <w:szCs w:val="18"/>
                <w:b w:val="1"/>
                <w:bCs w:val="1"/>
                <w:color w:val="auto"/>
              </w:rPr>
              <w:t>September</w:t>
            </w:r>
          </w:p>
        </w:tc>
        <w:tc>
          <w:tcPr>
            <w:tcW w:w="640" w:type="dxa"/>
            <w:vAlign w:val="bottom"/>
            <w:vMerge w:val="restart"/>
          </w:tcPr>
          <w:p>
            <w:pPr>
              <w:jc w:val="right"/>
              <w:spacing w:after="0"/>
              <w:rPr>
                <w:sz w:val="20"/>
                <w:szCs w:val="20"/>
                <w:color w:val="auto"/>
              </w:rPr>
            </w:pPr>
            <w:r>
              <w:rPr>
                <w:rFonts w:ascii="Arial" w:cs="Arial" w:eastAsia="Arial" w:hAnsi="Arial"/>
                <w:sz w:val="18"/>
                <w:szCs w:val="18"/>
                <w:color w:val="auto"/>
              </w:rPr>
              <w:t>483</w:t>
            </w:r>
          </w:p>
        </w:tc>
        <w:tc>
          <w:tcPr>
            <w:tcW w:w="80" w:type="dxa"/>
            <w:vAlign w:val="bottom"/>
          </w:tcPr>
          <w:p>
            <w:pPr>
              <w:spacing w:after="0"/>
              <w:rPr>
                <w:sz w:val="15"/>
                <w:szCs w:val="15"/>
                <w:color w:val="auto"/>
              </w:rPr>
            </w:pPr>
          </w:p>
        </w:tc>
        <w:tc>
          <w:tcPr>
            <w:tcW w:w="860" w:type="dxa"/>
            <w:vAlign w:val="bottom"/>
            <w:vMerge w:val="restart"/>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451,306</w:t>
            </w:r>
          </w:p>
        </w:tc>
        <w:tc>
          <w:tcPr>
            <w:tcW w:w="10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vMerge w:val="restart"/>
          </w:tcPr>
          <w:p>
            <w:pPr>
              <w:ind w:left="400"/>
              <w:spacing w:after="0"/>
              <w:rPr>
                <w:sz w:val="20"/>
                <w:szCs w:val="20"/>
                <w:color w:val="auto"/>
              </w:rPr>
            </w:pPr>
            <w:r>
              <w:rPr>
                <w:rFonts w:ascii="Arial" w:cs="Arial" w:eastAsia="Arial" w:hAnsi="Arial"/>
                <w:sz w:val="18"/>
                <w:szCs w:val="18"/>
                <w:color w:val="auto"/>
              </w:rPr>
              <w:t>—</w:t>
            </w:r>
          </w:p>
        </w:tc>
        <w:tc>
          <w:tcPr>
            <w:tcW w:w="80" w:type="dxa"/>
            <w:vAlign w:val="bottom"/>
            <w:vMerge w:val="restart"/>
          </w:tcPr>
          <w:p>
            <w:pPr>
              <w:spacing w:after="0"/>
              <w:rPr>
                <w:sz w:val="15"/>
                <w:szCs w:val="15"/>
                <w:color w:val="auto"/>
              </w:rPr>
            </w:pPr>
          </w:p>
        </w:tc>
        <w:tc>
          <w:tcPr>
            <w:tcW w:w="300" w:type="dxa"/>
            <w:vAlign w:val="bottom"/>
            <w:vMerge w:val="restart"/>
          </w:tcPr>
          <w:p>
            <w:pPr>
              <w:ind w:left="20"/>
              <w:spacing w:after="0"/>
              <w:rPr>
                <w:sz w:val="20"/>
                <w:szCs w:val="20"/>
                <w:color w:val="auto"/>
              </w:rPr>
            </w:pPr>
            <w:r>
              <w:rPr>
                <w:rFonts w:ascii="Arial" w:cs="Arial" w:eastAsia="Arial" w:hAnsi="Arial"/>
                <w:sz w:val="18"/>
                <w:szCs w:val="18"/>
                <w:color w:val="auto"/>
              </w:rPr>
              <w:t>$</w:t>
            </w:r>
          </w:p>
        </w:tc>
        <w:tc>
          <w:tcPr>
            <w:tcW w:w="460" w:type="dxa"/>
            <w:vAlign w:val="bottom"/>
            <w:vMerge w:val="restart"/>
          </w:tcPr>
          <w:p>
            <w:pPr>
              <w:ind w:left="200"/>
              <w:spacing w:after="0"/>
              <w:rPr>
                <w:sz w:val="20"/>
                <w:szCs w:val="20"/>
                <w:color w:val="auto"/>
              </w:rPr>
            </w:pPr>
            <w:r>
              <w:rPr>
                <w:rFonts w:ascii="Arial" w:cs="Arial" w:eastAsia="Arial" w:hAnsi="Arial"/>
                <w:sz w:val="18"/>
                <w:szCs w:val="18"/>
                <w:color w:val="auto"/>
              </w:rPr>
              <w:t>—</w:t>
            </w:r>
          </w:p>
        </w:tc>
        <w:tc>
          <w:tcPr>
            <w:tcW w:w="80" w:type="dxa"/>
            <w:vAlign w:val="bottom"/>
            <w:vMerge w:val="restart"/>
          </w:tcPr>
          <w:p>
            <w:pPr>
              <w:spacing w:after="0"/>
              <w:rPr>
                <w:sz w:val="15"/>
                <w:szCs w:val="15"/>
                <w:color w:val="auto"/>
              </w:rPr>
            </w:pPr>
          </w:p>
        </w:tc>
        <w:tc>
          <w:tcPr>
            <w:tcW w:w="740" w:type="dxa"/>
            <w:vAlign w:val="bottom"/>
            <w:vMerge w:val="restart"/>
          </w:tcPr>
          <w:p>
            <w:pPr>
              <w:jc w:val="right"/>
              <w:spacing w:after="0"/>
              <w:rPr>
                <w:sz w:val="20"/>
                <w:szCs w:val="20"/>
                <w:color w:val="auto"/>
              </w:rPr>
            </w:pPr>
            <w:r>
              <w:rPr>
                <w:rFonts w:ascii="Arial" w:cs="Arial" w:eastAsia="Arial" w:hAnsi="Arial"/>
                <w:sz w:val="18"/>
                <w:szCs w:val="18"/>
                <w:color w:val="auto"/>
                <w:w w:val="98"/>
              </w:rPr>
              <w:t>152,748</w:t>
            </w:r>
          </w:p>
        </w:tc>
        <w:tc>
          <w:tcPr>
            <w:tcW w:w="80" w:type="dxa"/>
            <w:vAlign w:val="bottom"/>
          </w:tcPr>
          <w:p>
            <w:pPr>
              <w:spacing w:after="0"/>
              <w:rPr>
                <w:sz w:val="15"/>
                <w:szCs w:val="15"/>
                <w:color w:val="auto"/>
              </w:rPr>
            </w:pPr>
          </w:p>
        </w:tc>
        <w:tc>
          <w:tcPr>
            <w:tcW w:w="240" w:type="dxa"/>
            <w:vAlign w:val="bottom"/>
            <w:vMerge w:val="restart"/>
          </w:tcPr>
          <w:p>
            <w:pPr>
              <w:ind w:left="20"/>
              <w:spacing w:after="0"/>
              <w:rPr>
                <w:sz w:val="20"/>
                <w:szCs w:val="20"/>
                <w:color w:val="auto"/>
              </w:rPr>
            </w:pPr>
            <w:r>
              <w:rPr>
                <w:rFonts w:ascii="Arial" w:cs="Arial" w:eastAsia="Arial" w:hAnsi="Arial"/>
                <w:sz w:val="18"/>
                <w:szCs w:val="18"/>
                <w:color w:val="auto"/>
              </w:rPr>
              <w:t>$</w:t>
            </w:r>
          </w:p>
        </w:tc>
        <w:tc>
          <w:tcPr>
            <w:tcW w:w="520" w:type="dxa"/>
            <w:vAlign w:val="bottom"/>
            <w:vMerge w:val="restart"/>
          </w:tcPr>
          <w:p>
            <w:pPr>
              <w:jc w:val="right"/>
              <w:spacing w:after="0"/>
              <w:rPr>
                <w:sz w:val="20"/>
                <w:szCs w:val="20"/>
                <w:color w:val="auto"/>
              </w:rPr>
            </w:pPr>
            <w:r>
              <w:rPr>
                <w:rFonts w:ascii="Arial" w:cs="Arial" w:eastAsia="Arial" w:hAnsi="Arial"/>
                <w:sz w:val="18"/>
                <w:szCs w:val="18"/>
                <w:color w:val="auto"/>
              </w:rPr>
              <w:t>152</w:t>
            </w:r>
          </w:p>
        </w:tc>
        <w:tc>
          <w:tcPr>
            <w:tcW w:w="80" w:type="dxa"/>
            <w:vAlign w:val="bottom"/>
          </w:tcPr>
          <w:p>
            <w:pPr>
              <w:spacing w:after="0"/>
              <w:rPr>
                <w:sz w:val="15"/>
                <w:szCs w:val="15"/>
                <w:color w:val="auto"/>
              </w:rPr>
            </w:pPr>
          </w:p>
        </w:tc>
        <w:tc>
          <w:tcPr>
            <w:tcW w:w="12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rPr>
              <w:t>238,043</w:t>
            </w:r>
          </w:p>
        </w:tc>
        <w:tc>
          <w:tcPr>
            <w:tcW w:w="80" w:type="dxa"/>
            <w:vAlign w:val="bottom"/>
          </w:tcPr>
          <w:p>
            <w:pPr>
              <w:spacing w:after="0"/>
              <w:rPr>
                <w:sz w:val="15"/>
                <w:szCs w:val="15"/>
                <w:color w:val="auto"/>
              </w:rPr>
            </w:pPr>
          </w:p>
        </w:tc>
        <w:tc>
          <w:tcPr>
            <w:tcW w:w="200" w:type="dxa"/>
            <w:vAlign w:val="bottom"/>
            <w:vMerge w:val="restart"/>
          </w:tcPr>
          <w:p>
            <w:pPr>
              <w:spacing w:after="0"/>
              <w:rPr>
                <w:sz w:val="20"/>
                <w:szCs w:val="20"/>
                <w:color w:val="auto"/>
              </w:rPr>
            </w:pPr>
            <w:r>
              <w:rPr>
                <w:rFonts w:ascii="Arial" w:cs="Arial" w:eastAsia="Arial" w:hAnsi="Arial"/>
                <w:sz w:val="18"/>
                <w:szCs w:val="18"/>
                <w:color w:val="auto"/>
              </w:rPr>
              <w:t>$</w:t>
            </w:r>
          </w:p>
        </w:tc>
        <w:tc>
          <w:tcPr>
            <w:tcW w:w="980" w:type="dxa"/>
            <w:vAlign w:val="bottom"/>
            <w:vMerge w:val="restart"/>
          </w:tcPr>
          <w:p>
            <w:pPr>
              <w:jc w:val="right"/>
              <w:spacing w:after="0"/>
              <w:rPr>
                <w:sz w:val="20"/>
                <w:szCs w:val="20"/>
                <w:color w:val="auto"/>
              </w:rPr>
            </w:pPr>
            <w:r>
              <w:rPr>
                <w:rFonts w:ascii="Arial" w:cs="Arial" w:eastAsia="Arial" w:hAnsi="Arial"/>
                <w:sz w:val="18"/>
                <w:szCs w:val="18"/>
                <w:color w:val="auto"/>
              </w:rPr>
              <w:t>(277,113)</w:t>
            </w:r>
          </w:p>
        </w:tc>
        <w:tc>
          <w:tcPr>
            <w:tcW w:w="80" w:type="dxa"/>
            <w:vAlign w:val="bottom"/>
          </w:tcPr>
          <w:p>
            <w:pPr>
              <w:spacing w:after="0"/>
              <w:rPr>
                <w:sz w:val="15"/>
                <w:szCs w:val="15"/>
                <w:color w:val="auto"/>
              </w:rPr>
            </w:pPr>
          </w:p>
        </w:tc>
        <w:tc>
          <w:tcPr>
            <w:tcW w:w="12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vMerge w:val="restart"/>
          </w:tcPr>
          <w:p>
            <w:pPr>
              <w:jc w:val="right"/>
              <w:spacing w:after="0"/>
              <w:rPr>
                <w:sz w:val="20"/>
                <w:szCs w:val="20"/>
                <w:color w:val="auto"/>
              </w:rPr>
            </w:pPr>
            <w:r>
              <w:rPr>
                <w:rFonts w:ascii="Arial" w:cs="Arial" w:eastAsia="Arial" w:hAnsi="Arial"/>
                <w:sz w:val="18"/>
                <w:szCs w:val="18"/>
                <w:color w:val="auto"/>
              </w:rPr>
              <w:t>(7,799)</w:t>
            </w:r>
          </w:p>
        </w:tc>
        <w:tc>
          <w:tcPr>
            <w:tcW w:w="80" w:type="dxa"/>
            <w:vAlign w:val="bottom"/>
          </w:tcPr>
          <w:p>
            <w:pPr>
              <w:spacing w:after="0"/>
              <w:rPr>
                <w:sz w:val="15"/>
                <w:szCs w:val="15"/>
                <w:color w:val="auto"/>
              </w:rPr>
            </w:pPr>
          </w:p>
        </w:tc>
        <w:tc>
          <w:tcPr>
            <w:tcW w:w="220" w:type="dxa"/>
            <w:vAlign w:val="bottom"/>
            <w:vMerge w:val="restart"/>
          </w:tcPr>
          <w:p>
            <w:pPr>
              <w:spacing w:after="0"/>
              <w:rPr>
                <w:sz w:val="20"/>
                <w:szCs w:val="20"/>
                <w:color w:val="auto"/>
              </w:rPr>
            </w:pPr>
            <w:r>
              <w:rPr>
                <w:rFonts w:ascii="Arial" w:cs="Arial" w:eastAsia="Arial" w:hAnsi="Arial"/>
                <w:sz w:val="18"/>
                <w:szCs w:val="18"/>
                <w:color w:val="auto"/>
              </w:rPr>
              <w:t>$</w:t>
            </w:r>
          </w:p>
        </w:tc>
        <w:tc>
          <w:tcPr>
            <w:tcW w:w="1020" w:type="dxa"/>
            <w:vAlign w:val="bottom"/>
            <w:vMerge w:val="restart"/>
          </w:tcPr>
          <w:p>
            <w:pPr>
              <w:jc w:val="right"/>
              <w:spacing w:after="0"/>
              <w:rPr>
                <w:sz w:val="20"/>
                <w:szCs w:val="20"/>
                <w:color w:val="auto"/>
              </w:rPr>
            </w:pPr>
            <w:r>
              <w:rPr>
                <w:rFonts w:ascii="Arial" w:cs="Arial" w:eastAsia="Arial" w:hAnsi="Arial"/>
                <w:sz w:val="18"/>
                <w:szCs w:val="18"/>
                <w:color w:val="auto"/>
              </w:rPr>
              <w:t>(46,717)</w:t>
            </w:r>
          </w:p>
        </w:tc>
        <w:tc>
          <w:tcPr>
            <w:tcW w:w="0" w:type="dxa"/>
            <w:vAlign w:val="bottom"/>
          </w:tcPr>
          <w:p>
            <w:pPr>
              <w:spacing w:after="0"/>
              <w:rPr>
                <w:sz w:val="1"/>
                <w:szCs w:val="1"/>
                <w:color w:val="auto"/>
              </w:rPr>
            </w:pPr>
          </w:p>
        </w:tc>
      </w:tr>
      <w:tr>
        <w:trPr>
          <w:trHeight w:val="261"/>
        </w:trPr>
        <w:tc>
          <w:tcPr>
            <w:tcW w:w="1180" w:type="dxa"/>
            <w:vAlign w:val="bottom"/>
          </w:tcPr>
          <w:p>
            <w:pPr>
              <w:ind w:left="20"/>
              <w:spacing w:after="0"/>
              <w:rPr>
                <w:sz w:val="20"/>
                <w:szCs w:val="20"/>
                <w:color w:val="auto"/>
              </w:rPr>
            </w:pPr>
            <w:r>
              <w:rPr>
                <w:rFonts w:ascii="Arial" w:cs="Arial" w:eastAsia="Arial" w:hAnsi="Arial"/>
                <w:sz w:val="18"/>
                <w:szCs w:val="18"/>
                <w:b w:val="1"/>
                <w:bCs w:val="1"/>
                <w:color w:val="auto"/>
              </w:rPr>
              <w:t>30, 2025</w:t>
            </w:r>
          </w:p>
        </w:tc>
        <w:tc>
          <w:tcPr>
            <w:tcW w:w="640" w:type="dxa"/>
            <w:vAlign w:val="bottom"/>
            <w:tcBorders>
              <w:bottom w:val="single" w:sz="8" w:color="auto"/>
            </w:tcBorders>
            <w:vMerge w:val="continue"/>
          </w:tcPr>
          <w:p>
            <w:pPr>
              <w:spacing w:after="0"/>
              <w:rPr>
                <w:sz w:val="22"/>
                <w:szCs w:val="22"/>
                <w:color w:val="auto"/>
              </w:rPr>
            </w:pPr>
          </w:p>
        </w:tc>
        <w:tc>
          <w:tcPr>
            <w:tcW w:w="80" w:type="dxa"/>
            <w:vAlign w:val="bottom"/>
          </w:tcPr>
          <w:p>
            <w:pPr>
              <w:spacing w:after="0"/>
              <w:rPr>
                <w:sz w:val="22"/>
                <w:szCs w:val="22"/>
                <w:color w:val="auto"/>
              </w:rPr>
            </w:pPr>
          </w:p>
        </w:tc>
        <w:tc>
          <w:tcPr>
            <w:tcW w:w="860" w:type="dxa"/>
            <w:vAlign w:val="bottom"/>
            <w:tcBorders>
              <w:bottom w:val="single" w:sz="8" w:color="auto"/>
            </w:tcBorders>
            <w:vMerge w:val="continue"/>
          </w:tcPr>
          <w:p>
            <w:pPr>
              <w:spacing w:after="0"/>
              <w:rPr>
                <w:sz w:val="22"/>
                <w:szCs w:val="22"/>
                <w:color w:val="auto"/>
              </w:rPr>
            </w:pPr>
          </w:p>
        </w:tc>
        <w:tc>
          <w:tcPr>
            <w:tcW w:w="100" w:type="dxa"/>
            <w:vAlign w:val="bottom"/>
            <w:tcBorders>
              <w:right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660" w:type="dxa"/>
            <w:vAlign w:val="bottom"/>
            <w:tcBorders>
              <w:bottom w:val="single" w:sz="8" w:color="auto"/>
            </w:tcBorders>
            <w:vMerge w:val="continue"/>
          </w:tcPr>
          <w:p>
            <w:pPr>
              <w:spacing w:after="0"/>
              <w:rPr>
                <w:sz w:val="22"/>
                <w:szCs w:val="22"/>
                <w:color w:val="auto"/>
              </w:rPr>
            </w:pPr>
          </w:p>
        </w:tc>
        <w:tc>
          <w:tcPr>
            <w:tcW w:w="80" w:type="dxa"/>
            <w:vAlign w:val="bottom"/>
            <w:vMerge w:val="continue"/>
          </w:tcPr>
          <w:p>
            <w:pPr>
              <w:spacing w:after="0"/>
              <w:rPr>
                <w:sz w:val="22"/>
                <w:szCs w:val="22"/>
                <w:color w:val="auto"/>
              </w:rPr>
            </w:pPr>
          </w:p>
        </w:tc>
        <w:tc>
          <w:tcPr>
            <w:tcW w:w="300" w:type="dxa"/>
            <w:vAlign w:val="bottom"/>
            <w:tcBorders>
              <w:bottom w:val="single" w:sz="8" w:color="auto"/>
            </w:tcBorders>
            <w:vMerge w:val="continue"/>
          </w:tcPr>
          <w:p>
            <w:pPr>
              <w:spacing w:after="0"/>
              <w:rPr>
                <w:sz w:val="22"/>
                <w:szCs w:val="22"/>
                <w:color w:val="auto"/>
              </w:rPr>
            </w:pPr>
          </w:p>
        </w:tc>
        <w:tc>
          <w:tcPr>
            <w:tcW w:w="460" w:type="dxa"/>
            <w:vAlign w:val="bottom"/>
            <w:tcBorders>
              <w:bottom w:val="single" w:sz="8" w:color="auto"/>
            </w:tcBorders>
            <w:vMerge w:val="continue"/>
          </w:tcPr>
          <w:p>
            <w:pPr>
              <w:spacing w:after="0"/>
              <w:rPr>
                <w:sz w:val="22"/>
                <w:szCs w:val="22"/>
                <w:color w:val="auto"/>
              </w:rPr>
            </w:pPr>
          </w:p>
        </w:tc>
        <w:tc>
          <w:tcPr>
            <w:tcW w:w="80" w:type="dxa"/>
            <w:vAlign w:val="bottom"/>
            <w:vMerge w:val="continue"/>
          </w:tcPr>
          <w:p>
            <w:pPr>
              <w:spacing w:after="0"/>
              <w:rPr>
                <w:sz w:val="22"/>
                <w:szCs w:val="22"/>
                <w:color w:val="auto"/>
              </w:rPr>
            </w:pPr>
          </w:p>
        </w:tc>
        <w:tc>
          <w:tcPr>
            <w:tcW w:w="740" w:type="dxa"/>
            <w:vAlign w:val="bottom"/>
            <w:tcBorders>
              <w:bottom w:val="single" w:sz="8" w:color="auto"/>
            </w:tcBorders>
            <w:vMerge w:val="continue"/>
          </w:tcPr>
          <w:p>
            <w:pPr>
              <w:spacing w:after="0"/>
              <w:rPr>
                <w:sz w:val="22"/>
                <w:szCs w:val="22"/>
                <w:color w:val="auto"/>
              </w:rPr>
            </w:pPr>
          </w:p>
        </w:tc>
        <w:tc>
          <w:tcPr>
            <w:tcW w:w="80" w:type="dxa"/>
            <w:vAlign w:val="bottom"/>
          </w:tcPr>
          <w:p>
            <w:pPr>
              <w:spacing w:after="0"/>
              <w:rPr>
                <w:sz w:val="22"/>
                <w:szCs w:val="22"/>
                <w:color w:val="auto"/>
              </w:rPr>
            </w:pPr>
          </w:p>
        </w:tc>
        <w:tc>
          <w:tcPr>
            <w:tcW w:w="240" w:type="dxa"/>
            <w:vAlign w:val="bottom"/>
            <w:tcBorders>
              <w:bottom w:val="single" w:sz="8" w:color="auto"/>
            </w:tcBorders>
            <w:vMerge w:val="continue"/>
          </w:tcPr>
          <w:p>
            <w:pPr>
              <w:spacing w:after="0"/>
              <w:rPr>
                <w:sz w:val="22"/>
                <w:szCs w:val="22"/>
                <w:color w:val="auto"/>
              </w:rPr>
            </w:pPr>
          </w:p>
        </w:tc>
        <w:tc>
          <w:tcPr>
            <w:tcW w:w="520" w:type="dxa"/>
            <w:vAlign w:val="bottom"/>
            <w:tcBorders>
              <w:bottom w:val="single" w:sz="8" w:color="auto"/>
            </w:tcBorders>
            <w:vMerge w:val="continue"/>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Borders>
              <w:bottom w:val="single" w:sz="8" w:color="auto"/>
            </w:tcBorders>
            <w:vMerge w:val="continue"/>
          </w:tcPr>
          <w:p>
            <w:pPr>
              <w:spacing w:after="0"/>
              <w:rPr>
                <w:sz w:val="22"/>
                <w:szCs w:val="22"/>
                <w:color w:val="auto"/>
              </w:rPr>
            </w:pPr>
          </w:p>
        </w:tc>
        <w:tc>
          <w:tcPr>
            <w:tcW w:w="860" w:type="dxa"/>
            <w:vAlign w:val="bottom"/>
            <w:tcBorders>
              <w:bottom w:val="single" w:sz="8" w:color="auto"/>
            </w:tcBorders>
            <w:vMerge w:val="continue"/>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Borders>
              <w:bottom w:val="single" w:sz="8" w:color="auto"/>
            </w:tcBorders>
            <w:vMerge w:val="continue"/>
          </w:tcPr>
          <w:p>
            <w:pPr>
              <w:spacing w:after="0"/>
              <w:rPr>
                <w:sz w:val="22"/>
                <w:szCs w:val="22"/>
                <w:color w:val="auto"/>
              </w:rPr>
            </w:pPr>
          </w:p>
        </w:tc>
        <w:tc>
          <w:tcPr>
            <w:tcW w:w="980" w:type="dxa"/>
            <w:vAlign w:val="bottom"/>
            <w:tcBorders>
              <w:bottom w:val="single" w:sz="8" w:color="auto"/>
            </w:tcBorders>
            <w:vMerge w:val="continue"/>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Borders>
              <w:bottom w:val="single" w:sz="8" w:color="auto"/>
            </w:tcBorders>
            <w:vMerge w:val="continue"/>
          </w:tcPr>
          <w:p>
            <w:pPr>
              <w:spacing w:after="0"/>
              <w:rPr>
                <w:sz w:val="22"/>
                <w:szCs w:val="22"/>
                <w:color w:val="auto"/>
              </w:rPr>
            </w:pPr>
          </w:p>
        </w:tc>
        <w:tc>
          <w:tcPr>
            <w:tcW w:w="1280" w:type="dxa"/>
            <w:vAlign w:val="bottom"/>
            <w:tcBorders>
              <w:bottom w:val="single" w:sz="8" w:color="auto"/>
            </w:tcBorders>
            <w:vMerge w:val="continue"/>
          </w:tcPr>
          <w:p>
            <w:pPr>
              <w:spacing w:after="0"/>
              <w:rPr>
                <w:sz w:val="22"/>
                <w:szCs w:val="22"/>
                <w:color w:val="auto"/>
              </w:rPr>
            </w:pPr>
          </w:p>
        </w:tc>
        <w:tc>
          <w:tcPr>
            <w:tcW w:w="80" w:type="dxa"/>
            <w:vAlign w:val="bottom"/>
          </w:tcPr>
          <w:p>
            <w:pPr>
              <w:spacing w:after="0"/>
              <w:rPr>
                <w:sz w:val="22"/>
                <w:szCs w:val="22"/>
                <w:color w:val="auto"/>
              </w:rPr>
            </w:pPr>
          </w:p>
        </w:tc>
        <w:tc>
          <w:tcPr>
            <w:tcW w:w="220" w:type="dxa"/>
            <w:vAlign w:val="bottom"/>
            <w:tcBorders>
              <w:bottom w:val="single" w:sz="8" w:color="auto"/>
            </w:tcBorders>
            <w:vMerge w:val="continue"/>
          </w:tcPr>
          <w:p>
            <w:pPr>
              <w:spacing w:after="0"/>
              <w:rPr>
                <w:sz w:val="22"/>
                <w:szCs w:val="22"/>
                <w:color w:val="auto"/>
              </w:rPr>
            </w:pPr>
          </w:p>
        </w:tc>
        <w:tc>
          <w:tcPr>
            <w:tcW w:w="1020" w:type="dxa"/>
            <w:vAlign w:val="bottom"/>
            <w:tcBorders>
              <w:bottom w:val="single" w:sz="8" w:color="auto"/>
            </w:tcBorders>
            <w:vMerge w:val="continue"/>
          </w:tcPr>
          <w:p>
            <w:pPr>
              <w:spacing w:after="0"/>
              <w:rPr>
                <w:sz w:val="22"/>
                <w:szCs w:val="2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02" w:right="339" w:bottom="1440" w:gutter="0" w:footer="0" w:header="0"/>
        </w:sectPr>
      </w:pPr>
    </w:p>
    <w:bookmarkStart w:id="8" w:name="page9"/>
    <w:bookmarkEnd w:id="8"/>
    <w:p>
      <w:pPr>
        <w:ind w:left="4480"/>
        <w:spacing w:after="0"/>
        <w:rPr>
          <w:sz w:val="20"/>
          <w:szCs w:val="20"/>
          <w:color w:val="auto"/>
        </w:rPr>
      </w:pPr>
      <w:r>
        <w:rPr>
          <w:rFonts w:ascii="Arial" w:cs="Arial" w:eastAsia="Arial" w:hAnsi="Arial"/>
          <w:sz w:val="20"/>
          <w:szCs w:val="20"/>
          <w:b w:val="1"/>
          <w:bCs w:val="1"/>
          <w:color w:val="auto"/>
        </w:rPr>
        <w:t>Array Technologies, Inc.</w:t>
      </w:r>
    </w:p>
    <w:p>
      <w:pPr>
        <w:spacing w:after="0" w:line="31" w:lineRule="exact"/>
        <w:rPr>
          <w:sz w:val="20"/>
          <w:szCs w:val="20"/>
          <w:color w:val="auto"/>
        </w:rPr>
      </w:pPr>
    </w:p>
    <w:p>
      <w:pPr>
        <w:ind w:left="120"/>
        <w:spacing w:after="0"/>
        <w:rPr>
          <w:sz w:val="20"/>
          <w:szCs w:val="20"/>
          <w:color w:val="auto"/>
        </w:rPr>
      </w:pPr>
      <w:r>
        <w:rPr>
          <w:rFonts w:ascii="Arial" w:cs="Arial" w:eastAsia="Arial" w:hAnsi="Arial"/>
          <w:sz w:val="19"/>
          <w:szCs w:val="19"/>
          <w:b w:val="1"/>
          <w:bCs w:val="1"/>
          <w:color w:val="auto"/>
        </w:rPr>
        <w:t>Condensed Consolidated Statements of Changes in Redeemable Perpetual Preferred Stock and Stockholders’ Equity</w:t>
      </w:r>
    </w:p>
    <w:p>
      <w:pPr>
        <w:jc w:val="center"/>
        <w:spacing w:after="0"/>
        <w:rPr>
          <w:sz w:val="20"/>
          <w:szCs w:val="20"/>
          <w:color w:val="auto"/>
        </w:rPr>
      </w:pPr>
      <w:r>
        <w:rPr>
          <w:rFonts w:ascii="Arial" w:cs="Arial" w:eastAsia="Arial" w:hAnsi="Arial"/>
          <w:sz w:val="20"/>
          <w:szCs w:val="20"/>
          <w:b w:val="1"/>
          <w:bCs w:val="1"/>
          <w:i w:val="1"/>
          <w:iCs w:val="1"/>
          <w:color w:val="auto"/>
        </w:rPr>
        <w:t>(unaudited)</w:t>
      </w:r>
    </w:p>
    <w:tbl>
      <w:tblPr>
        <w:tblLayout w:type="fixed"/>
        <w:tblInd w:w="0" w:type="dxa"/>
        <w:tblCellMar>
          <w:top w:w="0" w:type="dxa"/>
          <w:left w:w="0" w:type="dxa"/>
          <w:bottom w:w="0" w:type="dxa"/>
          <w:right w:w="0" w:type="dxa"/>
        </w:tblCellMar>
      </w:tblPr>
      <w:tr>
        <w:trPr>
          <w:trHeight w:val="261"/>
        </w:trPr>
        <w:tc>
          <w:tcPr>
            <w:tcW w:w="11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780" w:type="dxa"/>
            <w:vAlign w:val="bottom"/>
            <w:gridSpan w:val="6"/>
          </w:tcPr>
          <w:p>
            <w:pPr>
              <w:jc w:val="right"/>
              <w:spacing w:after="0"/>
              <w:rPr>
                <w:sz w:val="20"/>
                <w:szCs w:val="20"/>
                <w:color w:val="auto"/>
              </w:rPr>
            </w:pPr>
            <w:r>
              <w:rPr>
                <w:rFonts w:ascii="Arial" w:cs="Arial" w:eastAsia="Arial" w:hAnsi="Arial"/>
                <w:sz w:val="20"/>
                <w:szCs w:val="20"/>
                <w:i w:val="1"/>
                <w:iCs w:val="1"/>
                <w:color w:val="auto"/>
              </w:rPr>
              <w:t>(in thousands)</w:t>
            </w:r>
          </w:p>
        </w:tc>
        <w:tc>
          <w:tcPr>
            <w:tcW w:w="8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38"/>
        </w:trPr>
        <w:tc>
          <w:tcPr>
            <w:tcW w:w="4040" w:type="dxa"/>
            <w:vAlign w:val="bottom"/>
            <w:gridSpan w:val="9"/>
          </w:tcPr>
          <w:p>
            <w:pPr>
              <w:spacing w:after="0"/>
              <w:rPr>
                <w:sz w:val="20"/>
                <w:szCs w:val="20"/>
                <w:color w:val="auto"/>
              </w:rPr>
            </w:pPr>
            <w:r>
              <w:rPr>
                <w:rFonts w:ascii="Arial" w:cs="Arial" w:eastAsia="Arial" w:hAnsi="Arial"/>
                <w:sz w:val="20"/>
                <w:szCs w:val="20"/>
                <w:b w:val="1"/>
                <w:bCs w:val="1"/>
                <w:i w:val="1"/>
                <w:iCs w:val="1"/>
                <w:color w:val="auto"/>
              </w:rPr>
              <w:t>Three Months Ended September 30, 2024</w:t>
            </w: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1680" w:type="dxa"/>
            <w:vAlign w:val="bottom"/>
            <w:gridSpan w:val="4"/>
            <w:vMerge w:val="restart"/>
          </w:tcPr>
          <w:p>
            <w:pPr>
              <w:jc w:val="center"/>
              <w:ind w:right="80"/>
              <w:spacing w:after="0"/>
              <w:rPr>
                <w:sz w:val="20"/>
                <w:szCs w:val="20"/>
                <w:color w:val="auto"/>
              </w:rPr>
            </w:pPr>
            <w:r>
              <w:rPr>
                <w:rFonts w:ascii="Arial" w:cs="Arial" w:eastAsia="Arial" w:hAnsi="Arial"/>
                <w:sz w:val="18"/>
                <w:szCs w:val="18"/>
                <w:b w:val="1"/>
                <w:bCs w:val="1"/>
                <w:color w:val="auto"/>
                <w:w w:val="99"/>
              </w:rPr>
              <w:t>Temporary Equity</w:t>
            </w: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0" w:type="dxa"/>
            <w:vAlign w:val="bottom"/>
            <w:gridSpan w:val="5"/>
            <w:vMerge w:val="restart"/>
          </w:tcPr>
          <w:p>
            <w:pPr>
              <w:spacing w:after="0"/>
              <w:rPr>
                <w:sz w:val="20"/>
                <w:szCs w:val="20"/>
                <w:color w:val="auto"/>
              </w:rPr>
            </w:pPr>
            <w:r>
              <w:rPr>
                <w:rFonts w:ascii="Arial" w:cs="Arial" w:eastAsia="Arial" w:hAnsi="Arial"/>
                <w:sz w:val="18"/>
                <w:szCs w:val="18"/>
                <w:b w:val="1"/>
                <w:bCs w:val="1"/>
                <w:color w:val="auto"/>
              </w:rPr>
              <w:t>Permanent Equity</w:t>
            </w:r>
          </w:p>
        </w:tc>
        <w:tc>
          <w:tcPr>
            <w:tcW w:w="1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1180" w:type="dxa"/>
            <w:vAlign w:val="bottom"/>
          </w:tcPr>
          <w:p>
            <w:pPr>
              <w:spacing w:after="0"/>
              <w:rPr>
                <w:sz w:val="19"/>
                <w:szCs w:val="19"/>
                <w:color w:val="auto"/>
              </w:rPr>
            </w:pPr>
          </w:p>
        </w:tc>
        <w:tc>
          <w:tcPr>
            <w:tcW w:w="1680" w:type="dxa"/>
            <w:vAlign w:val="bottom"/>
            <w:gridSpan w:val="4"/>
            <w:vMerge w:val="continue"/>
          </w:tcPr>
          <w:p>
            <w:pPr>
              <w:spacing w:after="0"/>
              <w:rPr>
                <w:sz w:val="19"/>
                <w:szCs w:val="19"/>
                <w:color w:val="auto"/>
              </w:rPr>
            </w:pPr>
          </w:p>
        </w:tc>
        <w:tc>
          <w:tcPr>
            <w:tcW w:w="20" w:type="dxa"/>
            <w:vAlign w:val="bottom"/>
            <w:shd w:val="clear" w:color="auto" w:fill="000000"/>
          </w:tcPr>
          <w:p>
            <w:pPr>
              <w:spacing w:after="0"/>
              <w:rPr>
                <w:sz w:val="19"/>
                <w:szCs w:val="19"/>
                <w:color w:val="auto"/>
              </w:rPr>
            </w:pPr>
          </w:p>
        </w:tc>
        <w:tc>
          <w:tcPr>
            <w:tcW w:w="7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0" w:type="dxa"/>
            <w:vAlign w:val="bottom"/>
            <w:gridSpan w:val="5"/>
            <w:vMerge w:val="continue"/>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1180" w:type="dxa"/>
            <w:vAlign w:val="bottom"/>
          </w:tcPr>
          <w:p>
            <w:pPr>
              <w:spacing w:after="0"/>
              <w:rPr>
                <w:sz w:val="14"/>
                <w:szCs w:val="14"/>
                <w:color w:val="auto"/>
              </w:rPr>
            </w:pPr>
          </w:p>
        </w:tc>
        <w:tc>
          <w:tcPr>
            <w:tcW w:w="1600" w:type="dxa"/>
            <w:vAlign w:val="bottom"/>
            <w:tcBorders>
              <w:top w:val="single" w:sz="8" w:color="auto"/>
            </w:tcBorders>
            <w:gridSpan w:val="3"/>
          </w:tcPr>
          <w:p>
            <w:pPr>
              <w:jc w:val="center"/>
              <w:spacing w:after="0" w:line="169" w:lineRule="exact"/>
              <w:rPr>
                <w:sz w:val="20"/>
                <w:szCs w:val="20"/>
                <w:color w:val="auto"/>
              </w:rPr>
            </w:pPr>
            <w:r>
              <w:rPr>
                <w:rFonts w:ascii="Arial" w:cs="Arial" w:eastAsia="Arial" w:hAnsi="Arial"/>
                <w:sz w:val="18"/>
                <w:szCs w:val="18"/>
                <w:b w:val="1"/>
                <w:bCs w:val="1"/>
                <w:color w:val="auto"/>
                <w:w w:val="99"/>
              </w:rPr>
              <w:t>Series A</w:t>
            </w:r>
          </w:p>
        </w:tc>
        <w:tc>
          <w:tcPr>
            <w:tcW w:w="80" w:type="dxa"/>
            <w:vAlign w:val="bottom"/>
          </w:tcPr>
          <w:p>
            <w:pPr>
              <w:spacing w:after="0"/>
              <w:rPr>
                <w:sz w:val="14"/>
                <w:szCs w:val="14"/>
                <w:color w:val="auto"/>
              </w:rPr>
            </w:pPr>
          </w:p>
        </w:tc>
        <w:tc>
          <w:tcPr>
            <w:tcW w:w="20" w:type="dxa"/>
            <w:vAlign w:val="bottom"/>
            <w:tcBorders>
              <w:top w:val="single" w:sz="8" w:color="auto"/>
            </w:tcBorders>
            <w:shd w:val="clear" w:color="auto" w:fill="000000"/>
          </w:tcPr>
          <w:p>
            <w:pPr>
              <w:spacing w:after="0"/>
              <w:rPr>
                <w:sz w:val="14"/>
                <w:szCs w:val="14"/>
                <w:color w:val="auto"/>
              </w:rPr>
            </w:pPr>
          </w:p>
        </w:tc>
        <w:tc>
          <w:tcPr>
            <w:tcW w:w="74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340" w:type="dxa"/>
            <w:vAlign w:val="bottom"/>
            <w:tcBorders>
              <w:top w:val="single" w:sz="8" w:color="auto"/>
            </w:tcBorders>
          </w:tcPr>
          <w:p>
            <w:pPr>
              <w:spacing w:after="0"/>
              <w:rPr>
                <w:sz w:val="14"/>
                <w:szCs w:val="14"/>
                <w:color w:val="auto"/>
              </w:rPr>
            </w:pPr>
          </w:p>
        </w:tc>
        <w:tc>
          <w:tcPr>
            <w:tcW w:w="40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74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50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86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26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100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1180" w:type="dxa"/>
            <w:vAlign w:val="bottom"/>
          </w:tcPr>
          <w:p>
            <w:pPr>
              <w:spacing w:after="0"/>
              <w:rPr>
                <w:sz w:val="15"/>
                <w:szCs w:val="15"/>
                <w:color w:val="auto"/>
              </w:rPr>
            </w:pPr>
          </w:p>
        </w:tc>
        <w:tc>
          <w:tcPr>
            <w:tcW w:w="1680" w:type="dxa"/>
            <w:vAlign w:val="bottom"/>
            <w:gridSpan w:val="4"/>
          </w:tcPr>
          <w:p>
            <w:pPr>
              <w:jc w:val="center"/>
              <w:ind w:right="100"/>
              <w:spacing w:after="0" w:line="176" w:lineRule="exact"/>
              <w:rPr>
                <w:sz w:val="20"/>
                <w:szCs w:val="20"/>
                <w:color w:val="auto"/>
              </w:rPr>
            </w:pPr>
            <w:r>
              <w:rPr>
                <w:rFonts w:ascii="Arial" w:cs="Arial" w:eastAsia="Arial" w:hAnsi="Arial"/>
                <w:sz w:val="18"/>
                <w:szCs w:val="18"/>
                <w:b w:val="1"/>
                <w:bCs w:val="1"/>
                <w:color w:val="auto"/>
                <w:w w:val="99"/>
              </w:rPr>
              <w:t>Redeemable</w:t>
            </w:r>
          </w:p>
        </w:tc>
        <w:tc>
          <w:tcPr>
            <w:tcW w:w="20" w:type="dxa"/>
            <w:vAlign w:val="bottom"/>
            <w:shd w:val="clear" w:color="auto" w:fill="000000"/>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1180" w:type="dxa"/>
            <w:vAlign w:val="bottom"/>
          </w:tcPr>
          <w:p>
            <w:pPr>
              <w:spacing w:after="0"/>
              <w:rPr>
                <w:sz w:val="15"/>
                <w:szCs w:val="15"/>
                <w:color w:val="auto"/>
              </w:rPr>
            </w:pPr>
          </w:p>
        </w:tc>
        <w:tc>
          <w:tcPr>
            <w:tcW w:w="1680" w:type="dxa"/>
            <w:vAlign w:val="bottom"/>
            <w:gridSpan w:val="4"/>
          </w:tcPr>
          <w:p>
            <w:pPr>
              <w:jc w:val="center"/>
              <w:ind w:right="100"/>
              <w:spacing w:after="0" w:line="183" w:lineRule="exact"/>
              <w:rPr>
                <w:sz w:val="20"/>
                <w:szCs w:val="20"/>
                <w:color w:val="auto"/>
              </w:rPr>
            </w:pPr>
            <w:r>
              <w:rPr>
                <w:rFonts w:ascii="Arial" w:cs="Arial" w:eastAsia="Arial" w:hAnsi="Arial"/>
                <w:sz w:val="18"/>
                <w:szCs w:val="18"/>
                <w:b w:val="1"/>
                <w:bCs w:val="1"/>
                <w:color w:val="auto"/>
                <w:w w:val="99"/>
              </w:rPr>
              <w:t>Perpetual</w:t>
            </w:r>
          </w:p>
        </w:tc>
        <w:tc>
          <w:tcPr>
            <w:tcW w:w="20" w:type="dxa"/>
            <w:vAlign w:val="bottom"/>
            <w:shd w:val="clear" w:color="auto" w:fill="000000"/>
          </w:tcPr>
          <w:p>
            <w:pPr>
              <w:spacing w:after="0"/>
              <w:rPr>
                <w:sz w:val="15"/>
                <w:szCs w:val="15"/>
                <w:color w:val="auto"/>
              </w:rPr>
            </w:pPr>
          </w:p>
        </w:tc>
        <w:tc>
          <w:tcPr>
            <w:tcW w:w="1660" w:type="dxa"/>
            <w:vAlign w:val="bottom"/>
            <w:gridSpan w:val="5"/>
            <w:vMerge w:val="restart"/>
          </w:tcPr>
          <w:p>
            <w:pPr>
              <w:ind w:left="140"/>
              <w:spacing w:after="0"/>
              <w:rPr>
                <w:sz w:val="20"/>
                <w:szCs w:val="20"/>
                <w:color w:val="auto"/>
              </w:rPr>
            </w:pPr>
            <w:r>
              <w:rPr>
                <w:rFonts w:ascii="Arial" w:cs="Arial" w:eastAsia="Arial" w:hAnsi="Arial"/>
                <w:sz w:val="18"/>
                <w:szCs w:val="18"/>
                <w:b w:val="1"/>
                <w:bCs w:val="1"/>
                <w:color w:val="auto"/>
              </w:rPr>
              <w:t>Preferred Stock</w:t>
            </w:r>
          </w:p>
        </w:tc>
        <w:tc>
          <w:tcPr>
            <w:tcW w:w="1660" w:type="dxa"/>
            <w:vAlign w:val="bottom"/>
            <w:gridSpan w:val="5"/>
            <w:vMerge w:val="restart"/>
          </w:tcPr>
          <w:p>
            <w:pPr>
              <w:ind w:left="120"/>
              <w:spacing w:after="0"/>
              <w:rPr>
                <w:sz w:val="20"/>
                <w:szCs w:val="20"/>
                <w:color w:val="auto"/>
              </w:rPr>
            </w:pPr>
            <w:r>
              <w:rPr>
                <w:rFonts w:ascii="Arial" w:cs="Arial" w:eastAsia="Arial" w:hAnsi="Arial"/>
                <w:sz w:val="18"/>
                <w:szCs w:val="18"/>
                <w:b w:val="1"/>
                <w:bCs w:val="1"/>
                <w:color w:val="auto"/>
              </w:rPr>
              <w:t>Common Stock</w:t>
            </w: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5"/>
        </w:trPr>
        <w:tc>
          <w:tcPr>
            <w:tcW w:w="1180" w:type="dxa"/>
            <w:vAlign w:val="bottom"/>
          </w:tcPr>
          <w:p>
            <w:pPr>
              <w:spacing w:after="0"/>
              <w:rPr>
                <w:sz w:val="20"/>
                <w:szCs w:val="20"/>
                <w:color w:val="auto"/>
              </w:rPr>
            </w:pPr>
          </w:p>
        </w:tc>
        <w:tc>
          <w:tcPr>
            <w:tcW w:w="1680" w:type="dxa"/>
            <w:vAlign w:val="bottom"/>
            <w:gridSpan w:val="4"/>
          </w:tcPr>
          <w:p>
            <w:pPr>
              <w:jc w:val="center"/>
              <w:ind w:right="100"/>
              <w:spacing w:after="0"/>
              <w:rPr>
                <w:sz w:val="20"/>
                <w:szCs w:val="20"/>
                <w:color w:val="auto"/>
              </w:rPr>
            </w:pPr>
            <w:r>
              <w:rPr>
                <w:rFonts w:ascii="Arial" w:cs="Arial" w:eastAsia="Arial" w:hAnsi="Arial"/>
                <w:sz w:val="18"/>
                <w:szCs w:val="18"/>
                <w:b w:val="1"/>
                <w:bCs w:val="1"/>
                <w:color w:val="auto"/>
                <w:w w:val="99"/>
              </w:rPr>
              <w:t>Preferred Stock</w:t>
            </w:r>
          </w:p>
        </w:tc>
        <w:tc>
          <w:tcPr>
            <w:tcW w:w="20" w:type="dxa"/>
            <w:vAlign w:val="bottom"/>
            <w:shd w:val="clear" w:color="auto" w:fill="000000"/>
          </w:tcPr>
          <w:p>
            <w:pPr>
              <w:spacing w:after="0"/>
              <w:rPr>
                <w:sz w:val="20"/>
                <w:szCs w:val="20"/>
                <w:color w:val="auto"/>
              </w:rPr>
            </w:pPr>
          </w:p>
        </w:tc>
        <w:tc>
          <w:tcPr>
            <w:tcW w:w="1660" w:type="dxa"/>
            <w:vAlign w:val="bottom"/>
            <w:gridSpan w:val="5"/>
            <w:vMerge w:val="continue"/>
          </w:tcPr>
          <w:p>
            <w:pPr>
              <w:spacing w:after="0"/>
              <w:rPr>
                <w:sz w:val="20"/>
                <w:szCs w:val="20"/>
                <w:color w:val="auto"/>
              </w:rPr>
            </w:pPr>
          </w:p>
        </w:tc>
        <w:tc>
          <w:tcPr>
            <w:tcW w:w="1660" w:type="dxa"/>
            <w:vAlign w:val="bottom"/>
            <w:gridSpan w:val="5"/>
            <w:vMerge w:val="continue"/>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gridSpan w:val="2"/>
            <w:vMerge w:val="restart"/>
          </w:tcPr>
          <w:p>
            <w:pPr>
              <w:jc w:val="center"/>
              <w:ind w:right="220"/>
              <w:spacing w:after="0"/>
              <w:rPr>
                <w:sz w:val="20"/>
                <w:szCs w:val="20"/>
                <w:color w:val="auto"/>
              </w:rPr>
            </w:pPr>
            <w:r>
              <w:rPr>
                <w:rFonts w:ascii="Arial" w:cs="Arial" w:eastAsia="Arial" w:hAnsi="Arial"/>
                <w:sz w:val="18"/>
                <w:szCs w:val="18"/>
                <w:b w:val="1"/>
                <w:bCs w:val="1"/>
                <w:color w:val="auto"/>
                <w:w w:val="99"/>
              </w:rPr>
              <w:t>Accumulated</w:t>
            </w:r>
          </w:p>
        </w:tc>
        <w:tc>
          <w:tcPr>
            <w:tcW w:w="2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6"/>
        </w:trPr>
        <w:tc>
          <w:tcPr>
            <w:tcW w:w="1180" w:type="dxa"/>
            <w:vAlign w:val="bottom"/>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Borders>
              <w:top w:val="single" w:sz="8" w:color="auto"/>
            </w:tcBorders>
            <w:shd w:val="clear" w:color="auto" w:fill="000000"/>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4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5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gridSpan w:val="3"/>
            <w:vMerge w:val="restart"/>
          </w:tcPr>
          <w:p>
            <w:pPr>
              <w:jc w:val="center"/>
              <w:ind w:right="100"/>
              <w:spacing w:after="0"/>
              <w:rPr>
                <w:sz w:val="20"/>
                <w:szCs w:val="20"/>
                <w:color w:val="auto"/>
              </w:rPr>
            </w:pPr>
            <w:r>
              <w:rPr>
                <w:rFonts w:ascii="Arial" w:cs="Arial" w:eastAsia="Arial" w:hAnsi="Arial"/>
                <w:sz w:val="18"/>
                <w:szCs w:val="18"/>
                <w:b w:val="1"/>
                <w:bCs w:val="1"/>
                <w:color w:val="auto"/>
                <w:w w:val="99"/>
              </w:rPr>
              <w:t>Additional</w:t>
            </w:r>
          </w:p>
        </w:tc>
        <w:tc>
          <w:tcPr>
            <w:tcW w:w="2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40" w:type="dxa"/>
            <w:vAlign w:val="bottom"/>
            <w:gridSpan w:val="2"/>
            <w:vMerge w:val="continue"/>
          </w:tcPr>
          <w:p>
            <w:pPr>
              <w:spacing w:after="0"/>
              <w:rPr>
                <w:sz w:val="13"/>
                <w:szCs w:val="13"/>
                <w:color w:val="auto"/>
              </w:rPr>
            </w:pPr>
          </w:p>
        </w:tc>
        <w:tc>
          <w:tcPr>
            <w:tcW w:w="240" w:type="dxa"/>
            <w:vAlign w:val="bottom"/>
          </w:tcPr>
          <w:p>
            <w:pPr>
              <w:spacing w:after="0"/>
              <w:rPr>
                <w:sz w:val="13"/>
                <w:szCs w:val="13"/>
                <w:color w:val="auto"/>
              </w:rPr>
            </w:pPr>
          </w:p>
        </w:tc>
        <w:tc>
          <w:tcPr>
            <w:tcW w:w="1000" w:type="dxa"/>
            <w:vAlign w:val="bottom"/>
            <w:vMerge w:val="restart"/>
          </w:tcPr>
          <w:p>
            <w:pPr>
              <w:jc w:val="right"/>
              <w:ind w:right="33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175"/>
        </w:trPr>
        <w:tc>
          <w:tcPr>
            <w:tcW w:w="11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shd w:val="clear" w:color="auto" w:fill="000000"/>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gridSpan w:val="3"/>
            <w:vMerge w:val="continue"/>
          </w:tcPr>
          <w:p>
            <w:pPr>
              <w:spacing w:after="0"/>
              <w:rPr>
                <w:sz w:val="15"/>
                <w:szCs w:val="15"/>
                <w:color w:val="auto"/>
              </w:rPr>
            </w:pPr>
          </w:p>
        </w:tc>
        <w:tc>
          <w:tcPr>
            <w:tcW w:w="1260" w:type="dxa"/>
            <w:vAlign w:val="bottom"/>
            <w:gridSpan w:val="3"/>
            <w:vMerge w:val="restart"/>
          </w:tcPr>
          <w:p>
            <w:pPr>
              <w:jc w:val="right"/>
              <w:ind w:right="100"/>
              <w:spacing w:after="0"/>
              <w:rPr>
                <w:sz w:val="20"/>
                <w:szCs w:val="20"/>
                <w:color w:val="auto"/>
              </w:rPr>
            </w:pPr>
            <w:r>
              <w:rPr>
                <w:rFonts w:ascii="Arial" w:cs="Arial" w:eastAsia="Arial" w:hAnsi="Arial"/>
                <w:sz w:val="18"/>
                <w:szCs w:val="18"/>
                <w:b w:val="1"/>
                <w:bCs w:val="1"/>
                <w:color w:val="auto"/>
              </w:rPr>
              <w:t>Accumulated</w:t>
            </w:r>
          </w:p>
        </w:tc>
        <w:tc>
          <w:tcPr>
            <w:tcW w:w="140" w:type="dxa"/>
            <w:vAlign w:val="bottom"/>
          </w:tcPr>
          <w:p>
            <w:pPr>
              <w:spacing w:after="0"/>
              <w:rPr>
                <w:sz w:val="15"/>
                <w:szCs w:val="15"/>
                <w:color w:val="auto"/>
              </w:rPr>
            </w:pPr>
          </w:p>
        </w:tc>
        <w:tc>
          <w:tcPr>
            <w:tcW w:w="1340" w:type="dxa"/>
            <w:vAlign w:val="bottom"/>
            <w:gridSpan w:val="2"/>
          </w:tcPr>
          <w:p>
            <w:pPr>
              <w:jc w:val="center"/>
              <w:ind w:right="220"/>
              <w:spacing w:after="0" w:line="176" w:lineRule="exact"/>
              <w:rPr>
                <w:sz w:val="20"/>
                <w:szCs w:val="20"/>
                <w:color w:val="auto"/>
              </w:rPr>
            </w:pPr>
            <w:r>
              <w:rPr>
                <w:rFonts w:ascii="Arial" w:cs="Arial" w:eastAsia="Arial" w:hAnsi="Arial"/>
                <w:sz w:val="18"/>
                <w:szCs w:val="18"/>
                <w:b w:val="1"/>
                <w:bCs w:val="1"/>
                <w:color w:val="auto"/>
                <w:w w:val="99"/>
              </w:rPr>
              <w:t>Other</w:t>
            </w:r>
          </w:p>
        </w:tc>
        <w:tc>
          <w:tcPr>
            <w:tcW w:w="240" w:type="dxa"/>
            <w:vAlign w:val="bottom"/>
          </w:tcPr>
          <w:p>
            <w:pPr>
              <w:spacing w:after="0"/>
              <w:rPr>
                <w:sz w:val="15"/>
                <w:szCs w:val="15"/>
                <w:color w:val="auto"/>
              </w:rPr>
            </w:pPr>
          </w:p>
        </w:tc>
        <w:tc>
          <w:tcPr>
            <w:tcW w:w="10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180" w:type="dxa"/>
            <w:vAlign w:val="bottom"/>
          </w:tcPr>
          <w:p>
            <w:pPr>
              <w:spacing w:after="0"/>
              <w:rPr>
                <w:sz w:val="15"/>
                <w:szCs w:val="15"/>
                <w:color w:val="auto"/>
              </w:rPr>
            </w:pPr>
          </w:p>
        </w:tc>
        <w:tc>
          <w:tcPr>
            <w:tcW w:w="74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rPr>
              <w:t>Shares</w:t>
            </w:r>
          </w:p>
        </w:tc>
        <w:tc>
          <w:tcPr>
            <w:tcW w:w="940" w:type="dxa"/>
            <w:vAlign w:val="bottom"/>
            <w:gridSpan w:val="2"/>
            <w:vMerge w:val="restart"/>
          </w:tcPr>
          <w:p>
            <w:pPr>
              <w:ind w:left="80"/>
              <w:spacing w:after="0"/>
              <w:rPr>
                <w:sz w:val="20"/>
                <w:szCs w:val="20"/>
                <w:color w:val="auto"/>
              </w:rPr>
            </w:pPr>
            <w:r>
              <w:rPr>
                <w:rFonts w:ascii="Arial" w:cs="Arial" w:eastAsia="Arial" w:hAnsi="Arial"/>
                <w:sz w:val="18"/>
                <w:szCs w:val="18"/>
                <w:b w:val="1"/>
                <w:bCs w:val="1"/>
                <w:color w:val="auto"/>
              </w:rPr>
              <w:t>Amount</w:t>
            </w:r>
          </w:p>
        </w:tc>
        <w:tc>
          <w:tcPr>
            <w:tcW w:w="20" w:type="dxa"/>
            <w:vAlign w:val="bottom"/>
            <w:shd w:val="clear" w:color="auto" w:fill="000000"/>
          </w:tcPr>
          <w:p>
            <w:pPr>
              <w:spacing w:after="0"/>
              <w:rPr>
                <w:sz w:val="15"/>
                <w:szCs w:val="15"/>
                <w:color w:val="auto"/>
              </w:rPr>
            </w:pPr>
          </w:p>
        </w:tc>
        <w:tc>
          <w:tcPr>
            <w:tcW w:w="820" w:type="dxa"/>
            <w:vAlign w:val="bottom"/>
            <w:gridSpan w:val="2"/>
            <w:vMerge w:val="restart"/>
          </w:tcPr>
          <w:p>
            <w:pPr>
              <w:ind w:left="100"/>
              <w:spacing w:after="0"/>
              <w:rPr>
                <w:sz w:val="20"/>
                <w:szCs w:val="20"/>
                <w:color w:val="auto"/>
              </w:rPr>
            </w:pPr>
            <w:r>
              <w:rPr>
                <w:rFonts w:ascii="Arial" w:cs="Arial" w:eastAsia="Arial" w:hAnsi="Arial"/>
                <w:sz w:val="18"/>
                <w:szCs w:val="18"/>
                <w:b w:val="1"/>
                <w:bCs w:val="1"/>
                <w:color w:val="auto"/>
              </w:rPr>
              <w:t>Shares</w:t>
            </w:r>
          </w:p>
        </w:tc>
        <w:tc>
          <w:tcPr>
            <w:tcW w:w="840" w:type="dxa"/>
            <w:vAlign w:val="bottom"/>
            <w:gridSpan w:val="3"/>
            <w:vMerge w:val="restart"/>
          </w:tcPr>
          <w:p>
            <w:pPr>
              <w:ind w:left="40"/>
              <w:spacing w:after="0"/>
              <w:rPr>
                <w:sz w:val="20"/>
                <w:szCs w:val="20"/>
                <w:color w:val="auto"/>
              </w:rPr>
            </w:pPr>
            <w:r>
              <w:rPr>
                <w:rFonts w:ascii="Arial" w:cs="Arial" w:eastAsia="Arial" w:hAnsi="Arial"/>
                <w:sz w:val="18"/>
                <w:szCs w:val="18"/>
                <w:b w:val="1"/>
                <w:bCs w:val="1"/>
                <w:color w:val="auto"/>
              </w:rPr>
              <w:t>Amount</w:t>
            </w:r>
          </w:p>
        </w:tc>
        <w:tc>
          <w:tcPr>
            <w:tcW w:w="820" w:type="dxa"/>
            <w:vAlign w:val="bottom"/>
            <w:gridSpan w:val="2"/>
            <w:vMerge w:val="restart"/>
          </w:tcPr>
          <w:p>
            <w:pPr>
              <w:ind w:left="60"/>
              <w:spacing w:after="0"/>
              <w:rPr>
                <w:sz w:val="20"/>
                <w:szCs w:val="20"/>
                <w:color w:val="auto"/>
              </w:rPr>
            </w:pPr>
            <w:r>
              <w:rPr>
                <w:rFonts w:ascii="Arial" w:cs="Arial" w:eastAsia="Arial" w:hAnsi="Arial"/>
                <w:sz w:val="18"/>
                <w:szCs w:val="18"/>
                <w:b w:val="1"/>
                <w:bCs w:val="1"/>
                <w:color w:val="auto"/>
              </w:rPr>
              <w:t>Shares</w:t>
            </w:r>
          </w:p>
        </w:tc>
        <w:tc>
          <w:tcPr>
            <w:tcW w:w="840" w:type="dxa"/>
            <w:vAlign w:val="bottom"/>
            <w:gridSpan w:val="3"/>
            <w:vMerge w:val="restart"/>
          </w:tcPr>
          <w:p>
            <w:pPr>
              <w:ind w:left="40"/>
              <w:spacing w:after="0"/>
              <w:rPr>
                <w:sz w:val="20"/>
                <w:szCs w:val="20"/>
                <w:color w:val="auto"/>
              </w:rPr>
            </w:pPr>
            <w:r>
              <w:rPr>
                <w:rFonts w:ascii="Arial" w:cs="Arial" w:eastAsia="Arial" w:hAnsi="Arial"/>
                <w:sz w:val="18"/>
                <w:szCs w:val="18"/>
                <w:b w:val="1"/>
                <w:bCs w:val="1"/>
                <w:color w:val="auto"/>
              </w:rPr>
              <w:t>Amount</w:t>
            </w:r>
          </w:p>
        </w:tc>
        <w:tc>
          <w:tcPr>
            <w:tcW w:w="120" w:type="dxa"/>
            <w:vAlign w:val="bottom"/>
          </w:tcPr>
          <w:p>
            <w:pPr>
              <w:spacing w:after="0"/>
              <w:rPr>
                <w:sz w:val="15"/>
                <w:szCs w:val="15"/>
                <w:color w:val="auto"/>
              </w:rPr>
            </w:pPr>
          </w:p>
        </w:tc>
        <w:tc>
          <w:tcPr>
            <w:tcW w:w="940" w:type="dxa"/>
            <w:vAlign w:val="bottom"/>
            <w:gridSpan w:val="2"/>
          </w:tcPr>
          <w:p>
            <w:pPr>
              <w:jc w:val="center"/>
              <w:ind w:right="220"/>
              <w:spacing w:after="0" w:line="176" w:lineRule="exact"/>
              <w:rPr>
                <w:sz w:val="20"/>
                <w:szCs w:val="20"/>
                <w:color w:val="auto"/>
              </w:rPr>
            </w:pPr>
            <w:r>
              <w:rPr>
                <w:rFonts w:ascii="Arial" w:cs="Arial" w:eastAsia="Arial" w:hAnsi="Arial"/>
                <w:sz w:val="18"/>
                <w:szCs w:val="18"/>
                <w:b w:val="1"/>
                <w:bCs w:val="1"/>
                <w:color w:val="auto"/>
                <w:w w:val="99"/>
              </w:rPr>
              <w:t>Paid-In</w:t>
            </w:r>
          </w:p>
        </w:tc>
        <w:tc>
          <w:tcPr>
            <w:tcW w:w="1260" w:type="dxa"/>
            <w:vAlign w:val="bottom"/>
            <w:gridSpan w:val="3"/>
            <w:vMerge w:val="continue"/>
          </w:tcPr>
          <w:p>
            <w:pPr>
              <w:spacing w:after="0"/>
              <w:rPr>
                <w:sz w:val="15"/>
                <w:szCs w:val="15"/>
                <w:color w:val="auto"/>
              </w:rPr>
            </w:pPr>
          </w:p>
        </w:tc>
        <w:tc>
          <w:tcPr>
            <w:tcW w:w="1480" w:type="dxa"/>
            <w:vAlign w:val="bottom"/>
            <w:gridSpan w:val="3"/>
          </w:tcPr>
          <w:p>
            <w:pPr>
              <w:jc w:val="center"/>
              <w:ind w:right="80"/>
              <w:spacing w:after="0" w:line="176" w:lineRule="exact"/>
              <w:rPr>
                <w:sz w:val="20"/>
                <w:szCs w:val="20"/>
                <w:color w:val="auto"/>
              </w:rPr>
            </w:pPr>
            <w:r>
              <w:rPr>
                <w:rFonts w:ascii="Arial" w:cs="Arial" w:eastAsia="Arial" w:hAnsi="Arial"/>
                <w:sz w:val="18"/>
                <w:szCs w:val="18"/>
                <w:b w:val="1"/>
                <w:bCs w:val="1"/>
                <w:color w:val="auto"/>
              </w:rPr>
              <w:t>Comprehensive</w:t>
            </w:r>
          </w:p>
        </w:tc>
        <w:tc>
          <w:tcPr>
            <w:tcW w:w="1240" w:type="dxa"/>
            <w:vAlign w:val="bottom"/>
            <w:gridSpan w:val="2"/>
          </w:tcPr>
          <w:p>
            <w:pPr>
              <w:ind w:left="20"/>
              <w:spacing w:after="0" w:line="176" w:lineRule="exact"/>
              <w:rPr>
                <w:sz w:val="20"/>
                <w:szCs w:val="20"/>
                <w:color w:val="auto"/>
              </w:rPr>
            </w:pPr>
            <w:r>
              <w:rPr>
                <w:rFonts w:ascii="Arial" w:cs="Arial" w:eastAsia="Arial" w:hAnsi="Arial"/>
                <w:sz w:val="18"/>
                <w:szCs w:val="18"/>
                <w:b w:val="1"/>
                <w:bCs w:val="1"/>
                <w:color w:val="auto"/>
              </w:rPr>
              <w:t>Stockholders’</w:t>
            </w:r>
          </w:p>
        </w:tc>
        <w:tc>
          <w:tcPr>
            <w:tcW w:w="0" w:type="dxa"/>
            <w:vAlign w:val="bottom"/>
          </w:tcPr>
          <w:p>
            <w:pPr>
              <w:spacing w:after="0"/>
              <w:rPr>
                <w:sz w:val="1"/>
                <w:szCs w:val="1"/>
                <w:color w:val="auto"/>
              </w:rPr>
            </w:pPr>
          </w:p>
        </w:tc>
      </w:tr>
      <w:tr>
        <w:trPr>
          <w:trHeight w:val="243"/>
        </w:trPr>
        <w:tc>
          <w:tcPr>
            <w:tcW w:w="1180" w:type="dxa"/>
            <w:vAlign w:val="bottom"/>
          </w:tcPr>
          <w:p>
            <w:pPr>
              <w:spacing w:after="0"/>
              <w:rPr>
                <w:sz w:val="21"/>
                <w:szCs w:val="21"/>
                <w:color w:val="auto"/>
              </w:rPr>
            </w:pPr>
          </w:p>
        </w:tc>
        <w:tc>
          <w:tcPr>
            <w:tcW w:w="740" w:type="dxa"/>
            <w:vAlign w:val="bottom"/>
            <w:gridSpan w:val="2"/>
            <w:vMerge w:val="continue"/>
          </w:tcPr>
          <w:p>
            <w:pPr>
              <w:spacing w:after="0"/>
              <w:rPr>
                <w:sz w:val="21"/>
                <w:szCs w:val="21"/>
                <w:color w:val="auto"/>
              </w:rPr>
            </w:pPr>
          </w:p>
        </w:tc>
        <w:tc>
          <w:tcPr>
            <w:tcW w:w="940" w:type="dxa"/>
            <w:vAlign w:val="bottom"/>
            <w:gridSpan w:val="2"/>
            <w:vMerge w:val="continue"/>
          </w:tcPr>
          <w:p>
            <w:pPr>
              <w:spacing w:after="0"/>
              <w:rPr>
                <w:sz w:val="21"/>
                <w:szCs w:val="21"/>
                <w:color w:val="auto"/>
              </w:rPr>
            </w:pPr>
          </w:p>
        </w:tc>
        <w:tc>
          <w:tcPr>
            <w:tcW w:w="20" w:type="dxa"/>
            <w:vAlign w:val="bottom"/>
            <w:shd w:val="clear" w:color="auto" w:fill="000000"/>
          </w:tcPr>
          <w:p>
            <w:pPr>
              <w:spacing w:after="0"/>
              <w:rPr>
                <w:sz w:val="21"/>
                <w:szCs w:val="21"/>
                <w:color w:val="auto"/>
              </w:rPr>
            </w:pPr>
          </w:p>
        </w:tc>
        <w:tc>
          <w:tcPr>
            <w:tcW w:w="820" w:type="dxa"/>
            <w:vAlign w:val="bottom"/>
            <w:gridSpan w:val="2"/>
            <w:vMerge w:val="continue"/>
          </w:tcPr>
          <w:p>
            <w:pPr>
              <w:spacing w:after="0"/>
              <w:rPr>
                <w:sz w:val="21"/>
                <w:szCs w:val="21"/>
                <w:color w:val="auto"/>
              </w:rPr>
            </w:pPr>
          </w:p>
        </w:tc>
        <w:tc>
          <w:tcPr>
            <w:tcW w:w="840" w:type="dxa"/>
            <w:vAlign w:val="bottom"/>
            <w:gridSpan w:val="3"/>
            <w:vMerge w:val="continue"/>
          </w:tcPr>
          <w:p>
            <w:pPr>
              <w:spacing w:after="0"/>
              <w:rPr>
                <w:sz w:val="21"/>
                <w:szCs w:val="21"/>
                <w:color w:val="auto"/>
              </w:rPr>
            </w:pPr>
          </w:p>
        </w:tc>
        <w:tc>
          <w:tcPr>
            <w:tcW w:w="820" w:type="dxa"/>
            <w:vAlign w:val="bottom"/>
            <w:gridSpan w:val="2"/>
            <w:vMerge w:val="continue"/>
          </w:tcPr>
          <w:p>
            <w:pPr>
              <w:spacing w:after="0"/>
              <w:rPr>
                <w:sz w:val="21"/>
                <w:szCs w:val="21"/>
                <w:color w:val="auto"/>
              </w:rPr>
            </w:pPr>
          </w:p>
        </w:tc>
        <w:tc>
          <w:tcPr>
            <w:tcW w:w="840" w:type="dxa"/>
            <w:vAlign w:val="bottom"/>
            <w:gridSpan w:val="3"/>
            <w:vMerge w:val="continue"/>
          </w:tcPr>
          <w:p>
            <w:pPr>
              <w:spacing w:after="0"/>
              <w:rPr>
                <w:sz w:val="21"/>
                <w:szCs w:val="21"/>
                <w:color w:val="auto"/>
              </w:rPr>
            </w:pPr>
          </w:p>
        </w:tc>
        <w:tc>
          <w:tcPr>
            <w:tcW w:w="120" w:type="dxa"/>
            <w:vAlign w:val="bottom"/>
          </w:tcPr>
          <w:p>
            <w:pPr>
              <w:spacing w:after="0"/>
              <w:rPr>
                <w:sz w:val="21"/>
                <w:szCs w:val="21"/>
                <w:color w:val="auto"/>
              </w:rPr>
            </w:pPr>
          </w:p>
        </w:tc>
        <w:tc>
          <w:tcPr>
            <w:tcW w:w="9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9"/>
              </w:rPr>
              <w:t>Capital</w:t>
            </w:r>
          </w:p>
        </w:tc>
        <w:tc>
          <w:tcPr>
            <w:tcW w:w="220" w:type="dxa"/>
            <w:vAlign w:val="bottom"/>
          </w:tcPr>
          <w:p>
            <w:pPr>
              <w:spacing w:after="0"/>
              <w:rPr>
                <w:sz w:val="21"/>
                <w:szCs w:val="21"/>
                <w:color w:val="auto"/>
              </w:rPr>
            </w:pPr>
          </w:p>
        </w:tc>
        <w:tc>
          <w:tcPr>
            <w:tcW w:w="1040" w:type="dxa"/>
            <w:vAlign w:val="bottom"/>
            <w:gridSpan w:val="2"/>
          </w:tcPr>
          <w:p>
            <w:pPr>
              <w:ind w:left="100"/>
              <w:spacing w:after="0"/>
              <w:rPr>
                <w:sz w:val="20"/>
                <w:szCs w:val="20"/>
                <w:color w:val="auto"/>
              </w:rPr>
            </w:pPr>
            <w:r>
              <w:rPr>
                <w:rFonts w:ascii="Arial" w:cs="Arial" w:eastAsia="Arial" w:hAnsi="Arial"/>
                <w:sz w:val="18"/>
                <w:szCs w:val="18"/>
                <w:b w:val="1"/>
                <w:bCs w:val="1"/>
                <w:color w:val="auto"/>
              </w:rPr>
              <w:t>Deficit</w:t>
            </w:r>
          </w:p>
        </w:tc>
        <w:tc>
          <w:tcPr>
            <w:tcW w:w="140" w:type="dxa"/>
            <w:vAlign w:val="bottom"/>
          </w:tcPr>
          <w:p>
            <w:pPr>
              <w:spacing w:after="0"/>
              <w:rPr>
                <w:sz w:val="21"/>
                <w:szCs w:val="21"/>
                <w:color w:val="auto"/>
              </w:rPr>
            </w:pPr>
          </w:p>
        </w:tc>
        <w:tc>
          <w:tcPr>
            <w:tcW w:w="13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9"/>
              </w:rPr>
              <w:t>Loss</w:t>
            </w:r>
          </w:p>
        </w:tc>
        <w:tc>
          <w:tcPr>
            <w:tcW w:w="240" w:type="dxa"/>
            <w:vAlign w:val="bottom"/>
          </w:tcPr>
          <w:p>
            <w:pPr>
              <w:spacing w:after="0"/>
              <w:rPr>
                <w:sz w:val="21"/>
                <w:szCs w:val="21"/>
                <w:color w:val="auto"/>
              </w:rPr>
            </w:pPr>
          </w:p>
        </w:tc>
        <w:tc>
          <w:tcPr>
            <w:tcW w:w="1000" w:type="dxa"/>
            <w:vAlign w:val="bottom"/>
          </w:tcPr>
          <w:p>
            <w:pPr>
              <w:jc w:val="right"/>
              <w:ind w:right="250"/>
              <w:spacing w:after="0"/>
              <w:rPr>
                <w:sz w:val="20"/>
                <w:szCs w:val="20"/>
                <w:color w:val="auto"/>
              </w:rPr>
            </w:pPr>
            <w:r>
              <w:rPr>
                <w:rFonts w:ascii="Arial" w:cs="Arial" w:eastAsia="Arial" w:hAnsi="Arial"/>
                <w:sz w:val="18"/>
                <w:szCs w:val="18"/>
                <w:b w:val="1"/>
                <w:bCs w:val="1"/>
                <w:color w:val="auto"/>
              </w:rPr>
              <w:t>Equity</w:t>
            </w:r>
          </w:p>
        </w:tc>
        <w:tc>
          <w:tcPr>
            <w:tcW w:w="0" w:type="dxa"/>
            <w:vAlign w:val="bottom"/>
          </w:tcPr>
          <w:p>
            <w:pPr>
              <w:spacing w:after="0"/>
              <w:rPr>
                <w:sz w:val="1"/>
                <w:szCs w:val="1"/>
                <w:color w:val="auto"/>
              </w:rPr>
            </w:pPr>
          </w:p>
        </w:tc>
      </w:tr>
      <w:tr>
        <w:trPr>
          <w:trHeight w:val="155"/>
        </w:trPr>
        <w:tc>
          <w:tcPr>
            <w:tcW w:w="1180" w:type="dxa"/>
            <w:vAlign w:val="bottom"/>
            <w:tcBorders>
              <w:top w:val="single" w:sz="8" w:color="CCEEFF"/>
            </w:tcBorders>
            <w:shd w:val="clear" w:color="auto" w:fill="CCEEFF"/>
          </w:tcPr>
          <w:p>
            <w:pPr>
              <w:ind w:left="20"/>
              <w:spacing w:after="0" w:line="156" w:lineRule="exact"/>
              <w:rPr>
                <w:sz w:val="20"/>
                <w:szCs w:val="20"/>
                <w:color w:val="auto"/>
              </w:rPr>
            </w:pPr>
            <w:r>
              <w:rPr>
                <w:rFonts w:ascii="Arial" w:cs="Arial" w:eastAsia="Arial" w:hAnsi="Arial"/>
                <w:sz w:val="18"/>
                <w:szCs w:val="18"/>
                <w:b w:val="1"/>
                <w:bCs w:val="1"/>
                <w:color w:val="auto"/>
              </w:rPr>
              <w:t>Balance at</w:t>
            </w:r>
          </w:p>
        </w:tc>
        <w:tc>
          <w:tcPr>
            <w:tcW w:w="66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86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auto"/>
            </w:tcBorders>
            <w:shd w:val="clear" w:color="auto" w:fill="000000"/>
          </w:tcPr>
          <w:p>
            <w:pPr>
              <w:spacing w:after="0"/>
              <w:rPr>
                <w:sz w:val="13"/>
                <w:szCs w:val="13"/>
                <w:color w:val="auto"/>
              </w:rPr>
            </w:pPr>
          </w:p>
        </w:tc>
        <w:tc>
          <w:tcPr>
            <w:tcW w:w="740" w:type="dxa"/>
            <w:vAlign w:val="bottom"/>
            <w:tcBorders>
              <w:top w:val="single" w:sz="8" w:color="auto"/>
              <w:left w:val="single" w:sz="8" w:color="CCEE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340" w:type="dxa"/>
            <w:vAlign w:val="bottom"/>
            <w:tcBorders>
              <w:top w:val="single" w:sz="8" w:color="auto"/>
            </w:tcBorders>
            <w:shd w:val="clear" w:color="auto" w:fill="CCEEFF"/>
          </w:tcPr>
          <w:p>
            <w:pPr>
              <w:spacing w:after="0"/>
              <w:rPr>
                <w:sz w:val="13"/>
                <w:szCs w:val="13"/>
                <w:color w:val="auto"/>
              </w:rPr>
            </w:pPr>
          </w:p>
        </w:tc>
        <w:tc>
          <w:tcPr>
            <w:tcW w:w="40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74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40" w:type="dxa"/>
            <w:vAlign w:val="bottom"/>
            <w:tcBorders>
              <w:top w:val="single" w:sz="8" w:color="auto"/>
            </w:tcBorders>
            <w:shd w:val="clear" w:color="auto" w:fill="CCEEFF"/>
          </w:tcPr>
          <w:p>
            <w:pPr>
              <w:spacing w:after="0"/>
              <w:rPr>
                <w:sz w:val="13"/>
                <w:szCs w:val="13"/>
                <w:color w:val="auto"/>
              </w:rPr>
            </w:pPr>
          </w:p>
        </w:tc>
        <w:tc>
          <w:tcPr>
            <w:tcW w:w="50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86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spacing w:after="0"/>
              <w:rPr>
                <w:sz w:val="13"/>
                <w:szCs w:val="13"/>
                <w:color w:val="auto"/>
              </w:rPr>
            </w:pPr>
          </w:p>
        </w:tc>
        <w:tc>
          <w:tcPr>
            <w:tcW w:w="96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126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40" w:type="dxa"/>
            <w:vAlign w:val="bottom"/>
            <w:tcBorders>
              <w:top w:val="single" w:sz="8" w:color="auto"/>
            </w:tcBorders>
            <w:shd w:val="clear" w:color="auto" w:fill="CCEEFF"/>
          </w:tcPr>
          <w:p>
            <w:pPr>
              <w:spacing w:after="0"/>
              <w:rPr>
                <w:sz w:val="13"/>
                <w:szCs w:val="13"/>
                <w:color w:val="auto"/>
              </w:rPr>
            </w:pPr>
          </w:p>
        </w:tc>
        <w:tc>
          <w:tcPr>
            <w:tcW w:w="100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118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b w:val="1"/>
                <w:bCs w:val="1"/>
                <w:color w:val="auto"/>
              </w:rPr>
              <w:t>June 30,</w:t>
            </w: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446</w:t>
            </w:r>
          </w:p>
        </w:tc>
        <w:tc>
          <w:tcPr>
            <w:tcW w:w="80" w:type="dxa"/>
            <w:vAlign w:val="bottom"/>
            <w:shd w:val="clear" w:color="auto" w:fill="CCEEFF"/>
          </w:tcPr>
          <w:p>
            <w:pPr>
              <w:spacing w:after="0"/>
              <w:rPr>
                <w:sz w:val="15"/>
                <w:szCs w:val="15"/>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$378,512</w:t>
            </w:r>
          </w:p>
        </w:tc>
        <w:tc>
          <w:tcPr>
            <w:tcW w:w="80" w:type="dxa"/>
            <w:vAlign w:val="bottom"/>
            <w:shd w:val="clear" w:color="auto" w:fill="CCEEFF"/>
          </w:tcPr>
          <w:p>
            <w:pPr>
              <w:spacing w:after="0"/>
              <w:rPr>
                <w:sz w:val="15"/>
                <w:szCs w:val="15"/>
                <w:color w:val="auto"/>
              </w:rPr>
            </w:pPr>
          </w:p>
        </w:tc>
        <w:tc>
          <w:tcPr>
            <w:tcW w:w="20" w:type="dxa"/>
            <w:vAlign w:val="bottom"/>
            <w:shd w:val="clear" w:color="auto" w:fill="000000"/>
          </w:tcPr>
          <w:p>
            <w:pPr>
              <w:spacing w:after="0"/>
              <w:rPr>
                <w:sz w:val="15"/>
                <w:szCs w:val="15"/>
                <w:color w:val="auto"/>
              </w:rPr>
            </w:pPr>
          </w:p>
        </w:tc>
        <w:tc>
          <w:tcPr>
            <w:tcW w:w="820" w:type="dxa"/>
            <w:vAlign w:val="bottom"/>
            <w:tcBorders>
              <w:left w:val="single" w:sz="8" w:color="CCEEFF"/>
            </w:tcBorders>
            <w:gridSpan w:val="2"/>
            <w:vMerge w:val="restart"/>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340" w:type="dxa"/>
            <w:vAlign w:val="bottom"/>
            <w:vMerge w:val="restart"/>
            <w:shd w:val="clear" w:color="auto" w:fill="CCEEFF"/>
          </w:tcPr>
          <w:p>
            <w:pPr>
              <w:ind w:left="20"/>
              <w:spacing w:after="0"/>
              <w:rPr>
                <w:sz w:val="20"/>
                <w:szCs w:val="20"/>
                <w:color w:val="auto"/>
              </w:rPr>
            </w:pPr>
            <w:r>
              <w:rPr>
                <w:rFonts w:ascii="Arial" w:cs="Arial" w:eastAsia="Arial" w:hAnsi="Arial"/>
                <w:sz w:val="18"/>
                <w:szCs w:val="18"/>
                <w:color w:val="auto"/>
              </w:rPr>
              <w:t>$</w:t>
            </w:r>
          </w:p>
        </w:tc>
        <w:tc>
          <w:tcPr>
            <w:tcW w:w="500" w:type="dxa"/>
            <w:vAlign w:val="bottom"/>
            <w:gridSpan w:val="2"/>
            <w:vMerge w:val="restart"/>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8"/>
              </w:rPr>
              <w:t>151,875</w:t>
            </w:r>
          </w:p>
        </w:tc>
        <w:tc>
          <w:tcPr>
            <w:tcW w:w="80" w:type="dxa"/>
            <w:vAlign w:val="bottom"/>
            <w:shd w:val="clear" w:color="auto" w:fill="CCEEFF"/>
          </w:tcPr>
          <w:p>
            <w:pPr>
              <w:spacing w:after="0"/>
              <w:rPr>
                <w:sz w:val="15"/>
                <w:szCs w:val="15"/>
                <w:color w:val="auto"/>
              </w:rPr>
            </w:pPr>
          </w:p>
        </w:tc>
        <w:tc>
          <w:tcPr>
            <w:tcW w:w="240" w:type="dxa"/>
            <w:vAlign w:val="bottom"/>
            <w:vMerge w:val="restart"/>
            <w:shd w:val="clear" w:color="auto" w:fill="CCEEFF"/>
          </w:tcPr>
          <w:p>
            <w:pPr>
              <w:ind w:left="20"/>
              <w:spacing w:after="0"/>
              <w:rPr>
                <w:sz w:val="20"/>
                <w:szCs w:val="20"/>
                <w:color w:val="auto"/>
              </w:rPr>
            </w:pPr>
            <w:r>
              <w:rPr>
                <w:rFonts w:ascii="Arial" w:cs="Arial" w:eastAsia="Arial" w:hAnsi="Arial"/>
                <w:sz w:val="18"/>
                <w:szCs w:val="18"/>
                <w:color w:val="auto"/>
              </w:rPr>
              <w:t>$</w:t>
            </w:r>
          </w:p>
        </w:tc>
        <w:tc>
          <w:tcPr>
            <w:tcW w:w="5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151</w:t>
            </w:r>
          </w:p>
        </w:tc>
        <w:tc>
          <w:tcPr>
            <w:tcW w:w="100" w:type="dxa"/>
            <w:vAlign w:val="bottom"/>
            <w:shd w:val="clear" w:color="auto" w:fill="CCEEFF"/>
          </w:tcPr>
          <w:p>
            <w:pPr>
              <w:spacing w:after="0"/>
              <w:rPr>
                <w:sz w:val="15"/>
                <w:szCs w:val="15"/>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320,379</w:t>
            </w:r>
          </w:p>
        </w:tc>
        <w:tc>
          <w:tcPr>
            <w:tcW w:w="80" w:type="dxa"/>
            <w:vAlign w:val="bottom"/>
            <w:shd w:val="clear" w:color="auto" w:fill="CCEEFF"/>
          </w:tcPr>
          <w:p>
            <w:pPr>
              <w:spacing w:after="0"/>
              <w:rPr>
                <w:sz w:val="15"/>
                <w:szCs w:val="15"/>
                <w:color w:val="auto"/>
              </w:rPr>
            </w:pPr>
          </w:p>
        </w:tc>
        <w:tc>
          <w:tcPr>
            <w:tcW w:w="22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(102,367)</w:t>
            </w:r>
          </w:p>
        </w:tc>
        <w:tc>
          <w:tcPr>
            <w:tcW w:w="80" w:type="dxa"/>
            <w:vAlign w:val="bottom"/>
            <w:shd w:val="clear" w:color="auto" w:fill="CCEEFF"/>
          </w:tcPr>
          <w:p>
            <w:pPr>
              <w:spacing w:after="0"/>
              <w:rPr>
                <w:sz w:val="15"/>
                <w:szCs w:val="15"/>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(18,200)</w:t>
            </w:r>
          </w:p>
        </w:tc>
        <w:tc>
          <w:tcPr>
            <w:tcW w:w="80" w:type="dxa"/>
            <w:vAlign w:val="bottom"/>
            <w:shd w:val="clear" w:color="auto" w:fill="CCEEFF"/>
          </w:tcPr>
          <w:p>
            <w:pPr>
              <w:spacing w:after="0"/>
              <w:rPr>
                <w:sz w:val="15"/>
                <w:szCs w:val="15"/>
                <w:color w:val="auto"/>
              </w:rPr>
            </w:pPr>
          </w:p>
        </w:tc>
        <w:tc>
          <w:tcPr>
            <w:tcW w:w="240" w:type="dxa"/>
            <w:vAlign w:val="bottom"/>
            <w:vMerge w:val="restart"/>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199,963</w:t>
            </w:r>
          </w:p>
        </w:tc>
        <w:tc>
          <w:tcPr>
            <w:tcW w:w="0" w:type="dxa"/>
            <w:vAlign w:val="bottom"/>
          </w:tcPr>
          <w:p>
            <w:pPr>
              <w:spacing w:after="0"/>
              <w:rPr>
                <w:sz w:val="1"/>
                <w:szCs w:val="1"/>
                <w:color w:val="auto"/>
              </w:rPr>
            </w:pPr>
          </w:p>
        </w:tc>
      </w:tr>
      <w:tr>
        <w:trPr>
          <w:trHeight w:val="243"/>
        </w:trPr>
        <w:tc>
          <w:tcPr>
            <w:tcW w:w="11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2024</w:t>
            </w:r>
          </w:p>
        </w:tc>
        <w:tc>
          <w:tcPr>
            <w:tcW w:w="660" w:type="dxa"/>
            <w:vAlign w:val="bottom"/>
            <w:vMerge w:val="continue"/>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860" w:type="dxa"/>
            <w:vAlign w:val="bottom"/>
            <w:vMerge w:val="continue"/>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shd w:val="clear" w:color="auto" w:fill="000000"/>
          </w:tcPr>
          <w:p>
            <w:pPr>
              <w:spacing w:after="0"/>
              <w:rPr>
                <w:sz w:val="21"/>
                <w:szCs w:val="21"/>
                <w:color w:val="auto"/>
              </w:rPr>
            </w:pPr>
          </w:p>
        </w:tc>
        <w:tc>
          <w:tcPr>
            <w:tcW w:w="820" w:type="dxa"/>
            <w:vAlign w:val="bottom"/>
            <w:tcBorders>
              <w:left w:val="single" w:sz="8" w:color="CCEEFF"/>
            </w:tcBorders>
            <w:gridSpan w:val="2"/>
            <w:vMerge w:val="continue"/>
            <w:shd w:val="clear" w:color="auto" w:fill="CCEEFF"/>
          </w:tcPr>
          <w:p>
            <w:pPr>
              <w:spacing w:after="0"/>
              <w:rPr>
                <w:sz w:val="21"/>
                <w:szCs w:val="21"/>
                <w:color w:val="auto"/>
              </w:rPr>
            </w:pPr>
          </w:p>
        </w:tc>
        <w:tc>
          <w:tcPr>
            <w:tcW w:w="340" w:type="dxa"/>
            <w:vAlign w:val="bottom"/>
            <w:vMerge w:val="continue"/>
            <w:shd w:val="clear" w:color="auto" w:fill="CCEEFF"/>
          </w:tcPr>
          <w:p>
            <w:pPr>
              <w:spacing w:after="0"/>
              <w:rPr>
                <w:sz w:val="21"/>
                <w:szCs w:val="21"/>
                <w:color w:val="auto"/>
              </w:rPr>
            </w:pPr>
          </w:p>
        </w:tc>
        <w:tc>
          <w:tcPr>
            <w:tcW w:w="500" w:type="dxa"/>
            <w:vAlign w:val="bottom"/>
            <w:gridSpan w:val="2"/>
            <w:vMerge w:val="continue"/>
            <w:shd w:val="clear" w:color="auto" w:fill="CCEEFF"/>
          </w:tcPr>
          <w:p>
            <w:pPr>
              <w:spacing w:after="0"/>
              <w:rPr>
                <w:sz w:val="21"/>
                <w:szCs w:val="21"/>
                <w:color w:val="auto"/>
              </w:rPr>
            </w:pPr>
          </w:p>
        </w:tc>
        <w:tc>
          <w:tcPr>
            <w:tcW w:w="740" w:type="dxa"/>
            <w:vAlign w:val="bottom"/>
            <w:vMerge w:val="continue"/>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40" w:type="dxa"/>
            <w:vAlign w:val="bottom"/>
            <w:vMerge w:val="continue"/>
            <w:shd w:val="clear" w:color="auto" w:fill="CCEEFF"/>
          </w:tcPr>
          <w:p>
            <w:pPr>
              <w:spacing w:after="0"/>
              <w:rPr>
                <w:sz w:val="21"/>
                <w:szCs w:val="21"/>
                <w:color w:val="auto"/>
              </w:rPr>
            </w:pPr>
          </w:p>
        </w:tc>
        <w:tc>
          <w:tcPr>
            <w:tcW w:w="50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vMerge w:val="continue"/>
            <w:shd w:val="clear" w:color="auto" w:fill="CCEEFF"/>
          </w:tcPr>
          <w:p>
            <w:pPr>
              <w:spacing w:after="0"/>
              <w:rPr>
                <w:sz w:val="21"/>
                <w:szCs w:val="21"/>
                <w:color w:val="auto"/>
              </w:rPr>
            </w:pPr>
          </w:p>
        </w:tc>
        <w:tc>
          <w:tcPr>
            <w:tcW w:w="860" w:type="dxa"/>
            <w:vAlign w:val="bottom"/>
            <w:vMerge w:val="continue"/>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20" w:type="dxa"/>
            <w:vAlign w:val="bottom"/>
            <w:vMerge w:val="continue"/>
            <w:shd w:val="clear" w:color="auto" w:fill="CCEEFF"/>
          </w:tcPr>
          <w:p>
            <w:pPr>
              <w:spacing w:after="0"/>
              <w:rPr>
                <w:sz w:val="21"/>
                <w:szCs w:val="21"/>
                <w:color w:val="auto"/>
              </w:rPr>
            </w:pPr>
          </w:p>
        </w:tc>
        <w:tc>
          <w:tcPr>
            <w:tcW w:w="960" w:type="dxa"/>
            <w:vAlign w:val="bottom"/>
            <w:vMerge w:val="continue"/>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40" w:type="dxa"/>
            <w:vAlign w:val="bottom"/>
            <w:vMerge w:val="continue"/>
            <w:shd w:val="clear" w:color="auto" w:fill="CCEEFF"/>
          </w:tcPr>
          <w:p>
            <w:pPr>
              <w:spacing w:after="0"/>
              <w:rPr>
                <w:sz w:val="21"/>
                <w:szCs w:val="21"/>
                <w:color w:val="auto"/>
              </w:rPr>
            </w:pPr>
          </w:p>
        </w:tc>
        <w:tc>
          <w:tcPr>
            <w:tcW w:w="1260" w:type="dxa"/>
            <w:vAlign w:val="bottom"/>
            <w:vMerge w:val="continue"/>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40" w:type="dxa"/>
            <w:vAlign w:val="bottom"/>
            <w:vMerge w:val="continue"/>
            <w:shd w:val="clear" w:color="auto" w:fill="CCEEFF"/>
          </w:tcPr>
          <w:p>
            <w:pPr>
              <w:spacing w:after="0"/>
              <w:rPr>
                <w:sz w:val="21"/>
                <w:szCs w:val="21"/>
                <w:color w:val="auto"/>
              </w:rPr>
            </w:pPr>
          </w:p>
        </w:tc>
        <w:tc>
          <w:tcPr>
            <w:tcW w:w="100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76"/>
        </w:trPr>
        <w:tc>
          <w:tcPr>
            <w:tcW w:w="1180" w:type="dxa"/>
            <w:vAlign w:val="bottom"/>
          </w:tcPr>
          <w:p>
            <w:pPr>
              <w:ind w:left="20"/>
              <w:spacing w:after="0" w:line="176" w:lineRule="exact"/>
              <w:rPr>
                <w:sz w:val="20"/>
                <w:szCs w:val="20"/>
                <w:color w:val="auto"/>
              </w:rPr>
            </w:pPr>
            <w:r>
              <w:rPr>
                <w:rFonts w:ascii="Arial" w:cs="Arial" w:eastAsia="Arial" w:hAnsi="Arial"/>
                <w:sz w:val="18"/>
                <w:szCs w:val="18"/>
                <w:i w:val="1"/>
                <w:iCs w:val="1"/>
                <w:color w:val="auto"/>
              </w:rPr>
              <w:t>Shares</w:t>
            </w: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shd w:val="clear" w:color="auto" w:fill="000000"/>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180" w:type="dxa"/>
            <w:vAlign w:val="bottom"/>
          </w:tcPr>
          <w:p>
            <w:pPr>
              <w:ind w:left="20"/>
              <w:spacing w:after="0" w:line="176" w:lineRule="exact"/>
              <w:rPr>
                <w:sz w:val="20"/>
                <w:szCs w:val="20"/>
                <w:color w:val="auto"/>
              </w:rPr>
            </w:pPr>
            <w:r>
              <w:rPr>
                <w:rFonts w:ascii="Arial" w:cs="Arial" w:eastAsia="Arial" w:hAnsi="Arial"/>
                <w:sz w:val="18"/>
                <w:szCs w:val="18"/>
                <w:i w:val="1"/>
                <w:iCs w:val="1"/>
                <w:color w:val="auto"/>
              </w:rPr>
              <w:t>issued in</w:t>
            </w: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shd w:val="clear" w:color="auto" w:fill="000000"/>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1180" w:type="dxa"/>
            <w:vAlign w:val="bottom"/>
          </w:tcPr>
          <w:p>
            <w:pPr>
              <w:ind w:left="20"/>
              <w:spacing w:after="0" w:line="186" w:lineRule="exact"/>
              <w:rPr>
                <w:sz w:val="20"/>
                <w:szCs w:val="20"/>
                <w:color w:val="auto"/>
              </w:rPr>
            </w:pPr>
            <w:r>
              <w:rPr>
                <w:rFonts w:ascii="Arial" w:cs="Arial" w:eastAsia="Arial" w:hAnsi="Arial"/>
                <w:sz w:val="18"/>
                <w:szCs w:val="18"/>
                <w:i w:val="1"/>
                <w:iCs w:val="1"/>
                <w:color w:val="auto"/>
              </w:rPr>
              <w:t>connection</w:t>
            </w: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shd w:val="clear" w:color="auto" w:fill="000000"/>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3"/>
        </w:trPr>
        <w:tc>
          <w:tcPr>
            <w:tcW w:w="1180" w:type="dxa"/>
            <w:vAlign w:val="bottom"/>
          </w:tcPr>
          <w:p>
            <w:pPr>
              <w:ind w:left="20"/>
              <w:spacing w:after="0"/>
              <w:rPr>
                <w:sz w:val="20"/>
                <w:szCs w:val="20"/>
                <w:color w:val="auto"/>
              </w:rPr>
            </w:pPr>
            <w:r>
              <w:rPr>
                <w:rFonts w:ascii="Arial" w:cs="Arial" w:eastAsia="Arial" w:hAnsi="Arial"/>
                <w:sz w:val="18"/>
                <w:szCs w:val="18"/>
                <w:i w:val="1"/>
                <w:iCs w:val="1"/>
                <w:color w:val="auto"/>
              </w:rPr>
              <w:t>with:</w:t>
            </w:r>
          </w:p>
        </w:tc>
        <w:tc>
          <w:tcPr>
            <w:tcW w:w="6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shd w:val="clear" w:color="auto" w:fill="000000"/>
          </w:tcPr>
          <w:p>
            <w:pPr>
              <w:spacing w:after="0"/>
              <w:rPr>
                <w:sz w:val="20"/>
                <w:szCs w:val="20"/>
                <w:color w:val="auto"/>
              </w:rPr>
            </w:pPr>
          </w:p>
        </w:tc>
        <w:tc>
          <w:tcPr>
            <w:tcW w:w="7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5"/>
        </w:trPr>
        <w:tc>
          <w:tcPr>
            <w:tcW w:w="118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Vesting of</w:t>
            </w:r>
          </w:p>
        </w:tc>
        <w:tc>
          <w:tcPr>
            <w:tcW w:w="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000000"/>
          </w:tcPr>
          <w:p>
            <w:pPr>
              <w:spacing w:after="0"/>
              <w:rPr>
                <w:sz w:val="15"/>
                <w:szCs w:val="15"/>
                <w:color w:val="auto"/>
              </w:rPr>
            </w:pPr>
          </w:p>
        </w:tc>
        <w:tc>
          <w:tcPr>
            <w:tcW w:w="740" w:type="dxa"/>
            <w:vAlign w:val="bottom"/>
            <w:tcBorders>
              <w:left w:val="single" w:sz="8" w:color="CCEEFF"/>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18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restricted</w:t>
            </w:r>
          </w:p>
        </w:tc>
        <w:tc>
          <w:tcPr>
            <w:tcW w:w="7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 w:type="dxa"/>
            <w:vAlign w:val="bottom"/>
            <w:shd w:val="clear" w:color="auto" w:fill="000000"/>
          </w:tcPr>
          <w:p>
            <w:pPr>
              <w:spacing w:after="0"/>
              <w:rPr>
                <w:sz w:val="15"/>
                <w:szCs w:val="15"/>
                <w:color w:val="auto"/>
              </w:rPr>
            </w:pPr>
          </w:p>
        </w:tc>
        <w:tc>
          <w:tcPr>
            <w:tcW w:w="820" w:type="dxa"/>
            <w:vAlign w:val="bottom"/>
            <w:tcBorders>
              <w:left w:val="single" w:sz="8" w:color="CCEEFF"/>
            </w:tcBorders>
            <w:gridSpan w:val="2"/>
            <w:vMerge w:val="restart"/>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5"/>
                <w:szCs w:val="15"/>
                <w:color w:val="auto"/>
              </w:rPr>
            </w:pPr>
          </w:p>
        </w:tc>
        <w:tc>
          <w:tcPr>
            <w:tcW w:w="500" w:type="dxa"/>
            <w:vAlign w:val="bottom"/>
            <w:gridSpan w:val="2"/>
            <w:vMerge w:val="restart"/>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6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5"/>
                <w:szCs w:val="15"/>
                <w:color w:val="auto"/>
              </w:rPr>
            </w:pPr>
          </w:p>
        </w:tc>
        <w:tc>
          <w:tcPr>
            <w:tcW w:w="9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5"/>
                <w:szCs w:val="15"/>
                <w:color w:val="auto"/>
              </w:rPr>
            </w:pPr>
          </w:p>
        </w:tc>
        <w:tc>
          <w:tcPr>
            <w:tcW w:w="1040" w:type="dxa"/>
            <w:vAlign w:val="bottom"/>
            <w:gridSpan w:val="2"/>
            <w:vMerge w:val="restart"/>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5"/>
                <w:szCs w:val="15"/>
                <w:color w:val="auto"/>
              </w:rPr>
            </w:pPr>
          </w:p>
        </w:tc>
        <w:tc>
          <w:tcPr>
            <w:tcW w:w="13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5"/>
                <w:szCs w:val="15"/>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1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 units</w:t>
            </w:r>
          </w:p>
        </w:tc>
        <w:tc>
          <w:tcPr>
            <w:tcW w:w="740" w:type="dxa"/>
            <w:vAlign w:val="bottom"/>
            <w:gridSpan w:val="2"/>
            <w:vMerge w:val="continue"/>
            <w:shd w:val="clear" w:color="auto" w:fill="CCEEFF"/>
          </w:tcPr>
          <w:p>
            <w:pPr>
              <w:spacing w:after="0"/>
              <w:rPr>
                <w:sz w:val="21"/>
                <w:szCs w:val="21"/>
                <w:color w:val="auto"/>
              </w:rPr>
            </w:pPr>
          </w:p>
        </w:tc>
        <w:tc>
          <w:tcPr>
            <w:tcW w:w="940" w:type="dxa"/>
            <w:vAlign w:val="bottom"/>
            <w:gridSpan w:val="2"/>
            <w:vMerge w:val="continue"/>
            <w:shd w:val="clear" w:color="auto" w:fill="CCEEFF"/>
          </w:tcPr>
          <w:p>
            <w:pPr>
              <w:spacing w:after="0"/>
              <w:rPr>
                <w:sz w:val="21"/>
                <w:szCs w:val="21"/>
                <w:color w:val="auto"/>
              </w:rPr>
            </w:pPr>
          </w:p>
        </w:tc>
        <w:tc>
          <w:tcPr>
            <w:tcW w:w="20" w:type="dxa"/>
            <w:vAlign w:val="bottom"/>
            <w:shd w:val="clear" w:color="auto" w:fill="000000"/>
          </w:tcPr>
          <w:p>
            <w:pPr>
              <w:spacing w:after="0"/>
              <w:rPr>
                <w:sz w:val="21"/>
                <w:szCs w:val="21"/>
                <w:color w:val="auto"/>
              </w:rPr>
            </w:pPr>
          </w:p>
        </w:tc>
        <w:tc>
          <w:tcPr>
            <w:tcW w:w="820" w:type="dxa"/>
            <w:vAlign w:val="bottom"/>
            <w:tcBorders>
              <w:left w:val="single" w:sz="8" w:color="CCEEFF"/>
            </w:tcBorders>
            <w:gridSpan w:val="2"/>
            <w:vMerge w:val="continue"/>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500" w:type="dxa"/>
            <w:vAlign w:val="bottom"/>
            <w:gridSpan w:val="2"/>
            <w:vMerge w:val="continue"/>
            <w:shd w:val="clear" w:color="auto" w:fill="CCEEFF"/>
          </w:tcPr>
          <w:p>
            <w:pPr>
              <w:spacing w:after="0"/>
              <w:rPr>
                <w:sz w:val="21"/>
                <w:szCs w:val="21"/>
                <w:color w:val="auto"/>
              </w:rPr>
            </w:pPr>
          </w:p>
        </w:tc>
        <w:tc>
          <w:tcPr>
            <w:tcW w:w="740" w:type="dxa"/>
            <w:vAlign w:val="bottom"/>
            <w:vMerge w:val="continue"/>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600" w:type="dxa"/>
            <w:vAlign w:val="bottom"/>
            <w:gridSpan w:val="2"/>
            <w:vMerge w:val="continue"/>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40" w:type="dxa"/>
            <w:vAlign w:val="bottom"/>
            <w:gridSpan w:val="2"/>
            <w:vMerge w:val="continue"/>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40" w:type="dxa"/>
            <w:vAlign w:val="bottom"/>
            <w:gridSpan w:val="2"/>
            <w:vMerge w:val="continue"/>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340" w:type="dxa"/>
            <w:vAlign w:val="bottom"/>
            <w:gridSpan w:val="2"/>
            <w:vMerge w:val="continue"/>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0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76"/>
        </w:trPr>
        <w:tc>
          <w:tcPr>
            <w:tcW w:w="1180" w:type="dxa"/>
            <w:vAlign w:val="bottom"/>
          </w:tcPr>
          <w:p>
            <w:pPr>
              <w:ind w:left="20"/>
              <w:spacing w:after="0" w:line="176" w:lineRule="exact"/>
              <w:rPr>
                <w:sz w:val="20"/>
                <w:szCs w:val="20"/>
                <w:color w:val="auto"/>
              </w:rPr>
            </w:pPr>
            <w:r>
              <w:rPr>
                <w:rFonts w:ascii="Arial" w:cs="Arial" w:eastAsia="Arial" w:hAnsi="Arial"/>
                <w:sz w:val="18"/>
                <w:szCs w:val="18"/>
                <w:color w:val="auto"/>
              </w:rPr>
              <w:t>Employee</w:t>
            </w:r>
          </w:p>
        </w:tc>
        <w:tc>
          <w:tcPr>
            <w:tcW w:w="74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94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20" w:type="dxa"/>
            <w:vAlign w:val="bottom"/>
            <w:shd w:val="clear" w:color="auto" w:fill="000000"/>
          </w:tcPr>
          <w:p>
            <w:pPr>
              <w:spacing w:after="0"/>
              <w:rPr>
                <w:sz w:val="15"/>
                <w:szCs w:val="15"/>
                <w:color w:val="auto"/>
              </w:rPr>
            </w:pPr>
          </w:p>
        </w:tc>
        <w:tc>
          <w:tcPr>
            <w:tcW w:w="820" w:type="dxa"/>
            <w:vAlign w:val="bottom"/>
            <w:gridSpan w:val="2"/>
            <w:vMerge w:val="restart"/>
          </w:tcPr>
          <w:p>
            <w:pPr>
              <w:ind w:left="4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5"/>
                <w:szCs w:val="15"/>
                <w:color w:val="auto"/>
              </w:rPr>
            </w:pPr>
          </w:p>
        </w:tc>
        <w:tc>
          <w:tcPr>
            <w:tcW w:w="500" w:type="dxa"/>
            <w:vAlign w:val="bottom"/>
            <w:gridSpan w:val="2"/>
            <w:vMerge w:val="restart"/>
          </w:tcPr>
          <w:p>
            <w:pPr>
              <w:ind w:left="160"/>
              <w:spacing w:after="0"/>
              <w:rPr>
                <w:sz w:val="20"/>
                <w:szCs w:val="20"/>
                <w:color w:val="auto"/>
              </w:rPr>
            </w:pPr>
            <w:r>
              <w:rPr>
                <w:rFonts w:ascii="Arial" w:cs="Arial" w:eastAsia="Arial" w:hAnsi="Arial"/>
                <w:sz w:val="18"/>
                <w:szCs w:val="18"/>
                <w:color w:val="auto"/>
              </w:rPr>
              <w:t>—</w:t>
            </w:r>
          </w:p>
        </w:tc>
        <w:tc>
          <w:tcPr>
            <w:tcW w:w="740" w:type="dxa"/>
            <w:vAlign w:val="bottom"/>
            <w:vMerge w:val="restart"/>
          </w:tcPr>
          <w:p>
            <w:pPr>
              <w:jc w:val="right"/>
              <w:spacing w:after="0"/>
              <w:rPr>
                <w:sz w:val="20"/>
                <w:szCs w:val="20"/>
                <w:color w:val="auto"/>
              </w:rPr>
            </w:pPr>
            <w:r>
              <w:rPr>
                <w:rFonts w:ascii="Arial" w:cs="Arial" w:eastAsia="Arial" w:hAnsi="Arial"/>
                <w:sz w:val="18"/>
                <w:szCs w:val="18"/>
                <w:color w:val="auto"/>
              </w:rPr>
              <w:t>35</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5"/>
                <w:szCs w:val="15"/>
                <w:color w:val="auto"/>
              </w:rPr>
            </w:pP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rPr>
              <w:t>356</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gridSpan w:val="2"/>
            <w:vMerge w:val="restart"/>
          </w:tcPr>
          <w:p>
            <w:pPr>
              <w:ind w:left="7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5"/>
                <w:szCs w:val="15"/>
                <w:color w:val="auto"/>
              </w:rPr>
            </w:pPr>
          </w:p>
        </w:tc>
        <w:tc>
          <w:tcPr>
            <w:tcW w:w="134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5"/>
                <w:szCs w:val="15"/>
                <w:color w:val="auto"/>
              </w:rPr>
            </w:pPr>
          </w:p>
        </w:tc>
        <w:tc>
          <w:tcPr>
            <w:tcW w:w="1000" w:type="dxa"/>
            <w:vAlign w:val="bottom"/>
            <w:vMerge w:val="restart"/>
          </w:tcPr>
          <w:p>
            <w:pPr>
              <w:jc w:val="right"/>
              <w:spacing w:after="0"/>
              <w:rPr>
                <w:sz w:val="20"/>
                <w:szCs w:val="20"/>
                <w:color w:val="auto"/>
              </w:rPr>
            </w:pPr>
            <w:r>
              <w:rPr>
                <w:rFonts w:ascii="Arial" w:cs="Arial" w:eastAsia="Arial" w:hAnsi="Arial"/>
                <w:sz w:val="18"/>
                <w:szCs w:val="18"/>
                <w:color w:val="auto"/>
              </w:rPr>
              <w:t>356</w:t>
            </w:r>
          </w:p>
        </w:tc>
        <w:tc>
          <w:tcPr>
            <w:tcW w:w="0" w:type="dxa"/>
            <w:vAlign w:val="bottom"/>
          </w:tcPr>
          <w:p>
            <w:pPr>
              <w:spacing w:after="0"/>
              <w:rPr>
                <w:sz w:val="1"/>
                <w:szCs w:val="1"/>
                <w:color w:val="auto"/>
              </w:rPr>
            </w:pPr>
          </w:p>
        </w:tc>
      </w:tr>
      <w:tr>
        <w:trPr>
          <w:trHeight w:val="243"/>
        </w:trPr>
        <w:tc>
          <w:tcPr>
            <w:tcW w:w="1180" w:type="dxa"/>
            <w:vAlign w:val="bottom"/>
          </w:tcPr>
          <w:p>
            <w:pPr>
              <w:ind w:left="20"/>
              <w:spacing w:after="0"/>
              <w:rPr>
                <w:sz w:val="20"/>
                <w:szCs w:val="20"/>
                <w:color w:val="auto"/>
              </w:rPr>
            </w:pPr>
            <w:r>
              <w:rPr>
                <w:rFonts w:ascii="Arial" w:cs="Arial" w:eastAsia="Arial" w:hAnsi="Arial"/>
                <w:sz w:val="18"/>
                <w:szCs w:val="18"/>
                <w:color w:val="auto"/>
              </w:rPr>
              <w:t>purchase plan</w:t>
            </w:r>
          </w:p>
        </w:tc>
        <w:tc>
          <w:tcPr>
            <w:tcW w:w="740" w:type="dxa"/>
            <w:vAlign w:val="bottom"/>
            <w:gridSpan w:val="2"/>
            <w:vMerge w:val="continue"/>
          </w:tcPr>
          <w:p>
            <w:pPr>
              <w:spacing w:after="0"/>
              <w:rPr>
                <w:sz w:val="21"/>
                <w:szCs w:val="21"/>
                <w:color w:val="auto"/>
              </w:rPr>
            </w:pPr>
          </w:p>
        </w:tc>
        <w:tc>
          <w:tcPr>
            <w:tcW w:w="940" w:type="dxa"/>
            <w:vAlign w:val="bottom"/>
            <w:gridSpan w:val="2"/>
            <w:vMerge w:val="continue"/>
          </w:tcPr>
          <w:p>
            <w:pPr>
              <w:spacing w:after="0"/>
              <w:rPr>
                <w:sz w:val="21"/>
                <w:szCs w:val="21"/>
                <w:color w:val="auto"/>
              </w:rPr>
            </w:pPr>
          </w:p>
        </w:tc>
        <w:tc>
          <w:tcPr>
            <w:tcW w:w="20" w:type="dxa"/>
            <w:vAlign w:val="bottom"/>
            <w:shd w:val="clear" w:color="auto" w:fill="000000"/>
          </w:tcPr>
          <w:p>
            <w:pPr>
              <w:spacing w:after="0"/>
              <w:rPr>
                <w:sz w:val="21"/>
                <w:szCs w:val="21"/>
                <w:color w:val="auto"/>
              </w:rPr>
            </w:pPr>
          </w:p>
        </w:tc>
        <w:tc>
          <w:tcPr>
            <w:tcW w:w="820" w:type="dxa"/>
            <w:vAlign w:val="bottom"/>
            <w:gridSpan w:val="2"/>
            <w:vMerge w:val="continue"/>
          </w:tcPr>
          <w:p>
            <w:pPr>
              <w:spacing w:after="0"/>
              <w:rPr>
                <w:sz w:val="21"/>
                <w:szCs w:val="21"/>
                <w:color w:val="auto"/>
              </w:rPr>
            </w:pPr>
          </w:p>
        </w:tc>
        <w:tc>
          <w:tcPr>
            <w:tcW w:w="340" w:type="dxa"/>
            <w:vAlign w:val="bottom"/>
          </w:tcPr>
          <w:p>
            <w:pPr>
              <w:spacing w:after="0"/>
              <w:rPr>
                <w:sz w:val="21"/>
                <w:szCs w:val="21"/>
                <w:color w:val="auto"/>
              </w:rPr>
            </w:pPr>
          </w:p>
        </w:tc>
        <w:tc>
          <w:tcPr>
            <w:tcW w:w="500" w:type="dxa"/>
            <w:vAlign w:val="bottom"/>
            <w:gridSpan w:val="2"/>
            <w:vMerge w:val="continue"/>
          </w:tcPr>
          <w:p>
            <w:pPr>
              <w:spacing w:after="0"/>
              <w:rPr>
                <w:sz w:val="21"/>
                <w:szCs w:val="21"/>
                <w:color w:val="auto"/>
              </w:rPr>
            </w:pPr>
          </w:p>
        </w:tc>
        <w:tc>
          <w:tcPr>
            <w:tcW w:w="740" w:type="dxa"/>
            <w:vAlign w:val="bottom"/>
            <w:vMerge w:val="continue"/>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00" w:type="dxa"/>
            <w:vAlign w:val="bottom"/>
            <w:gridSpan w:val="2"/>
            <w:vMerge w:val="continue"/>
          </w:tcPr>
          <w:p>
            <w:pPr>
              <w:spacing w:after="0"/>
              <w:rPr>
                <w:sz w:val="21"/>
                <w:szCs w:val="21"/>
                <w:color w:val="auto"/>
              </w:rPr>
            </w:pPr>
          </w:p>
        </w:tc>
        <w:tc>
          <w:tcPr>
            <w:tcW w:w="120" w:type="dxa"/>
            <w:vAlign w:val="bottom"/>
          </w:tcPr>
          <w:p>
            <w:pPr>
              <w:spacing w:after="0"/>
              <w:rPr>
                <w:sz w:val="21"/>
                <w:szCs w:val="21"/>
                <w:color w:val="auto"/>
              </w:rPr>
            </w:pPr>
          </w:p>
        </w:tc>
        <w:tc>
          <w:tcPr>
            <w:tcW w:w="860" w:type="dxa"/>
            <w:vAlign w:val="bottom"/>
            <w:vMerge w:val="continue"/>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gridSpan w:val="2"/>
            <w:vMerge w:val="continue"/>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gridSpan w:val="2"/>
            <w:vMerge w:val="continue"/>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75"/>
        </w:trPr>
        <w:tc>
          <w:tcPr>
            <w:tcW w:w="118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Equity-based</w:t>
            </w:r>
          </w:p>
        </w:tc>
        <w:tc>
          <w:tcPr>
            <w:tcW w:w="7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 w:type="dxa"/>
            <w:vAlign w:val="bottom"/>
            <w:shd w:val="clear" w:color="auto" w:fill="000000"/>
          </w:tcPr>
          <w:p>
            <w:pPr>
              <w:spacing w:after="0"/>
              <w:rPr>
                <w:sz w:val="15"/>
                <w:szCs w:val="15"/>
                <w:color w:val="auto"/>
              </w:rPr>
            </w:pPr>
          </w:p>
        </w:tc>
        <w:tc>
          <w:tcPr>
            <w:tcW w:w="820" w:type="dxa"/>
            <w:vAlign w:val="bottom"/>
            <w:tcBorders>
              <w:left w:val="single" w:sz="8" w:color="CCEEFF"/>
            </w:tcBorders>
            <w:gridSpan w:val="2"/>
            <w:vMerge w:val="restart"/>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5"/>
                <w:szCs w:val="15"/>
                <w:color w:val="auto"/>
              </w:rPr>
            </w:pPr>
          </w:p>
        </w:tc>
        <w:tc>
          <w:tcPr>
            <w:tcW w:w="500" w:type="dxa"/>
            <w:vAlign w:val="bottom"/>
            <w:gridSpan w:val="2"/>
            <w:vMerge w:val="restart"/>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8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5"/>
                <w:szCs w:val="15"/>
                <w:color w:val="auto"/>
              </w:rPr>
            </w:pPr>
          </w:p>
        </w:tc>
        <w:tc>
          <w:tcPr>
            <w:tcW w:w="6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5"/>
                <w:szCs w:val="15"/>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1,704</w:t>
            </w: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40" w:type="dxa"/>
            <w:vAlign w:val="bottom"/>
            <w:gridSpan w:val="2"/>
            <w:vMerge w:val="restart"/>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5"/>
                <w:szCs w:val="15"/>
                <w:color w:val="auto"/>
              </w:rPr>
            </w:pPr>
          </w:p>
        </w:tc>
        <w:tc>
          <w:tcPr>
            <w:tcW w:w="13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5"/>
                <w:szCs w:val="15"/>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1,704</w:t>
            </w:r>
          </w:p>
        </w:tc>
        <w:tc>
          <w:tcPr>
            <w:tcW w:w="0" w:type="dxa"/>
            <w:vAlign w:val="bottom"/>
          </w:tcPr>
          <w:p>
            <w:pPr>
              <w:spacing w:after="0"/>
              <w:rPr>
                <w:sz w:val="1"/>
                <w:szCs w:val="1"/>
                <w:color w:val="auto"/>
              </w:rPr>
            </w:pPr>
          </w:p>
        </w:tc>
      </w:tr>
      <w:tr>
        <w:trPr>
          <w:trHeight w:val="243"/>
        </w:trPr>
        <w:tc>
          <w:tcPr>
            <w:tcW w:w="1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compensation</w:t>
            </w:r>
          </w:p>
        </w:tc>
        <w:tc>
          <w:tcPr>
            <w:tcW w:w="740" w:type="dxa"/>
            <w:vAlign w:val="bottom"/>
            <w:gridSpan w:val="2"/>
            <w:vMerge w:val="continue"/>
            <w:shd w:val="clear" w:color="auto" w:fill="CCEEFF"/>
          </w:tcPr>
          <w:p>
            <w:pPr>
              <w:spacing w:after="0"/>
              <w:rPr>
                <w:sz w:val="21"/>
                <w:szCs w:val="21"/>
                <w:color w:val="auto"/>
              </w:rPr>
            </w:pPr>
          </w:p>
        </w:tc>
        <w:tc>
          <w:tcPr>
            <w:tcW w:w="940" w:type="dxa"/>
            <w:vAlign w:val="bottom"/>
            <w:gridSpan w:val="2"/>
            <w:vMerge w:val="continue"/>
            <w:shd w:val="clear" w:color="auto" w:fill="CCEEFF"/>
          </w:tcPr>
          <w:p>
            <w:pPr>
              <w:spacing w:after="0"/>
              <w:rPr>
                <w:sz w:val="21"/>
                <w:szCs w:val="21"/>
                <w:color w:val="auto"/>
              </w:rPr>
            </w:pPr>
          </w:p>
        </w:tc>
        <w:tc>
          <w:tcPr>
            <w:tcW w:w="20" w:type="dxa"/>
            <w:vAlign w:val="bottom"/>
            <w:shd w:val="clear" w:color="auto" w:fill="000000"/>
          </w:tcPr>
          <w:p>
            <w:pPr>
              <w:spacing w:after="0"/>
              <w:rPr>
                <w:sz w:val="21"/>
                <w:szCs w:val="21"/>
                <w:color w:val="auto"/>
              </w:rPr>
            </w:pPr>
          </w:p>
        </w:tc>
        <w:tc>
          <w:tcPr>
            <w:tcW w:w="820" w:type="dxa"/>
            <w:vAlign w:val="bottom"/>
            <w:tcBorders>
              <w:left w:val="single" w:sz="8" w:color="CCEEFF"/>
            </w:tcBorders>
            <w:gridSpan w:val="2"/>
            <w:vMerge w:val="continue"/>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500" w:type="dxa"/>
            <w:vAlign w:val="bottom"/>
            <w:gridSpan w:val="2"/>
            <w:vMerge w:val="continue"/>
            <w:shd w:val="clear" w:color="auto" w:fill="CCEEFF"/>
          </w:tcPr>
          <w:p>
            <w:pPr>
              <w:spacing w:after="0"/>
              <w:rPr>
                <w:sz w:val="21"/>
                <w:szCs w:val="21"/>
                <w:color w:val="auto"/>
              </w:rPr>
            </w:pPr>
          </w:p>
        </w:tc>
        <w:tc>
          <w:tcPr>
            <w:tcW w:w="820" w:type="dxa"/>
            <w:vAlign w:val="bottom"/>
            <w:gridSpan w:val="2"/>
            <w:vMerge w:val="continue"/>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600" w:type="dxa"/>
            <w:vAlign w:val="bottom"/>
            <w:gridSpan w:val="2"/>
            <w:vMerge w:val="continue"/>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60" w:type="dxa"/>
            <w:vAlign w:val="bottom"/>
            <w:vMerge w:val="continue"/>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40" w:type="dxa"/>
            <w:vAlign w:val="bottom"/>
            <w:gridSpan w:val="2"/>
            <w:vMerge w:val="continue"/>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340" w:type="dxa"/>
            <w:vAlign w:val="bottom"/>
            <w:gridSpan w:val="2"/>
            <w:vMerge w:val="continue"/>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0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75"/>
        </w:trPr>
        <w:tc>
          <w:tcPr>
            <w:tcW w:w="1180" w:type="dxa"/>
            <w:vAlign w:val="bottom"/>
          </w:tcPr>
          <w:p>
            <w:pPr>
              <w:ind w:left="20"/>
              <w:spacing w:after="0" w:line="176" w:lineRule="exact"/>
              <w:rPr>
                <w:sz w:val="20"/>
                <w:szCs w:val="20"/>
                <w:color w:val="auto"/>
              </w:rPr>
            </w:pPr>
            <w:r>
              <w:rPr>
                <w:rFonts w:ascii="Arial" w:cs="Arial" w:eastAsia="Arial" w:hAnsi="Arial"/>
                <w:sz w:val="18"/>
                <w:szCs w:val="18"/>
                <w:color w:val="auto"/>
              </w:rPr>
              <w:t>Tax</w:t>
            </w: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shd w:val="clear" w:color="auto" w:fill="000000"/>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180" w:type="dxa"/>
            <w:vAlign w:val="bottom"/>
          </w:tcPr>
          <w:p>
            <w:pPr>
              <w:ind w:left="20"/>
              <w:spacing w:after="0" w:line="176" w:lineRule="exact"/>
              <w:rPr>
                <w:sz w:val="20"/>
                <w:szCs w:val="20"/>
                <w:color w:val="auto"/>
              </w:rPr>
            </w:pPr>
            <w:r>
              <w:rPr>
                <w:rFonts w:ascii="Arial" w:cs="Arial" w:eastAsia="Arial" w:hAnsi="Arial"/>
                <w:sz w:val="18"/>
                <w:szCs w:val="18"/>
                <w:color w:val="auto"/>
              </w:rPr>
              <w:t>withholding</w:t>
            </w: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shd w:val="clear" w:color="auto" w:fill="000000"/>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1180" w:type="dxa"/>
            <w:vAlign w:val="bottom"/>
          </w:tcPr>
          <w:p>
            <w:pPr>
              <w:ind w:left="20"/>
              <w:spacing w:after="0" w:line="183" w:lineRule="exact"/>
              <w:rPr>
                <w:sz w:val="20"/>
                <w:szCs w:val="20"/>
                <w:color w:val="auto"/>
              </w:rPr>
            </w:pPr>
            <w:r>
              <w:rPr>
                <w:rFonts w:ascii="Arial" w:cs="Arial" w:eastAsia="Arial" w:hAnsi="Arial"/>
                <w:sz w:val="18"/>
                <w:szCs w:val="18"/>
                <w:color w:val="auto"/>
              </w:rPr>
              <w:t>related to</w:t>
            </w: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shd w:val="clear" w:color="auto" w:fill="000000"/>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1180" w:type="dxa"/>
            <w:vAlign w:val="bottom"/>
          </w:tcPr>
          <w:p>
            <w:pPr>
              <w:ind w:left="20"/>
              <w:spacing w:after="0" w:line="181" w:lineRule="exact"/>
              <w:rPr>
                <w:sz w:val="20"/>
                <w:szCs w:val="20"/>
                <w:color w:val="auto"/>
              </w:rPr>
            </w:pPr>
            <w:r>
              <w:rPr>
                <w:rFonts w:ascii="Arial" w:cs="Arial" w:eastAsia="Arial" w:hAnsi="Arial"/>
                <w:sz w:val="18"/>
                <w:szCs w:val="18"/>
                <w:color w:val="auto"/>
              </w:rPr>
              <w:t>vesting of</w:t>
            </w: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shd w:val="clear" w:color="auto" w:fill="000000"/>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180" w:type="dxa"/>
            <w:vAlign w:val="bottom"/>
          </w:tcPr>
          <w:p>
            <w:pPr>
              <w:ind w:left="20"/>
              <w:spacing w:after="0" w:line="176" w:lineRule="exact"/>
              <w:rPr>
                <w:sz w:val="20"/>
                <w:szCs w:val="20"/>
                <w:color w:val="auto"/>
              </w:rPr>
            </w:pPr>
            <w:r>
              <w:rPr>
                <w:rFonts w:ascii="Arial" w:cs="Arial" w:eastAsia="Arial" w:hAnsi="Arial"/>
                <w:sz w:val="18"/>
                <w:szCs w:val="18"/>
                <w:color w:val="auto"/>
              </w:rPr>
              <w:t>equity-based</w:t>
            </w:r>
          </w:p>
        </w:tc>
        <w:tc>
          <w:tcPr>
            <w:tcW w:w="74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94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20" w:type="dxa"/>
            <w:vAlign w:val="bottom"/>
            <w:shd w:val="clear" w:color="auto" w:fill="000000"/>
          </w:tcPr>
          <w:p>
            <w:pPr>
              <w:spacing w:after="0"/>
              <w:rPr>
                <w:sz w:val="15"/>
                <w:szCs w:val="15"/>
                <w:color w:val="auto"/>
              </w:rPr>
            </w:pPr>
          </w:p>
        </w:tc>
        <w:tc>
          <w:tcPr>
            <w:tcW w:w="820" w:type="dxa"/>
            <w:vAlign w:val="bottom"/>
            <w:gridSpan w:val="2"/>
            <w:vMerge w:val="restart"/>
          </w:tcPr>
          <w:p>
            <w:pPr>
              <w:ind w:left="4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5"/>
                <w:szCs w:val="15"/>
                <w:color w:val="auto"/>
              </w:rPr>
            </w:pPr>
          </w:p>
        </w:tc>
        <w:tc>
          <w:tcPr>
            <w:tcW w:w="500" w:type="dxa"/>
            <w:vAlign w:val="bottom"/>
            <w:gridSpan w:val="2"/>
            <w:vMerge w:val="restart"/>
          </w:tcPr>
          <w:p>
            <w:pPr>
              <w:ind w:left="160"/>
              <w:spacing w:after="0"/>
              <w:rPr>
                <w:sz w:val="20"/>
                <w:szCs w:val="20"/>
                <w:color w:val="auto"/>
              </w:rPr>
            </w:pPr>
            <w:r>
              <w:rPr>
                <w:rFonts w:ascii="Arial" w:cs="Arial" w:eastAsia="Arial" w:hAnsi="Arial"/>
                <w:sz w:val="18"/>
                <w:szCs w:val="18"/>
                <w:color w:val="auto"/>
              </w:rPr>
              <w:t>—</w:t>
            </w:r>
          </w:p>
        </w:tc>
        <w:tc>
          <w:tcPr>
            <w:tcW w:w="82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5"/>
                <w:szCs w:val="15"/>
                <w:color w:val="auto"/>
              </w:rPr>
            </w:pPr>
          </w:p>
        </w:tc>
        <w:tc>
          <w:tcPr>
            <w:tcW w:w="60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5"/>
                <w:szCs w:val="15"/>
                <w:color w:val="auto"/>
              </w:rPr>
            </w:pP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rPr>
              <w:t>(12)</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gridSpan w:val="2"/>
            <w:vMerge w:val="restart"/>
          </w:tcPr>
          <w:p>
            <w:pPr>
              <w:ind w:left="7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5"/>
                <w:szCs w:val="15"/>
                <w:color w:val="auto"/>
              </w:rPr>
            </w:pPr>
          </w:p>
        </w:tc>
        <w:tc>
          <w:tcPr>
            <w:tcW w:w="134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5"/>
                <w:szCs w:val="15"/>
                <w:color w:val="auto"/>
              </w:rPr>
            </w:pPr>
          </w:p>
        </w:tc>
        <w:tc>
          <w:tcPr>
            <w:tcW w:w="1000" w:type="dxa"/>
            <w:vAlign w:val="bottom"/>
            <w:vMerge w:val="restart"/>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43"/>
        </w:trPr>
        <w:tc>
          <w:tcPr>
            <w:tcW w:w="1180" w:type="dxa"/>
            <w:vAlign w:val="bottom"/>
          </w:tcPr>
          <w:p>
            <w:pPr>
              <w:ind w:left="20"/>
              <w:spacing w:after="0"/>
              <w:rPr>
                <w:sz w:val="20"/>
                <w:szCs w:val="20"/>
                <w:color w:val="auto"/>
              </w:rPr>
            </w:pPr>
            <w:r>
              <w:rPr>
                <w:rFonts w:ascii="Arial" w:cs="Arial" w:eastAsia="Arial" w:hAnsi="Arial"/>
                <w:sz w:val="18"/>
                <w:szCs w:val="18"/>
                <w:color w:val="auto"/>
              </w:rPr>
              <w:t>compensation</w:t>
            </w:r>
          </w:p>
        </w:tc>
        <w:tc>
          <w:tcPr>
            <w:tcW w:w="740" w:type="dxa"/>
            <w:vAlign w:val="bottom"/>
            <w:gridSpan w:val="2"/>
            <w:vMerge w:val="continue"/>
          </w:tcPr>
          <w:p>
            <w:pPr>
              <w:spacing w:after="0"/>
              <w:rPr>
                <w:sz w:val="21"/>
                <w:szCs w:val="21"/>
                <w:color w:val="auto"/>
              </w:rPr>
            </w:pPr>
          </w:p>
        </w:tc>
        <w:tc>
          <w:tcPr>
            <w:tcW w:w="940" w:type="dxa"/>
            <w:vAlign w:val="bottom"/>
            <w:gridSpan w:val="2"/>
            <w:vMerge w:val="continue"/>
          </w:tcPr>
          <w:p>
            <w:pPr>
              <w:spacing w:after="0"/>
              <w:rPr>
                <w:sz w:val="21"/>
                <w:szCs w:val="21"/>
                <w:color w:val="auto"/>
              </w:rPr>
            </w:pPr>
          </w:p>
        </w:tc>
        <w:tc>
          <w:tcPr>
            <w:tcW w:w="20" w:type="dxa"/>
            <w:vAlign w:val="bottom"/>
            <w:shd w:val="clear" w:color="auto" w:fill="000000"/>
          </w:tcPr>
          <w:p>
            <w:pPr>
              <w:spacing w:after="0"/>
              <w:rPr>
                <w:sz w:val="21"/>
                <w:szCs w:val="21"/>
                <w:color w:val="auto"/>
              </w:rPr>
            </w:pPr>
          </w:p>
        </w:tc>
        <w:tc>
          <w:tcPr>
            <w:tcW w:w="820" w:type="dxa"/>
            <w:vAlign w:val="bottom"/>
            <w:gridSpan w:val="2"/>
            <w:vMerge w:val="continue"/>
          </w:tcPr>
          <w:p>
            <w:pPr>
              <w:spacing w:after="0"/>
              <w:rPr>
                <w:sz w:val="21"/>
                <w:szCs w:val="21"/>
                <w:color w:val="auto"/>
              </w:rPr>
            </w:pPr>
          </w:p>
        </w:tc>
        <w:tc>
          <w:tcPr>
            <w:tcW w:w="340" w:type="dxa"/>
            <w:vAlign w:val="bottom"/>
          </w:tcPr>
          <w:p>
            <w:pPr>
              <w:spacing w:after="0"/>
              <w:rPr>
                <w:sz w:val="21"/>
                <w:szCs w:val="21"/>
                <w:color w:val="auto"/>
              </w:rPr>
            </w:pPr>
          </w:p>
        </w:tc>
        <w:tc>
          <w:tcPr>
            <w:tcW w:w="500" w:type="dxa"/>
            <w:vAlign w:val="bottom"/>
            <w:gridSpan w:val="2"/>
            <w:vMerge w:val="continue"/>
          </w:tcPr>
          <w:p>
            <w:pPr>
              <w:spacing w:after="0"/>
              <w:rPr>
                <w:sz w:val="21"/>
                <w:szCs w:val="21"/>
                <w:color w:val="auto"/>
              </w:rPr>
            </w:pPr>
          </w:p>
        </w:tc>
        <w:tc>
          <w:tcPr>
            <w:tcW w:w="820" w:type="dxa"/>
            <w:vAlign w:val="bottom"/>
            <w:gridSpan w:val="2"/>
            <w:vMerge w:val="continue"/>
          </w:tcPr>
          <w:p>
            <w:pPr>
              <w:spacing w:after="0"/>
              <w:rPr>
                <w:sz w:val="21"/>
                <w:szCs w:val="21"/>
                <w:color w:val="auto"/>
              </w:rPr>
            </w:pPr>
          </w:p>
        </w:tc>
        <w:tc>
          <w:tcPr>
            <w:tcW w:w="240" w:type="dxa"/>
            <w:vAlign w:val="bottom"/>
          </w:tcPr>
          <w:p>
            <w:pPr>
              <w:spacing w:after="0"/>
              <w:rPr>
                <w:sz w:val="21"/>
                <w:szCs w:val="21"/>
                <w:color w:val="auto"/>
              </w:rPr>
            </w:pPr>
          </w:p>
        </w:tc>
        <w:tc>
          <w:tcPr>
            <w:tcW w:w="600" w:type="dxa"/>
            <w:vAlign w:val="bottom"/>
            <w:gridSpan w:val="2"/>
            <w:vMerge w:val="continue"/>
          </w:tcPr>
          <w:p>
            <w:pPr>
              <w:spacing w:after="0"/>
              <w:rPr>
                <w:sz w:val="21"/>
                <w:szCs w:val="21"/>
                <w:color w:val="auto"/>
              </w:rPr>
            </w:pPr>
          </w:p>
        </w:tc>
        <w:tc>
          <w:tcPr>
            <w:tcW w:w="120" w:type="dxa"/>
            <w:vAlign w:val="bottom"/>
          </w:tcPr>
          <w:p>
            <w:pPr>
              <w:spacing w:after="0"/>
              <w:rPr>
                <w:sz w:val="21"/>
                <w:szCs w:val="21"/>
                <w:color w:val="auto"/>
              </w:rPr>
            </w:pPr>
          </w:p>
        </w:tc>
        <w:tc>
          <w:tcPr>
            <w:tcW w:w="860" w:type="dxa"/>
            <w:vAlign w:val="bottom"/>
            <w:vMerge w:val="continue"/>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gridSpan w:val="2"/>
            <w:vMerge w:val="continue"/>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gridSpan w:val="2"/>
            <w:vMerge w:val="continue"/>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75"/>
        </w:trPr>
        <w:tc>
          <w:tcPr>
            <w:tcW w:w="118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Preferred</w:t>
            </w:r>
          </w:p>
        </w:tc>
        <w:tc>
          <w:tcPr>
            <w:tcW w:w="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000000"/>
          </w:tcPr>
          <w:p>
            <w:pPr>
              <w:spacing w:after="0"/>
              <w:rPr>
                <w:sz w:val="15"/>
                <w:szCs w:val="15"/>
                <w:color w:val="auto"/>
              </w:rPr>
            </w:pPr>
          </w:p>
        </w:tc>
        <w:tc>
          <w:tcPr>
            <w:tcW w:w="740" w:type="dxa"/>
            <w:vAlign w:val="bottom"/>
            <w:tcBorders>
              <w:left w:val="single" w:sz="8" w:color="CCEEFF"/>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18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cumulative</w:t>
            </w:r>
          </w:p>
        </w:tc>
        <w:tc>
          <w:tcPr>
            <w:tcW w:w="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000000"/>
          </w:tcPr>
          <w:p>
            <w:pPr>
              <w:spacing w:after="0"/>
              <w:rPr>
                <w:sz w:val="15"/>
                <w:szCs w:val="15"/>
                <w:color w:val="auto"/>
              </w:rPr>
            </w:pPr>
          </w:p>
        </w:tc>
        <w:tc>
          <w:tcPr>
            <w:tcW w:w="740" w:type="dxa"/>
            <w:vAlign w:val="bottom"/>
            <w:tcBorders>
              <w:left w:val="single" w:sz="8" w:color="CCEEFF"/>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1180" w:type="dxa"/>
            <w:vAlign w:val="bottom"/>
            <w:shd w:val="clear" w:color="auto" w:fill="CCEEFF"/>
          </w:tcPr>
          <w:p>
            <w:pPr>
              <w:ind w:left="20"/>
              <w:spacing w:after="0" w:line="183" w:lineRule="exact"/>
              <w:rPr>
                <w:sz w:val="20"/>
                <w:szCs w:val="20"/>
                <w:color w:val="auto"/>
              </w:rPr>
            </w:pPr>
            <w:r>
              <w:rPr>
                <w:rFonts w:ascii="Arial" w:cs="Arial" w:eastAsia="Arial" w:hAnsi="Arial"/>
                <w:sz w:val="18"/>
                <w:szCs w:val="18"/>
                <w:color w:val="auto"/>
              </w:rPr>
              <w:t>dividends</w:t>
            </w: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80" w:type="dxa"/>
            <w:vAlign w:val="bottom"/>
            <w:shd w:val="clear" w:color="auto" w:fill="CCEEFF"/>
          </w:tcPr>
          <w:p>
            <w:pPr>
              <w:spacing w:after="0"/>
              <w:rPr>
                <w:sz w:val="15"/>
                <w:szCs w:val="15"/>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14,080</w:t>
            </w:r>
          </w:p>
        </w:tc>
        <w:tc>
          <w:tcPr>
            <w:tcW w:w="80" w:type="dxa"/>
            <w:vAlign w:val="bottom"/>
            <w:shd w:val="clear" w:color="auto" w:fill="CCEEFF"/>
          </w:tcPr>
          <w:p>
            <w:pPr>
              <w:spacing w:after="0"/>
              <w:rPr>
                <w:sz w:val="15"/>
                <w:szCs w:val="15"/>
                <w:color w:val="auto"/>
              </w:rPr>
            </w:pPr>
          </w:p>
        </w:tc>
        <w:tc>
          <w:tcPr>
            <w:tcW w:w="20" w:type="dxa"/>
            <w:vAlign w:val="bottom"/>
            <w:shd w:val="clear" w:color="auto" w:fill="000000"/>
          </w:tcPr>
          <w:p>
            <w:pPr>
              <w:spacing w:after="0"/>
              <w:rPr>
                <w:sz w:val="15"/>
                <w:szCs w:val="15"/>
                <w:color w:val="auto"/>
              </w:rPr>
            </w:pPr>
          </w:p>
        </w:tc>
        <w:tc>
          <w:tcPr>
            <w:tcW w:w="820" w:type="dxa"/>
            <w:vAlign w:val="bottom"/>
            <w:tcBorders>
              <w:left w:val="single" w:sz="8" w:color="CCEEFF"/>
            </w:tcBorders>
            <w:gridSpan w:val="2"/>
            <w:vMerge w:val="restart"/>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5"/>
                <w:szCs w:val="15"/>
                <w:color w:val="auto"/>
              </w:rPr>
            </w:pPr>
          </w:p>
        </w:tc>
        <w:tc>
          <w:tcPr>
            <w:tcW w:w="500" w:type="dxa"/>
            <w:vAlign w:val="bottom"/>
            <w:gridSpan w:val="2"/>
            <w:vMerge w:val="restart"/>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8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5"/>
                <w:szCs w:val="15"/>
                <w:color w:val="auto"/>
              </w:rPr>
            </w:pPr>
          </w:p>
        </w:tc>
        <w:tc>
          <w:tcPr>
            <w:tcW w:w="6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5"/>
                <w:szCs w:val="15"/>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(14,080)</w:t>
            </w: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40" w:type="dxa"/>
            <w:vAlign w:val="bottom"/>
            <w:gridSpan w:val="2"/>
            <w:vMerge w:val="restart"/>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5"/>
                <w:szCs w:val="15"/>
                <w:color w:val="auto"/>
              </w:rPr>
            </w:pPr>
          </w:p>
        </w:tc>
        <w:tc>
          <w:tcPr>
            <w:tcW w:w="13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5"/>
                <w:szCs w:val="15"/>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(14,080)</w:t>
            </w:r>
          </w:p>
        </w:tc>
        <w:tc>
          <w:tcPr>
            <w:tcW w:w="0" w:type="dxa"/>
            <w:vAlign w:val="bottom"/>
          </w:tcPr>
          <w:p>
            <w:pPr>
              <w:spacing w:after="0"/>
              <w:rPr>
                <w:sz w:val="1"/>
                <w:szCs w:val="1"/>
                <w:color w:val="auto"/>
              </w:rPr>
            </w:pPr>
          </w:p>
        </w:tc>
      </w:tr>
      <w:tr>
        <w:trPr>
          <w:trHeight w:val="235"/>
        </w:trPr>
        <w:tc>
          <w:tcPr>
            <w:tcW w:w="1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plus accretion</w:t>
            </w:r>
          </w:p>
        </w:tc>
        <w:tc>
          <w:tcPr>
            <w:tcW w:w="660" w:type="dxa"/>
            <w:vAlign w:val="bottom"/>
            <w:vMerge w:val="continue"/>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60" w:type="dxa"/>
            <w:vAlign w:val="bottom"/>
            <w:vMerge w:val="continue"/>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000000"/>
          </w:tcPr>
          <w:p>
            <w:pPr>
              <w:spacing w:after="0"/>
              <w:rPr>
                <w:sz w:val="20"/>
                <w:szCs w:val="20"/>
                <w:color w:val="auto"/>
              </w:rPr>
            </w:pPr>
          </w:p>
        </w:tc>
        <w:tc>
          <w:tcPr>
            <w:tcW w:w="820" w:type="dxa"/>
            <w:vAlign w:val="bottom"/>
            <w:tcBorders>
              <w:left w:val="single" w:sz="8" w:color="CCEEFF"/>
            </w:tcBorders>
            <w:gridSpan w:val="2"/>
            <w:vMerge w:val="continue"/>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500" w:type="dxa"/>
            <w:vAlign w:val="bottom"/>
            <w:gridSpan w:val="2"/>
            <w:vMerge w:val="continue"/>
            <w:shd w:val="clear" w:color="auto" w:fill="CCEEFF"/>
          </w:tcPr>
          <w:p>
            <w:pPr>
              <w:spacing w:after="0"/>
              <w:rPr>
                <w:sz w:val="20"/>
                <w:szCs w:val="20"/>
                <w:color w:val="auto"/>
              </w:rPr>
            </w:pPr>
          </w:p>
        </w:tc>
        <w:tc>
          <w:tcPr>
            <w:tcW w:w="820" w:type="dxa"/>
            <w:vAlign w:val="bottom"/>
            <w:gridSpan w:val="2"/>
            <w:vMerge w:val="continue"/>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600" w:type="dxa"/>
            <w:vAlign w:val="bottom"/>
            <w:gridSpan w:val="2"/>
            <w:vMerge w:val="continue"/>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60" w:type="dxa"/>
            <w:vAlign w:val="bottom"/>
            <w:vMerge w:val="continue"/>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40" w:type="dxa"/>
            <w:vAlign w:val="bottom"/>
            <w:gridSpan w:val="2"/>
            <w:vMerge w:val="continue"/>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340" w:type="dxa"/>
            <w:vAlign w:val="bottom"/>
            <w:gridSpan w:val="2"/>
            <w:vMerge w:val="continue"/>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00" w:type="dxa"/>
            <w:vAlign w:val="bottom"/>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1180" w:type="dxa"/>
            <w:vAlign w:val="bottom"/>
          </w:tcPr>
          <w:p>
            <w:pPr>
              <w:ind w:left="20"/>
              <w:spacing w:after="0"/>
              <w:rPr>
                <w:sz w:val="20"/>
                <w:szCs w:val="20"/>
                <w:color w:val="auto"/>
              </w:rPr>
            </w:pPr>
            <w:r>
              <w:rPr>
                <w:rFonts w:ascii="Arial" w:cs="Arial" w:eastAsia="Arial" w:hAnsi="Arial"/>
                <w:sz w:val="18"/>
                <w:szCs w:val="18"/>
                <w:color w:val="auto"/>
              </w:rPr>
              <w:t>Net loss</w:t>
            </w: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 w:type="dxa"/>
            <w:vAlign w:val="bottom"/>
            <w:shd w:val="clear" w:color="auto" w:fill="000000"/>
          </w:tcPr>
          <w:p>
            <w:pPr>
              <w:spacing w:after="0"/>
              <w:rPr>
                <w:sz w:val="19"/>
                <w:szCs w:val="19"/>
                <w:color w:val="auto"/>
              </w:rPr>
            </w:pPr>
          </w:p>
        </w:tc>
        <w:tc>
          <w:tcPr>
            <w:tcW w:w="82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50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(141,354)</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(141,354)</w:t>
            </w:r>
          </w:p>
        </w:tc>
        <w:tc>
          <w:tcPr>
            <w:tcW w:w="0" w:type="dxa"/>
            <w:vAlign w:val="bottom"/>
          </w:tcPr>
          <w:p>
            <w:pPr>
              <w:spacing w:after="0"/>
              <w:rPr>
                <w:sz w:val="1"/>
                <w:szCs w:val="1"/>
                <w:color w:val="auto"/>
              </w:rPr>
            </w:pPr>
          </w:p>
        </w:tc>
      </w:tr>
      <w:tr>
        <w:trPr>
          <w:trHeight w:val="175"/>
        </w:trPr>
        <w:tc>
          <w:tcPr>
            <w:tcW w:w="118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Foreign</w:t>
            </w:r>
          </w:p>
        </w:tc>
        <w:tc>
          <w:tcPr>
            <w:tcW w:w="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000000"/>
          </w:tcPr>
          <w:p>
            <w:pPr>
              <w:spacing w:after="0"/>
              <w:rPr>
                <w:sz w:val="15"/>
                <w:szCs w:val="15"/>
                <w:color w:val="auto"/>
              </w:rPr>
            </w:pPr>
          </w:p>
        </w:tc>
        <w:tc>
          <w:tcPr>
            <w:tcW w:w="740" w:type="dxa"/>
            <w:vAlign w:val="bottom"/>
            <w:tcBorders>
              <w:left w:val="single" w:sz="8" w:color="CCEEFF"/>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18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currency</w:t>
            </w:r>
          </w:p>
        </w:tc>
        <w:tc>
          <w:tcPr>
            <w:tcW w:w="7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 w:type="dxa"/>
            <w:vAlign w:val="bottom"/>
            <w:shd w:val="clear" w:color="auto" w:fill="000000"/>
          </w:tcPr>
          <w:p>
            <w:pPr>
              <w:spacing w:after="0"/>
              <w:rPr>
                <w:sz w:val="15"/>
                <w:szCs w:val="15"/>
                <w:color w:val="auto"/>
              </w:rPr>
            </w:pPr>
          </w:p>
        </w:tc>
        <w:tc>
          <w:tcPr>
            <w:tcW w:w="820" w:type="dxa"/>
            <w:vAlign w:val="bottom"/>
            <w:tcBorders>
              <w:left w:val="single" w:sz="8" w:color="CCEEFF"/>
            </w:tcBorders>
            <w:gridSpan w:val="2"/>
            <w:vMerge w:val="restart"/>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5"/>
                <w:szCs w:val="15"/>
                <w:color w:val="auto"/>
              </w:rPr>
            </w:pPr>
          </w:p>
        </w:tc>
        <w:tc>
          <w:tcPr>
            <w:tcW w:w="500" w:type="dxa"/>
            <w:vAlign w:val="bottom"/>
            <w:gridSpan w:val="2"/>
            <w:vMerge w:val="restart"/>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8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5"/>
                <w:szCs w:val="15"/>
                <w:color w:val="auto"/>
              </w:rPr>
            </w:pPr>
          </w:p>
        </w:tc>
        <w:tc>
          <w:tcPr>
            <w:tcW w:w="6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5"/>
                <w:szCs w:val="15"/>
                <w:color w:val="auto"/>
              </w:rPr>
            </w:pPr>
          </w:p>
        </w:tc>
        <w:tc>
          <w:tcPr>
            <w:tcW w:w="9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5"/>
                <w:szCs w:val="15"/>
                <w:color w:val="auto"/>
              </w:rPr>
            </w:pPr>
          </w:p>
        </w:tc>
        <w:tc>
          <w:tcPr>
            <w:tcW w:w="1040" w:type="dxa"/>
            <w:vAlign w:val="bottom"/>
            <w:gridSpan w:val="2"/>
            <w:vMerge w:val="restart"/>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5"/>
                <w:szCs w:val="15"/>
                <w:color w:val="auto"/>
              </w:rPr>
            </w:pPr>
          </w:p>
        </w:tc>
        <w:tc>
          <w:tcPr>
            <w:tcW w:w="12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17,910</w:t>
            </w: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17,910</w:t>
            </w:r>
          </w:p>
        </w:tc>
        <w:tc>
          <w:tcPr>
            <w:tcW w:w="0" w:type="dxa"/>
            <w:vAlign w:val="bottom"/>
          </w:tcPr>
          <w:p>
            <w:pPr>
              <w:spacing w:after="0"/>
              <w:rPr>
                <w:sz w:val="1"/>
                <w:szCs w:val="1"/>
                <w:color w:val="auto"/>
              </w:rPr>
            </w:pPr>
          </w:p>
        </w:tc>
      </w:tr>
      <w:tr>
        <w:trPr>
          <w:trHeight w:val="243"/>
        </w:trPr>
        <w:tc>
          <w:tcPr>
            <w:tcW w:w="1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translation</w:t>
            </w:r>
          </w:p>
        </w:tc>
        <w:tc>
          <w:tcPr>
            <w:tcW w:w="740" w:type="dxa"/>
            <w:vAlign w:val="bottom"/>
            <w:gridSpan w:val="2"/>
            <w:vMerge w:val="continue"/>
            <w:shd w:val="clear" w:color="auto" w:fill="CCEEFF"/>
          </w:tcPr>
          <w:p>
            <w:pPr>
              <w:spacing w:after="0"/>
              <w:rPr>
                <w:sz w:val="21"/>
                <w:szCs w:val="21"/>
                <w:color w:val="auto"/>
              </w:rPr>
            </w:pPr>
          </w:p>
        </w:tc>
        <w:tc>
          <w:tcPr>
            <w:tcW w:w="940" w:type="dxa"/>
            <w:vAlign w:val="bottom"/>
            <w:gridSpan w:val="2"/>
            <w:vMerge w:val="continue"/>
            <w:shd w:val="clear" w:color="auto" w:fill="CCEEFF"/>
          </w:tcPr>
          <w:p>
            <w:pPr>
              <w:spacing w:after="0"/>
              <w:rPr>
                <w:sz w:val="21"/>
                <w:szCs w:val="21"/>
                <w:color w:val="auto"/>
              </w:rPr>
            </w:pPr>
          </w:p>
        </w:tc>
        <w:tc>
          <w:tcPr>
            <w:tcW w:w="20" w:type="dxa"/>
            <w:vAlign w:val="bottom"/>
            <w:shd w:val="clear" w:color="auto" w:fill="000000"/>
          </w:tcPr>
          <w:p>
            <w:pPr>
              <w:spacing w:after="0"/>
              <w:rPr>
                <w:sz w:val="21"/>
                <w:szCs w:val="21"/>
                <w:color w:val="auto"/>
              </w:rPr>
            </w:pPr>
          </w:p>
        </w:tc>
        <w:tc>
          <w:tcPr>
            <w:tcW w:w="820" w:type="dxa"/>
            <w:vAlign w:val="bottom"/>
            <w:tcBorders>
              <w:left w:val="single" w:sz="8" w:color="CCEEFF"/>
            </w:tcBorders>
            <w:gridSpan w:val="2"/>
            <w:vMerge w:val="continue"/>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500" w:type="dxa"/>
            <w:vAlign w:val="bottom"/>
            <w:gridSpan w:val="2"/>
            <w:vMerge w:val="continue"/>
            <w:shd w:val="clear" w:color="auto" w:fill="CCEEFF"/>
          </w:tcPr>
          <w:p>
            <w:pPr>
              <w:spacing w:after="0"/>
              <w:rPr>
                <w:sz w:val="21"/>
                <w:szCs w:val="21"/>
                <w:color w:val="auto"/>
              </w:rPr>
            </w:pPr>
          </w:p>
        </w:tc>
        <w:tc>
          <w:tcPr>
            <w:tcW w:w="820" w:type="dxa"/>
            <w:vAlign w:val="bottom"/>
            <w:gridSpan w:val="2"/>
            <w:vMerge w:val="continue"/>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600" w:type="dxa"/>
            <w:vAlign w:val="bottom"/>
            <w:gridSpan w:val="2"/>
            <w:vMerge w:val="continue"/>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40" w:type="dxa"/>
            <w:vAlign w:val="bottom"/>
            <w:gridSpan w:val="2"/>
            <w:vMerge w:val="continue"/>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40" w:type="dxa"/>
            <w:vAlign w:val="bottom"/>
            <w:gridSpan w:val="2"/>
            <w:vMerge w:val="continue"/>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60" w:type="dxa"/>
            <w:vAlign w:val="bottom"/>
            <w:vMerge w:val="continue"/>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0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55"/>
        </w:trPr>
        <w:tc>
          <w:tcPr>
            <w:tcW w:w="1180" w:type="dxa"/>
            <w:vAlign w:val="bottom"/>
          </w:tcPr>
          <w:p>
            <w:pPr>
              <w:ind w:left="20"/>
              <w:spacing w:after="0" w:line="156" w:lineRule="exact"/>
              <w:rPr>
                <w:sz w:val="20"/>
                <w:szCs w:val="20"/>
                <w:color w:val="auto"/>
              </w:rPr>
            </w:pPr>
            <w:r>
              <w:rPr>
                <w:rFonts w:ascii="Arial" w:cs="Arial" w:eastAsia="Arial" w:hAnsi="Arial"/>
                <w:sz w:val="18"/>
                <w:szCs w:val="18"/>
                <w:b w:val="1"/>
                <w:bCs w:val="1"/>
                <w:color w:val="auto"/>
              </w:rPr>
              <w:t>Balance at</w:t>
            </w:r>
          </w:p>
        </w:tc>
        <w:tc>
          <w:tcPr>
            <w:tcW w:w="66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Borders>
              <w:top w:val="single" w:sz="8" w:color="auto"/>
            </w:tcBorders>
            <w:shd w:val="clear" w:color="auto" w:fill="000000"/>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4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5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26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1180" w:type="dxa"/>
            <w:vAlign w:val="bottom"/>
          </w:tcPr>
          <w:p>
            <w:pPr>
              <w:ind w:left="20"/>
              <w:spacing w:after="0" w:line="176" w:lineRule="exact"/>
              <w:rPr>
                <w:sz w:val="20"/>
                <w:szCs w:val="20"/>
                <w:color w:val="auto"/>
              </w:rPr>
            </w:pPr>
            <w:r>
              <w:rPr>
                <w:rFonts w:ascii="Arial" w:cs="Arial" w:eastAsia="Arial" w:hAnsi="Arial"/>
                <w:sz w:val="18"/>
                <w:szCs w:val="18"/>
                <w:b w:val="1"/>
                <w:bCs w:val="1"/>
                <w:color w:val="auto"/>
              </w:rPr>
              <w:t>September</w:t>
            </w:r>
          </w:p>
        </w:tc>
        <w:tc>
          <w:tcPr>
            <w:tcW w:w="660" w:type="dxa"/>
            <w:vAlign w:val="bottom"/>
            <w:vMerge w:val="restart"/>
          </w:tcPr>
          <w:p>
            <w:pPr>
              <w:jc w:val="right"/>
              <w:spacing w:after="0"/>
              <w:rPr>
                <w:sz w:val="20"/>
                <w:szCs w:val="20"/>
                <w:color w:val="auto"/>
              </w:rPr>
            </w:pPr>
            <w:r>
              <w:rPr>
                <w:rFonts w:ascii="Arial" w:cs="Arial" w:eastAsia="Arial" w:hAnsi="Arial"/>
                <w:sz w:val="18"/>
                <w:szCs w:val="18"/>
                <w:color w:val="auto"/>
              </w:rPr>
              <w:t>453</w:t>
            </w:r>
          </w:p>
        </w:tc>
        <w:tc>
          <w:tcPr>
            <w:tcW w:w="80" w:type="dxa"/>
            <w:vAlign w:val="bottom"/>
          </w:tcPr>
          <w:p>
            <w:pPr>
              <w:spacing w:after="0"/>
              <w:rPr>
                <w:sz w:val="15"/>
                <w:szCs w:val="15"/>
                <w:color w:val="auto"/>
              </w:rPr>
            </w:pPr>
          </w:p>
        </w:tc>
        <w:tc>
          <w:tcPr>
            <w:tcW w:w="860" w:type="dxa"/>
            <w:vAlign w:val="bottom"/>
            <w:vMerge w:val="restart"/>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392,592</w:t>
            </w:r>
          </w:p>
        </w:tc>
        <w:tc>
          <w:tcPr>
            <w:tcW w:w="80" w:type="dxa"/>
            <w:vAlign w:val="bottom"/>
          </w:tcPr>
          <w:p>
            <w:pPr>
              <w:spacing w:after="0"/>
              <w:rPr>
                <w:sz w:val="15"/>
                <w:szCs w:val="15"/>
                <w:color w:val="auto"/>
              </w:rPr>
            </w:pPr>
          </w:p>
        </w:tc>
        <w:tc>
          <w:tcPr>
            <w:tcW w:w="20" w:type="dxa"/>
            <w:vAlign w:val="bottom"/>
            <w:shd w:val="clear" w:color="auto" w:fill="000000"/>
          </w:tcPr>
          <w:p>
            <w:pPr>
              <w:spacing w:after="0"/>
              <w:rPr>
                <w:sz w:val="15"/>
                <w:szCs w:val="15"/>
                <w:color w:val="auto"/>
              </w:rPr>
            </w:pPr>
          </w:p>
        </w:tc>
        <w:tc>
          <w:tcPr>
            <w:tcW w:w="740" w:type="dxa"/>
            <w:vAlign w:val="bottom"/>
            <w:vMerge w:val="restart"/>
          </w:tcPr>
          <w:p>
            <w:pPr>
              <w:ind w:left="480"/>
              <w:spacing w:after="0"/>
              <w:rPr>
                <w:sz w:val="20"/>
                <w:szCs w:val="20"/>
                <w:color w:val="auto"/>
              </w:rPr>
            </w:pPr>
            <w:r>
              <w:rPr>
                <w:rFonts w:ascii="Arial" w:cs="Arial" w:eastAsia="Arial" w:hAnsi="Arial"/>
                <w:sz w:val="18"/>
                <w:szCs w:val="18"/>
                <w:color w:val="auto"/>
              </w:rPr>
              <w:t>—</w:t>
            </w:r>
          </w:p>
        </w:tc>
        <w:tc>
          <w:tcPr>
            <w:tcW w:w="80" w:type="dxa"/>
            <w:vAlign w:val="bottom"/>
            <w:vMerge w:val="restart"/>
          </w:tcPr>
          <w:p>
            <w:pPr>
              <w:spacing w:after="0"/>
              <w:rPr>
                <w:sz w:val="15"/>
                <w:szCs w:val="15"/>
                <w:color w:val="auto"/>
              </w:rPr>
            </w:pPr>
          </w:p>
        </w:tc>
        <w:tc>
          <w:tcPr>
            <w:tcW w:w="340" w:type="dxa"/>
            <w:vAlign w:val="bottom"/>
            <w:vMerge w:val="restart"/>
          </w:tcPr>
          <w:p>
            <w:pPr>
              <w:ind w:left="20"/>
              <w:spacing w:after="0"/>
              <w:rPr>
                <w:sz w:val="20"/>
                <w:szCs w:val="20"/>
                <w:color w:val="auto"/>
              </w:rPr>
            </w:pPr>
            <w:r>
              <w:rPr>
                <w:rFonts w:ascii="Arial" w:cs="Arial" w:eastAsia="Arial" w:hAnsi="Arial"/>
                <w:sz w:val="18"/>
                <w:szCs w:val="18"/>
                <w:color w:val="auto"/>
              </w:rPr>
              <w:t>$</w:t>
            </w:r>
          </w:p>
        </w:tc>
        <w:tc>
          <w:tcPr>
            <w:tcW w:w="400" w:type="dxa"/>
            <w:vAlign w:val="bottom"/>
            <w:vMerge w:val="restart"/>
          </w:tcPr>
          <w:p>
            <w:pPr>
              <w:ind w:left="160"/>
              <w:spacing w:after="0"/>
              <w:rPr>
                <w:sz w:val="20"/>
                <w:szCs w:val="20"/>
                <w:color w:val="auto"/>
              </w:rPr>
            </w:pPr>
            <w:r>
              <w:rPr>
                <w:rFonts w:ascii="Arial" w:cs="Arial" w:eastAsia="Arial" w:hAnsi="Arial"/>
                <w:sz w:val="18"/>
                <w:szCs w:val="18"/>
                <w:color w:val="auto"/>
              </w:rPr>
              <w:t>—</w:t>
            </w:r>
          </w:p>
        </w:tc>
        <w:tc>
          <w:tcPr>
            <w:tcW w:w="100" w:type="dxa"/>
            <w:vAlign w:val="bottom"/>
            <w:vMerge w:val="restart"/>
          </w:tcPr>
          <w:p>
            <w:pPr>
              <w:spacing w:after="0"/>
              <w:rPr>
                <w:sz w:val="15"/>
                <w:szCs w:val="15"/>
                <w:color w:val="auto"/>
              </w:rPr>
            </w:pPr>
          </w:p>
        </w:tc>
        <w:tc>
          <w:tcPr>
            <w:tcW w:w="740" w:type="dxa"/>
            <w:vAlign w:val="bottom"/>
            <w:vMerge w:val="restart"/>
          </w:tcPr>
          <w:p>
            <w:pPr>
              <w:jc w:val="right"/>
              <w:spacing w:after="0"/>
              <w:rPr>
                <w:sz w:val="20"/>
                <w:szCs w:val="20"/>
                <w:color w:val="auto"/>
              </w:rPr>
            </w:pPr>
            <w:r>
              <w:rPr>
                <w:rFonts w:ascii="Arial" w:cs="Arial" w:eastAsia="Arial" w:hAnsi="Arial"/>
                <w:sz w:val="18"/>
                <w:szCs w:val="18"/>
                <w:color w:val="auto"/>
                <w:w w:val="98"/>
              </w:rPr>
              <w:t>151,934</w:t>
            </w:r>
          </w:p>
        </w:tc>
        <w:tc>
          <w:tcPr>
            <w:tcW w:w="80" w:type="dxa"/>
            <w:vAlign w:val="bottom"/>
          </w:tcPr>
          <w:p>
            <w:pPr>
              <w:spacing w:after="0"/>
              <w:rPr>
                <w:sz w:val="15"/>
                <w:szCs w:val="15"/>
                <w:color w:val="auto"/>
              </w:rPr>
            </w:pPr>
          </w:p>
        </w:tc>
        <w:tc>
          <w:tcPr>
            <w:tcW w:w="240" w:type="dxa"/>
            <w:vAlign w:val="bottom"/>
            <w:vMerge w:val="restart"/>
          </w:tcPr>
          <w:p>
            <w:pPr>
              <w:ind w:left="20"/>
              <w:spacing w:after="0"/>
              <w:rPr>
                <w:sz w:val="20"/>
                <w:szCs w:val="20"/>
                <w:color w:val="auto"/>
              </w:rPr>
            </w:pPr>
            <w:r>
              <w:rPr>
                <w:rFonts w:ascii="Arial" w:cs="Arial" w:eastAsia="Arial" w:hAnsi="Arial"/>
                <w:sz w:val="18"/>
                <w:szCs w:val="18"/>
                <w:color w:val="auto"/>
              </w:rPr>
              <w:t>$</w:t>
            </w:r>
          </w:p>
        </w:tc>
        <w:tc>
          <w:tcPr>
            <w:tcW w:w="500" w:type="dxa"/>
            <w:vAlign w:val="bottom"/>
            <w:vMerge w:val="restart"/>
          </w:tcPr>
          <w:p>
            <w:pPr>
              <w:jc w:val="right"/>
              <w:spacing w:after="0"/>
              <w:rPr>
                <w:sz w:val="20"/>
                <w:szCs w:val="20"/>
                <w:color w:val="auto"/>
              </w:rPr>
            </w:pPr>
            <w:r>
              <w:rPr>
                <w:rFonts w:ascii="Arial" w:cs="Arial" w:eastAsia="Arial" w:hAnsi="Arial"/>
                <w:sz w:val="18"/>
                <w:szCs w:val="18"/>
                <w:color w:val="auto"/>
              </w:rPr>
              <w:t>151</w:t>
            </w:r>
          </w:p>
        </w:tc>
        <w:tc>
          <w:tcPr>
            <w:tcW w:w="100" w:type="dxa"/>
            <w:vAlign w:val="bottom"/>
          </w:tcPr>
          <w:p>
            <w:pPr>
              <w:spacing w:after="0"/>
              <w:rPr>
                <w:sz w:val="15"/>
                <w:szCs w:val="15"/>
                <w:color w:val="auto"/>
              </w:rPr>
            </w:pPr>
          </w:p>
        </w:tc>
        <w:tc>
          <w:tcPr>
            <w:tcW w:w="12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rPr>
              <w:t>308,347</w:t>
            </w:r>
          </w:p>
        </w:tc>
        <w:tc>
          <w:tcPr>
            <w:tcW w:w="80" w:type="dxa"/>
            <w:vAlign w:val="bottom"/>
          </w:tcPr>
          <w:p>
            <w:pPr>
              <w:spacing w:after="0"/>
              <w:rPr>
                <w:sz w:val="15"/>
                <w:szCs w:val="15"/>
                <w:color w:val="auto"/>
              </w:rPr>
            </w:pPr>
          </w:p>
        </w:tc>
        <w:tc>
          <w:tcPr>
            <w:tcW w:w="220" w:type="dxa"/>
            <w:vAlign w:val="bottom"/>
            <w:vMerge w:val="restart"/>
          </w:tcPr>
          <w:p>
            <w:pPr>
              <w:jc w:val="right"/>
              <w:ind w:right="10"/>
              <w:spacing w:after="0"/>
              <w:rPr>
                <w:sz w:val="20"/>
                <w:szCs w:val="20"/>
                <w:color w:val="auto"/>
              </w:rPr>
            </w:pPr>
            <w:r>
              <w:rPr>
                <w:rFonts w:ascii="Arial" w:cs="Arial" w:eastAsia="Arial" w:hAnsi="Arial"/>
                <w:sz w:val="18"/>
                <w:szCs w:val="18"/>
                <w:color w:val="auto"/>
                <w:w w:val="99"/>
              </w:rPr>
              <w:t>$</w:t>
            </w:r>
          </w:p>
        </w:tc>
        <w:tc>
          <w:tcPr>
            <w:tcW w:w="960" w:type="dxa"/>
            <w:vAlign w:val="bottom"/>
            <w:vMerge w:val="restart"/>
          </w:tcPr>
          <w:p>
            <w:pPr>
              <w:jc w:val="right"/>
              <w:spacing w:after="0"/>
              <w:rPr>
                <w:sz w:val="20"/>
                <w:szCs w:val="20"/>
                <w:color w:val="auto"/>
              </w:rPr>
            </w:pPr>
            <w:r>
              <w:rPr>
                <w:rFonts w:ascii="Arial" w:cs="Arial" w:eastAsia="Arial" w:hAnsi="Arial"/>
                <w:sz w:val="18"/>
                <w:szCs w:val="18"/>
                <w:color w:val="auto"/>
              </w:rPr>
              <w:t>(243,721)</w:t>
            </w:r>
          </w:p>
        </w:tc>
        <w:tc>
          <w:tcPr>
            <w:tcW w:w="80" w:type="dxa"/>
            <w:vAlign w:val="bottom"/>
          </w:tcPr>
          <w:p>
            <w:pPr>
              <w:spacing w:after="0"/>
              <w:rPr>
                <w:sz w:val="15"/>
                <w:szCs w:val="15"/>
                <w:color w:val="auto"/>
              </w:rPr>
            </w:pPr>
          </w:p>
        </w:tc>
        <w:tc>
          <w:tcPr>
            <w:tcW w:w="14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vMerge w:val="restart"/>
          </w:tcPr>
          <w:p>
            <w:pPr>
              <w:jc w:val="right"/>
              <w:spacing w:after="0"/>
              <w:rPr>
                <w:sz w:val="20"/>
                <w:szCs w:val="20"/>
                <w:color w:val="auto"/>
              </w:rPr>
            </w:pPr>
            <w:r>
              <w:rPr>
                <w:rFonts w:ascii="Arial" w:cs="Arial" w:eastAsia="Arial" w:hAnsi="Arial"/>
                <w:sz w:val="18"/>
                <w:szCs w:val="18"/>
                <w:color w:val="auto"/>
              </w:rPr>
              <w:t>(290)</w:t>
            </w:r>
          </w:p>
        </w:tc>
        <w:tc>
          <w:tcPr>
            <w:tcW w:w="80" w:type="dxa"/>
            <w:vAlign w:val="bottom"/>
          </w:tcPr>
          <w:p>
            <w:pPr>
              <w:spacing w:after="0"/>
              <w:rPr>
                <w:sz w:val="15"/>
                <w:szCs w:val="15"/>
                <w:color w:val="auto"/>
              </w:rPr>
            </w:pPr>
          </w:p>
        </w:tc>
        <w:tc>
          <w:tcPr>
            <w:tcW w:w="240" w:type="dxa"/>
            <w:vAlign w:val="bottom"/>
            <w:vMerge w:val="restart"/>
          </w:tcPr>
          <w:p>
            <w:pPr>
              <w:ind w:left="20"/>
              <w:spacing w:after="0"/>
              <w:rPr>
                <w:sz w:val="20"/>
                <w:szCs w:val="20"/>
                <w:color w:val="auto"/>
              </w:rPr>
            </w:pPr>
            <w:r>
              <w:rPr>
                <w:rFonts w:ascii="Arial" w:cs="Arial" w:eastAsia="Arial" w:hAnsi="Arial"/>
                <w:sz w:val="18"/>
                <w:szCs w:val="18"/>
                <w:color w:val="auto"/>
              </w:rPr>
              <w:t>$</w:t>
            </w:r>
          </w:p>
        </w:tc>
        <w:tc>
          <w:tcPr>
            <w:tcW w:w="1000" w:type="dxa"/>
            <w:vAlign w:val="bottom"/>
            <w:vMerge w:val="restart"/>
          </w:tcPr>
          <w:p>
            <w:pPr>
              <w:jc w:val="right"/>
              <w:spacing w:after="0"/>
              <w:rPr>
                <w:sz w:val="20"/>
                <w:szCs w:val="20"/>
                <w:color w:val="auto"/>
              </w:rPr>
            </w:pPr>
            <w:r>
              <w:rPr>
                <w:rFonts w:ascii="Arial" w:cs="Arial" w:eastAsia="Arial" w:hAnsi="Arial"/>
                <w:sz w:val="18"/>
                <w:szCs w:val="18"/>
                <w:color w:val="auto"/>
              </w:rPr>
              <w:t>64,487</w:t>
            </w:r>
          </w:p>
        </w:tc>
        <w:tc>
          <w:tcPr>
            <w:tcW w:w="0" w:type="dxa"/>
            <w:vAlign w:val="bottom"/>
          </w:tcPr>
          <w:p>
            <w:pPr>
              <w:spacing w:after="0"/>
              <w:rPr>
                <w:sz w:val="1"/>
                <w:szCs w:val="1"/>
                <w:color w:val="auto"/>
              </w:rPr>
            </w:pPr>
          </w:p>
        </w:tc>
      </w:tr>
      <w:tr>
        <w:trPr>
          <w:trHeight w:val="256"/>
        </w:trPr>
        <w:tc>
          <w:tcPr>
            <w:tcW w:w="1180" w:type="dxa"/>
            <w:vAlign w:val="bottom"/>
          </w:tcPr>
          <w:p>
            <w:pPr>
              <w:ind w:left="20"/>
              <w:spacing w:after="0"/>
              <w:rPr>
                <w:sz w:val="20"/>
                <w:szCs w:val="20"/>
                <w:color w:val="auto"/>
              </w:rPr>
            </w:pPr>
            <w:r>
              <w:rPr>
                <w:rFonts w:ascii="Arial" w:cs="Arial" w:eastAsia="Arial" w:hAnsi="Arial"/>
                <w:sz w:val="18"/>
                <w:szCs w:val="18"/>
                <w:b w:val="1"/>
                <w:bCs w:val="1"/>
                <w:color w:val="auto"/>
              </w:rPr>
              <w:t>30, 2024</w:t>
            </w:r>
          </w:p>
        </w:tc>
        <w:tc>
          <w:tcPr>
            <w:tcW w:w="660" w:type="dxa"/>
            <w:vAlign w:val="bottom"/>
            <w:tcBorders>
              <w:bottom w:val="single" w:sz="8" w:color="auto"/>
            </w:tcBorders>
            <w:vMerge w:val="continue"/>
          </w:tcPr>
          <w:p>
            <w:pPr>
              <w:spacing w:after="0"/>
              <w:rPr>
                <w:sz w:val="22"/>
                <w:szCs w:val="22"/>
                <w:color w:val="auto"/>
              </w:rPr>
            </w:pPr>
          </w:p>
        </w:tc>
        <w:tc>
          <w:tcPr>
            <w:tcW w:w="80" w:type="dxa"/>
            <w:vAlign w:val="bottom"/>
          </w:tcPr>
          <w:p>
            <w:pPr>
              <w:spacing w:after="0"/>
              <w:rPr>
                <w:sz w:val="22"/>
                <w:szCs w:val="22"/>
                <w:color w:val="auto"/>
              </w:rPr>
            </w:pPr>
          </w:p>
        </w:tc>
        <w:tc>
          <w:tcPr>
            <w:tcW w:w="860" w:type="dxa"/>
            <w:vAlign w:val="bottom"/>
            <w:tcBorders>
              <w:bottom w:val="single" w:sz="8" w:color="auto"/>
            </w:tcBorders>
            <w:vMerge w:val="continue"/>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Borders>
              <w:bottom w:val="single" w:sz="8" w:color="auto"/>
            </w:tcBorders>
            <w:shd w:val="clear" w:color="auto" w:fill="000000"/>
          </w:tcPr>
          <w:p>
            <w:pPr>
              <w:spacing w:after="0"/>
              <w:rPr>
                <w:sz w:val="22"/>
                <w:szCs w:val="22"/>
                <w:color w:val="auto"/>
              </w:rPr>
            </w:pPr>
          </w:p>
        </w:tc>
        <w:tc>
          <w:tcPr>
            <w:tcW w:w="740" w:type="dxa"/>
            <w:vAlign w:val="bottom"/>
            <w:tcBorders>
              <w:bottom w:val="single" w:sz="8" w:color="auto"/>
            </w:tcBorders>
            <w:vMerge w:val="continue"/>
          </w:tcPr>
          <w:p>
            <w:pPr>
              <w:spacing w:after="0"/>
              <w:rPr>
                <w:sz w:val="22"/>
                <w:szCs w:val="22"/>
                <w:color w:val="auto"/>
              </w:rPr>
            </w:pPr>
          </w:p>
        </w:tc>
        <w:tc>
          <w:tcPr>
            <w:tcW w:w="80" w:type="dxa"/>
            <w:vAlign w:val="bottom"/>
            <w:vMerge w:val="continue"/>
          </w:tcPr>
          <w:p>
            <w:pPr>
              <w:spacing w:after="0"/>
              <w:rPr>
                <w:sz w:val="22"/>
                <w:szCs w:val="22"/>
                <w:color w:val="auto"/>
              </w:rPr>
            </w:pPr>
          </w:p>
        </w:tc>
        <w:tc>
          <w:tcPr>
            <w:tcW w:w="340" w:type="dxa"/>
            <w:vAlign w:val="bottom"/>
            <w:tcBorders>
              <w:bottom w:val="single" w:sz="8" w:color="auto"/>
            </w:tcBorders>
            <w:vMerge w:val="continue"/>
          </w:tcPr>
          <w:p>
            <w:pPr>
              <w:spacing w:after="0"/>
              <w:rPr>
                <w:sz w:val="22"/>
                <w:szCs w:val="22"/>
                <w:color w:val="auto"/>
              </w:rPr>
            </w:pPr>
          </w:p>
        </w:tc>
        <w:tc>
          <w:tcPr>
            <w:tcW w:w="400" w:type="dxa"/>
            <w:vAlign w:val="bottom"/>
            <w:tcBorders>
              <w:bottom w:val="single" w:sz="8" w:color="auto"/>
            </w:tcBorders>
            <w:vMerge w:val="continue"/>
          </w:tcPr>
          <w:p>
            <w:pPr>
              <w:spacing w:after="0"/>
              <w:rPr>
                <w:sz w:val="22"/>
                <w:szCs w:val="22"/>
                <w:color w:val="auto"/>
              </w:rPr>
            </w:pPr>
          </w:p>
        </w:tc>
        <w:tc>
          <w:tcPr>
            <w:tcW w:w="100" w:type="dxa"/>
            <w:vAlign w:val="bottom"/>
            <w:vMerge w:val="continue"/>
          </w:tcPr>
          <w:p>
            <w:pPr>
              <w:spacing w:after="0"/>
              <w:rPr>
                <w:sz w:val="22"/>
                <w:szCs w:val="22"/>
                <w:color w:val="auto"/>
              </w:rPr>
            </w:pPr>
          </w:p>
        </w:tc>
        <w:tc>
          <w:tcPr>
            <w:tcW w:w="740" w:type="dxa"/>
            <w:vAlign w:val="bottom"/>
            <w:tcBorders>
              <w:bottom w:val="single" w:sz="8" w:color="auto"/>
            </w:tcBorders>
            <w:vMerge w:val="continue"/>
          </w:tcPr>
          <w:p>
            <w:pPr>
              <w:spacing w:after="0"/>
              <w:rPr>
                <w:sz w:val="22"/>
                <w:szCs w:val="22"/>
                <w:color w:val="auto"/>
              </w:rPr>
            </w:pPr>
          </w:p>
        </w:tc>
        <w:tc>
          <w:tcPr>
            <w:tcW w:w="80" w:type="dxa"/>
            <w:vAlign w:val="bottom"/>
          </w:tcPr>
          <w:p>
            <w:pPr>
              <w:spacing w:after="0"/>
              <w:rPr>
                <w:sz w:val="22"/>
                <w:szCs w:val="22"/>
                <w:color w:val="auto"/>
              </w:rPr>
            </w:pPr>
          </w:p>
        </w:tc>
        <w:tc>
          <w:tcPr>
            <w:tcW w:w="240" w:type="dxa"/>
            <w:vAlign w:val="bottom"/>
            <w:tcBorders>
              <w:bottom w:val="single" w:sz="8" w:color="auto"/>
            </w:tcBorders>
            <w:vMerge w:val="continue"/>
          </w:tcPr>
          <w:p>
            <w:pPr>
              <w:spacing w:after="0"/>
              <w:rPr>
                <w:sz w:val="22"/>
                <w:szCs w:val="22"/>
                <w:color w:val="auto"/>
              </w:rPr>
            </w:pPr>
          </w:p>
        </w:tc>
        <w:tc>
          <w:tcPr>
            <w:tcW w:w="500" w:type="dxa"/>
            <w:vAlign w:val="bottom"/>
            <w:tcBorders>
              <w:bottom w:val="single" w:sz="8" w:color="auto"/>
            </w:tcBorders>
            <w:vMerge w:val="continue"/>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Borders>
              <w:bottom w:val="single" w:sz="8" w:color="auto"/>
            </w:tcBorders>
            <w:vMerge w:val="continue"/>
          </w:tcPr>
          <w:p>
            <w:pPr>
              <w:spacing w:after="0"/>
              <w:rPr>
                <w:sz w:val="22"/>
                <w:szCs w:val="22"/>
                <w:color w:val="auto"/>
              </w:rPr>
            </w:pPr>
          </w:p>
        </w:tc>
        <w:tc>
          <w:tcPr>
            <w:tcW w:w="860" w:type="dxa"/>
            <w:vAlign w:val="bottom"/>
            <w:tcBorders>
              <w:bottom w:val="single" w:sz="8" w:color="auto"/>
            </w:tcBorders>
            <w:vMerge w:val="continue"/>
          </w:tcPr>
          <w:p>
            <w:pPr>
              <w:spacing w:after="0"/>
              <w:rPr>
                <w:sz w:val="22"/>
                <w:szCs w:val="22"/>
                <w:color w:val="auto"/>
              </w:rPr>
            </w:pPr>
          </w:p>
        </w:tc>
        <w:tc>
          <w:tcPr>
            <w:tcW w:w="80" w:type="dxa"/>
            <w:vAlign w:val="bottom"/>
          </w:tcPr>
          <w:p>
            <w:pPr>
              <w:spacing w:after="0"/>
              <w:rPr>
                <w:sz w:val="22"/>
                <w:szCs w:val="22"/>
                <w:color w:val="auto"/>
              </w:rPr>
            </w:pPr>
          </w:p>
        </w:tc>
        <w:tc>
          <w:tcPr>
            <w:tcW w:w="220" w:type="dxa"/>
            <w:vAlign w:val="bottom"/>
            <w:tcBorders>
              <w:bottom w:val="single" w:sz="8" w:color="auto"/>
            </w:tcBorders>
            <w:vMerge w:val="continue"/>
          </w:tcPr>
          <w:p>
            <w:pPr>
              <w:spacing w:after="0"/>
              <w:rPr>
                <w:sz w:val="22"/>
                <w:szCs w:val="22"/>
                <w:color w:val="auto"/>
              </w:rPr>
            </w:pPr>
          </w:p>
        </w:tc>
        <w:tc>
          <w:tcPr>
            <w:tcW w:w="960" w:type="dxa"/>
            <w:vAlign w:val="bottom"/>
            <w:tcBorders>
              <w:bottom w:val="single" w:sz="8" w:color="auto"/>
            </w:tcBorders>
            <w:vMerge w:val="continue"/>
          </w:tcPr>
          <w:p>
            <w:pPr>
              <w:spacing w:after="0"/>
              <w:rPr>
                <w:sz w:val="22"/>
                <w:szCs w:val="22"/>
                <w:color w:val="auto"/>
              </w:rPr>
            </w:pPr>
          </w:p>
        </w:tc>
        <w:tc>
          <w:tcPr>
            <w:tcW w:w="80" w:type="dxa"/>
            <w:vAlign w:val="bottom"/>
          </w:tcPr>
          <w:p>
            <w:pPr>
              <w:spacing w:after="0"/>
              <w:rPr>
                <w:sz w:val="22"/>
                <w:szCs w:val="22"/>
                <w:color w:val="auto"/>
              </w:rPr>
            </w:pPr>
          </w:p>
        </w:tc>
        <w:tc>
          <w:tcPr>
            <w:tcW w:w="140" w:type="dxa"/>
            <w:vAlign w:val="bottom"/>
            <w:tcBorders>
              <w:bottom w:val="single" w:sz="8" w:color="auto"/>
            </w:tcBorders>
            <w:vMerge w:val="continue"/>
          </w:tcPr>
          <w:p>
            <w:pPr>
              <w:spacing w:after="0"/>
              <w:rPr>
                <w:sz w:val="22"/>
                <w:szCs w:val="22"/>
                <w:color w:val="auto"/>
              </w:rPr>
            </w:pPr>
          </w:p>
        </w:tc>
        <w:tc>
          <w:tcPr>
            <w:tcW w:w="1260" w:type="dxa"/>
            <w:vAlign w:val="bottom"/>
            <w:tcBorders>
              <w:bottom w:val="single" w:sz="8" w:color="auto"/>
            </w:tcBorders>
            <w:vMerge w:val="continue"/>
          </w:tcPr>
          <w:p>
            <w:pPr>
              <w:spacing w:after="0"/>
              <w:rPr>
                <w:sz w:val="22"/>
                <w:szCs w:val="22"/>
                <w:color w:val="auto"/>
              </w:rPr>
            </w:pPr>
          </w:p>
        </w:tc>
        <w:tc>
          <w:tcPr>
            <w:tcW w:w="80" w:type="dxa"/>
            <w:vAlign w:val="bottom"/>
          </w:tcPr>
          <w:p>
            <w:pPr>
              <w:spacing w:after="0"/>
              <w:rPr>
                <w:sz w:val="22"/>
                <w:szCs w:val="22"/>
                <w:color w:val="auto"/>
              </w:rPr>
            </w:pPr>
          </w:p>
        </w:tc>
        <w:tc>
          <w:tcPr>
            <w:tcW w:w="240" w:type="dxa"/>
            <w:vAlign w:val="bottom"/>
            <w:tcBorders>
              <w:bottom w:val="single" w:sz="8" w:color="auto"/>
            </w:tcBorders>
            <w:vMerge w:val="continue"/>
          </w:tcPr>
          <w:p>
            <w:pPr>
              <w:spacing w:after="0"/>
              <w:rPr>
                <w:sz w:val="22"/>
                <w:szCs w:val="22"/>
                <w:color w:val="auto"/>
              </w:rPr>
            </w:pPr>
          </w:p>
        </w:tc>
        <w:tc>
          <w:tcPr>
            <w:tcW w:w="1000" w:type="dxa"/>
            <w:vAlign w:val="bottom"/>
            <w:tcBorders>
              <w:bottom w:val="single" w:sz="8" w:color="auto"/>
            </w:tcBorders>
            <w:vMerge w:val="continue"/>
          </w:tcPr>
          <w:p>
            <w:pPr>
              <w:spacing w:after="0"/>
              <w:rPr>
                <w:sz w:val="22"/>
                <w:szCs w:val="2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02" w:right="339" w:bottom="1440" w:gutter="0" w:footer="0" w:header="0"/>
        </w:sectPr>
      </w:pPr>
    </w:p>
    <w:bookmarkStart w:id="9" w:name="page10"/>
    <w:bookmarkEnd w:id="9"/>
    <w:p>
      <w:pPr>
        <w:ind w:left="4480"/>
        <w:spacing w:after="0"/>
        <w:rPr>
          <w:sz w:val="20"/>
          <w:szCs w:val="20"/>
          <w:color w:val="auto"/>
        </w:rPr>
      </w:pPr>
      <w:r>
        <w:rPr>
          <w:rFonts w:ascii="Arial" w:cs="Arial" w:eastAsia="Arial" w:hAnsi="Arial"/>
          <w:sz w:val="20"/>
          <w:szCs w:val="20"/>
          <w:b w:val="1"/>
          <w:bCs w:val="1"/>
          <w:color w:val="auto"/>
        </w:rPr>
        <w:t>Array Technologies, Inc.</w:t>
      </w:r>
    </w:p>
    <w:p>
      <w:pPr>
        <w:spacing w:after="0" w:line="31" w:lineRule="exact"/>
        <w:rPr>
          <w:sz w:val="20"/>
          <w:szCs w:val="20"/>
          <w:color w:val="auto"/>
        </w:rPr>
      </w:pPr>
    </w:p>
    <w:p>
      <w:pPr>
        <w:ind w:left="120"/>
        <w:spacing w:after="0"/>
        <w:rPr>
          <w:sz w:val="20"/>
          <w:szCs w:val="20"/>
          <w:color w:val="auto"/>
        </w:rPr>
      </w:pPr>
      <w:r>
        <w:rPr>
          <w:rFonts w:ascii="Arial" w:cs="Arial" w:eastAsia="Arial" w:hAnsi="Arial"/>
          <w:sz w:val="19"/>
          <w:szCs w:val="19"/>
          <w:b w:val="1"/>
          <w:bCs w:val="1"/>
          <w:color w:val="auto"/>
        </w:rPr>
        <w:t>Condensed Consolidated Statements of Changes in Redeemable Perpetual Preferred Stock and Stockholders’ Equity</w:t>
      </w:r>
    </w:p>
    <w:p>
      <w:pPr>
        <w:jc w:val="center"/>
        <w:spacing w:after="0"/>
        <w:rPr>
          <w:sz w:val="20"/>
          <w:szCs w:val="20"/>
          <w:color w:val="auto"/>
        </w:rPr>
      </w:pPr>
      <w:r>
        <w:rPr>
          <w:rFonts w:ascii="Arial" w:cs="Arial" w:eastAsia="Arial" w:hAnsi="Arial"/>
          <w:sz w:val="20"/>
          <w:szCs w:val="20"/>
          <w:b w:val="1"/>
          <w:bCs w:val="1"/>
          <w:i w:val="1"/>
          <w:iCs w:val="1"/>
          <w:color w:val="auto"/>
        </w:rPr>
        <w:t>(unaudited)</w:t>
      </w:r>
    </w:p>
    <w:tbl>
      <w:tblPr>
        <w:tblLayout w:type="fixed"/>
        <w:tblInd w:w="0" w:type="dxa"/>
        <w:tblCellMar>
          <w:top w:w="0" w:type="dxa"/>
          <w:left w:w="0" w:type="dxa"/>
          <w:bottom w:w="0" w:type="dxa"/>
          <w:right w:w="0" w:type="dxa"/>
        </w:tblCellMar>
      </w:tblPr>
      <w:tr>
        <w:trPr>
          <w:trHeight w:val="261"/>
        </w:trPr>
        <w:tc>
          <w:tcPr>
            <w:tcW w:w="2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780" w:type="dxa"/>
            <w:vAlign w:val="bottom"/>
            <w:gridSpan w:val="6"/>
          </w:tcPr>
          <w:p>
            <w:pPr>
              <w:ind w:left="460"/>
              <w:spacing w:after="0"/>
              <w:rPr>
                <w:sz w:val="20"/>
                <w:szCs w:val="20"/>
                <w:color w:val="auto"/>
              </w:rPr>
            </w:pPr>
            <w:r>
              <w:rPr>
                <w:rFonts w:ascii="Arial" w:cs="Arial" w:eastAsia="Arial" w:hAnsi="Arial"/>
                <w:sz w:val="20"/>
                <w:szCs w:val="20"/>
                <w:i w:val="1"/>
                <w:iCs w:val="1"/>
                <w:color w:val="auto"/>
              </w:rPr>
              <w:t>(in thousands)</w:t>
            </w:r>
          </w:p>
        </w:tc>
        <w:tc>
          <w:tcPr>
            <w:tcW w:w="8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38"/>
        </w:trPr>
        <w:tc>
          <w:tcPr>
            <w:tcW w:w="4000" w:type="dxa"/>
            <w:vAlign w:val="bottom"/>
            <w:gridSpan w:val="11"/>
          </w:tcPr>
          <w:p>
            <w:pPr>
              <w:spacing w:after="0"/>
              <w:rPr>
                <w:sz w:val="20"/>
                <w:szCs w:val="20"/>
                <w:color w:val="auto"/>
              </w:rPr>
            </w:pPr>
            <w:r>
              <w:rPr>
                <w:rFonts w:ascii="Arial" w:cs="Arial" w:eastAsia="Arial" w:hAnsi="Arial"/>
                <w:sz w:val="20"/>
                <w:szCs w:val="20"/>
                <w:b w:val="1"/>
                <w:bCs w:val="1"/>
                <w:i w:val="1"/>
                <w:iCs w:val="1"/>
                <w:color w:val="auto"/>
              </w:rPr>
              <w:t>Nine Months Ended September 30, 2025</w:t>
            </w: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660" w:type="dxa"/>
            <w:vAlign w:val="bottom"/>
            <w:gridSpan w:val="4"/>
            <w:vMerge w:val="restart"/>
          </w:tcPr>
          <w:p>
            <w:pPr>
              <w:jc w:val="center"/>
              <w:ind w:right="100"/>
              <w:spacing w:after="0"/>
              <w:rPr>
                <w:sz w:val="20"/>
                <w:szCs w:val="20"/>
                <w:color w:val="auto"/>
              </w:rPr>
            </w:pPr>
            <w:r>
              <w:rPr>
                <w:rFonts w:ascii="Arial" w:cs="Arial" w:eastAsia="Arial" w:hAnsi="Arial"/>
                <w:sz w:val="18"/>
                <w:szCs w:val="18"/>
                <w:b w:val="1"/>
                <w:bCs w:val="1"/>
                <w:color w:val="auto"/>
                <w:w w:val="99"/>
              </w:rPr>
              <w:t>Temporary Equity</w:t>
            </w:r>
          </w:p>
        </w:tc>
        <w:tc>
          <w:tcPr>
            <w:tcW w:w="20" w:type="dxa"/>
            <w:vAlign w:val="bottom"/>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0" w:type="dxa"/>
            <w:vAlign w:val="bottom"/>
            <w:gridSpan w:val="5"/>
            <w:vMerge w:val="restart"/>
          </w:tcPr>
          <w:p>
            <w:pPr>
              <w:spacing w:after="0"/>
              <w:rPr>
                <w:sz w:val="20"/>
                <w:szCs w:val="20"/>
                <w:color w:val="auto"/>
              </w:rPr>
            </w:pPr>
            <w:r>
              <w:rPr>
                <w:rFonts w:ascii="Arial" w:cs="Arial" w:eastAsia="Arial" w:hAnsi="Arial"/>
                <w:sz w:val="18"/>
                <w:szCs w:val="18"/>
                <w:b w:val="1"/>
                <w:bCs w:val="1"/>
                <w:color w:val="auto"/>
              </w:rPr>
              <w:t>Permanent Equity</w:t>
            </w:r>
          </w:p>
        </w:tc>
        <w:tc>
          <w:tcPr>
            <w:tcW w:w="1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660" w:type="dxa"/>
            <w:vAlign w:val="bottom"/>
            <w:gridSpan w:val="4"/>
            <w:vMerge w:val="continue"/>
          </w:tcPr>
          <w:p>
            <w:pPr>
              <w:spacing w:after="0"/>
              <w:rPr>
                <w:sz w:val="19"/>
                <w:szCs w:val="19"/>
                <w:color w:val="auto"/>
              </w:rPr>
            </w:pPr>
          </w:p>
        </w:tc>
        <w:tc>
          <w:tcPr>
            <w:tcW w:w="20" w:type="dxa"/>
            <w:vAlign w:val="bottom"/>
            <w:shd w:val="clear" w:color="auto" w:fill="000000"/>
          </w:tcPr>
          <w:p>
            <w:pPr>
              <w:spacing w:after="0"/>
              <w:rPr>
                <w:sz w:val="19"/>
                <w:szCs w:val="19"/>
                <w:color w:val="auto"/>
              </w:rPr>
            </w:pPr>
          </w:p>
        </w:tc>
        <w:tc>
          <w:tcPr>
            <w:tcW w:w="80" w:type="dxa"/>
            <w:vAlign w:val="bottom"/>
            <w:vMerge w:val="continue"/>
          </w:tcPr>
          <w:p>
            <w:pPr>
              <w:spacing w:after="0"/>
              <w:rPr>
                <w:sz w:val="19"/>
                <w:szCs w:val="19"/>
                <w:color w:val="auto"/>
              </w:rPr>
            </w:pPr>
          </w:p>
        </w:tc>
        <w:tc>
          <w:tcPr>
            <w:tcW w:w="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0" w:type="dxa"/>
            <w:vAlign w:val="bottom"/>
            <w:gridSpan w:val="5"/>
            <w:vMerge w:val="continue"/>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580" w:type="dxa"/>
            <w:vAlign w:val="bottom"/>
            <w:tcBorders>
              <w:top w:val="single" w:sz="8" w:color="auto"/>
            </w:tcBorders>
            <w:gridSpan w:val="3"/>
          </w:tcPr>
          <w:p>
            <w:pPr>
              <w:jc w:val="center"/>
              <w:spacing w:after="0" w:line="169" w:lineRule="exact"/>
              <w:rPr>
                <w:sz w:val="20"/>
                <w:szCs w:val="20"/>
                <w:color w:val="auto"/>
              </w:rPr>
            </w:pPr>
            <w:r>
              <w:rPr>
                <w:rFonts w:ascii="Arial" w:cs="Arial" w:eastAsia="Arial" w:hAnsi="Arial"/>
                <w:sz w:val="18"/>
                <w:szCs w:val="18"/>
                <w:b w:val="1"/>
                <w:bCs w:val="1"/>
                <w:color w:val="auto"/>
                <w:w w:val="99"/>
              </w:rPr>
              <w:t>Series A</w:t>
            </w:r>
          </w:p>
        </w:tc>
        <w:tc>
          <w:tcPr>
            <w:tcW w:w="80" w:type="dxa"/>
            <w:vAlign w:val="bottom"/>
          </w:tcPr>
          <w:p>
            <w:pPr>
              <w:spacing w:after="0"/>
              <w:rPr>
                <w:sz w:val="14"/>
                <w:szCs w:val="14"/>
                <w:color w:val="auto"/>
              </w:rPr>
            </w:pPr>
          </w:p>
        </w:tc>
        <w:tc>
          <w:tcPr>
            <w:tcW w:w="20" w:type="dxa"/>
            <w:vAlign w:val="bottom"/>
            <w:tcBorders>
              <w:top w:val="single" w:sz="8" w:color="auto"/>
            </w:tcBorders>
            <w:shd w:val="clear" w:color="auto" w:fill="000000"/>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46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74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52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86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98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28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660" w:type="dxa"/>
            <w:vAlign w:val="bottom"/>
            <w:gridSpan w:val="4"/>
          </w:tcPr>
          <w:p>
            <w:pPr>
              <w:jc w:val="center"/>
              <w:ind w:right="80"/>
              <w:spacing w:after="0" w:line="176" w:lineRule="exact"/>
              <w:rPr>
                <w:sz w:val="20"/>
                <w:szCs w:val="20"/>
                <w:color w:val="auto"/>
              </w:rPr>
            </w:pPr>
            <w:r>
              <w:rPr>
                <w:rFonts w:ascii="Arial" w:cs="Arial" w:eastAsia="Arial" w:hAnsi="Arial"/>
                <w:sz w:val="18"/>
                <w:szCs w:val="18"/>
                <w:b w:val="1"/>
                <w:bCs w:val="1"/>
                <w:color w:val="auto"/>
                <w:w w:val="99"/>
              </w:rPr>
              <w:t>Redeemable</w:t>
            </w:r>
          </w:p>
        </w:tc>
        <w:tc>
          <w:tcPr>
            <w:tcW w:w="20" w:type="dxa"/>
            <w:vAlign w:val="bottom"/>
            <w:shd w:val="clear" w:color="auto" w:fill="000000"/>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660" w:type="dxa"/>
            <w:vAlign w:val="bottom"/>
            <w:gridSpan w:val="4"/>
          </w:tcPr>
          <w:p>
            <w:pPr>
              <w:jc w:val="center"/>
              <w:ind w:right="80"/>
              <w:spacing w:after="0" w:line="183" w:lineRule="exact"/>
              <w:rPr>
                <w:sz w:val="20"/>
                <w:szCs w:val="20"/>
                <w:color w:val="auto"/>
              </w:rPr>
            </w:pPr>
            <w:r>
              <w:rPr>
                <w:rFonts w:ascii="Arial" w:cs="Arial" w:eastAsia="Arial" w:hAnsi="Arial"/>
                <w:sz w:val="18"/>
                <w:szCs w:val="18"/>
                <w:b w:val="1"/>
                <w:bCs w:val="1"/>
                <w:color w:val="auto"/>
                <w:w w:val="99"/>
              </w:rPr>
              <w:t>Perpetual</w:t>
            </w:r>
          </w:p>
        </w:tc>
        <w:tc>
          <w:tcPr>
            <w:tcW w:w="20" w:type="dxa"/>
            <w:vAlign w:val="bottom"/>
            <w:shd w:val="clear" w:color="auto" w:fill="000000"/>
          </w:tcPr>
          <w:p>
            <w:pPr>
              <w:spacing w:after="0"/>
              <w:rPr>
                <w:sz w:val="15"/>
                <w:szCs w:val="15"/>
                <w:color w:val="auto"/>
              </w:rPr>
            </w:pPr>
          </w:p>
        </w:tc>
        <w:tc>
          <w:tcPr>
            <w:tcW w:w="80" w:type="dxa"/>
            <w:vAlign w:val="bottom"/>
          </w:tcPr>
          <w:p>
            <w:pPr>
              <w:spacing w:after="0"/>
              <w:rPr>
                <w:sz w:val="15"/>
                <w:szCs w:val="15"/>
                <w:color w:val="auto"/>
              </w:rPr>
            </w:pPr>
          </w:p>
        </w:tc>
        <w:tc>
          <w:tcPr>
            <w:tcW w:w="1580" w:type="dxa"/>
            <w:vAlign w:val="bottom"/>
            <w:gridSpan w:val="5"/>
            <w:vMerge w:val="restart"/>
          </w:tcPr>
          <w:p>
            <w:pPr>
              <w:ind w:left="80"/>
              <w:spacing w:after="0"/>
              <w:rPr>
                <w:sz w:val="20"/>
                <w:szCs w:val="20"/>
                <w:color w:val="auto"/>
              </w:rPr>
            </w:pPr>
            <w:r>
              <w:rPr>
                <w:rFonts w:ascii="Arial" w:cs="Arial" w:eastAsia="Arial" w:hAnsi="Arial"/>
                <w:sz w:val="18"/>
                <w:szCs w:val="18"/>
                <w:b w:val="1"/>
                <w:bCs w:val="1"/>
                <w:color w:val="auto"/>
              </w:rPr>
              <w:t>Preferred Stock</w:t>
            </w:r>
          </w:p>
        </w:tc>
        <w:tc>
          <w:tcPr>
            <w:tcW w:w="1660" w:type="dxa"/>
            <w:vAlign w:val="bottom"/>
            <w:gridSpan w:val="5"/>
            <w:vMerge w:val="restart"/>
          </w:tcPr>
          <w:p>
            <w:pPr>
              <w:ind w:left="120"/>
              <w:spacing w:after="0"/>
              <w:rPr>
                <w:sz w:val="20"/>
                <w:szCs w:val="20"/>
                <w:color w:val="auto"/>
              </w:rPr>
            </w:pPr>
            <w:r>
              <w:rPr>
                <w:rFonts w:ascii="Arial" w:cs="Arial" w:eastAsia="Arial" w:hAnsi="Arial"/>
                <w:sz w:val="18"/>
                <w:szCs w:val="18"/>
                <w:b w:val="1"/>
                <w:bCs w:val="1"/>
                <w:color w:val="auto"/>
              </w:rPr>
              <w:t>Common Stock</w:t>
            </w: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660" w:type="dxa"/>
            <w:vAlign w:val="bottom"/>
            <w:gridSpan w:val="4"/>
          </w:tcPr>
          <w:p>
            <w:pPr>
              <w:jc w:val="center"/>
              <w:ind w:right="80"/>
              <w:spacing w:after="0"/>
              <w:rPr>
                <w:sz w:val="20"/>
                <w:szCs w:val="20"/>
                <w:color w:val="auto"/>
              </w:rPr>
            </w:pPr>
            <w:r>
              <w:rPr>
                <w:rFonts w:ascii="Arial" w:cs="Arial" w:eastAsia="Arial" w:hAnsi="Arial"/>
                <w:sz w:val="18"/>
                <w:szCs w:val="18"/>
                <w:b w:val="1"/>
                <w:bCs w:val="1"/>
                <w:color w:val="auto"/>
                <w:w w:val="99"/>
              </w:rPr>
              <w:t>Preferred Stock</w:t>
            </w:r>
          </w:p>
        </w:tc>
        <w:tc>
          <w:tcPr>
            <w:tcW w:w="20" w:type="dxa"/>
            <w:vAlign w:val="bottom"/>
            <w:shd w:val="clear" w:color="auto" w:fill="000000"/>
          </w:tcPr>
          <w:p>
            <w:pPr>
              <w:spacing w:after="0"/>
              <w:rPr>
                <w:sz w:val="20"/>
                <w:szCs w:val="20"/>
                <w:color w:val="auto"/>
              </w:rPr>
            </w:pPr>
          </w:p>
        </w:tc>
        <w:tc>
          <w:tcPr>
            <w:tcW w:w="80" w:type="dxa"/>
            <w:vAlign w:val="bottom"/>
          </w:tcPr>
          <w:p>
            <w:pPr>
              <w:spacing w:after="0"/>
              <w:rPr>
                <w:sz w:val="20"/>
                <w:szCs w:val="20"/>
                <w:color w:val="auto"/>
              </w:rPr>
            </w:pPr>
          </w:p>
        </w:tc>
        <w:tc>
          <w:tcPr>
            <w:tcW w:w="1580" w:type="dxa"/>
            <w:vAlign w:val="bottom"/>
            <w:gridSpan w:val="5"/>
            <w:vMerge w:val="continue"/>
          </w:tcPr>
          <w:p>
            <w:pPr>
              <w:spacing w:after="0"/>
              <w:rPr>
                <w:sz w:val="20"/>
                <w:szCs w:val="20"/>
                <w:color w:val="auto"/>
              </w:rPr>
            </w:pPr>
          </w:p>
        </w:tc>
        <w:tc>
          <w:tcPr>
            <w:tcW w:w="1660" w:type="dxa"/>
            <w:vAlign w:val="bottom"/>
            <w:gridSpan w:val="5"/>
            <w:vMerge w:val="continue"/>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gridSpan w:val="2"/>
            <w:vMerge w:val="restart"/>
          </w:tcPr>
          <w:p>
            <w:pPr>
              <w:jc w:val="center"/>
              <w:ind w:right="200"/>
              <w:spacing w:after="0"/>
              <w:rPr>
                <w:sz w:val="20"/>
                <w:szCs w:val="20"/>
                <w:color w:val="auto"/>
              </w:rPr>
            </w:pPr>
            <w:r>
              <w:rPr>
                <w:rFonts w:ascii="Arial" w:cs="Arial" w:eastAsia="Arial" w:hAnsi="Arial"/>
                <w:sz w:val="18"/>
                <w:szCs w:val="18"/>
                <w:b w:val="1"/>
                <w:bCs w:val="1"/>
                <w:color w:val="auto"/>
                <w:w w:val="99"/>
              </w:rPr>
              <w:t>Accumulated</w:t>
            </w:r>
          </w:p>
        </w:tc>
        <w:tc>
          <w:tcPr>
            <w:tcW w:w="2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64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Borders>
              <w:top w:val="single" w:sz="8" w:color="auto"/>
            </w:tcBorders>
            <w:shd w:val="clear" w:color="auto" w:fill="000000"/>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46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52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gridSpan w:val="3"/>
            <w:vMerge w:val="restart"/>
          </w:tcPr>
          <w:p>
            <w:pPr>
              <w:ind w:left="40"/>
              <w:spacing w:after="0"/>
              <w:rPr>
                <w:sz w:val="20"/>
                <w:szCs w:val="20"/>
                <w:color w:val="auto"/>
              </w:rPr>
            </w:pPr>
            <w:r>
              <w:rPr>
                <w:rFonts w:ascii="Arial" w:cs="Arial" w:eastAsia="Arial" w:hAnsi="Arial"/>
                <w:sz w:val="18"/>
                <w:szCs w:val="18"/>
                <w:b w:val="1"/>
                <w:bCs w:val="1"/>
                <w:color w:val="auto"/>
              </w:rPr>
              <w:t>Additional</w:t>
            </w:r>
          </w:p>
        </w:tc>
        <w:tc>
          <w:tcPr>
            <w:tcW w:w="2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60" w:type="dxa"/>
            <w:vAlign w:val="bottom"/>
            <w:gridSpan w:val="2"/>
            <w:vMerge w:val="continue"/>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vMerge w:val="restart"/>
          </w:tcPr>
          <w:p>
            <w:pPr>
              <w:jc w:val="right"/>
              <w:ind w:right="33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shd w:val="clear" w:color="auto" w:fill="000000"/>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60" w:type="dxa"/>
            <w:vAlign w:val="bottom"/>
            <w:gridSpan w:val="3"/>
            <w:vMerge w:val="continue"/>
          </w:tcPr>
          <w:p>
            <w:pPr>
              <w:spacing w:after="0"/>
              <w:rPr>
                <w:sz w:val="15"/>
                <w:szCs w:val="15"/>
                <w:color w:val="auto"/>
              </w:rPr>
            </w:pPr>
          </w:p>
        </w:tc>
        <w:tc>
          <w:tcPr>
            <w:tcW w:w="1260" w:type="dxa"/>
            <w:vAlign w:val="bottom"/>
            <w:gridSpan w:val="3"/>
            <w:vMerge w:val="restart"/>
          </w:tcPr>
          <w:p>
            <w:pPr>
              <w:ind w:left="20"/>
              <w:spacing w:after="0"/>
              <w:rPr>
                <w:sz w:val="20"/>
                <w:szCs w:val="20"/>
                <w:color w:val="auto"/>
              </w:rPr>
            </w:pPr>
            <w:r>
              <w:rPr>
                <w:rFonts w:ascii="Arial" w:cs="Arial" w:eastAsia="Arial" w:hAnsi="Arial"/>
                <w:sz w:val="18"/>
                <w:szCs w:val="18"/>
                <w:b w:val="1"/>
                <w:bCs w:val="1"/>
                <w:color w:val="auto"/>
              </w:rPr>
              <w:t>Accumulated</w:t>
            </w:r>
          </w:p>
        </w:tc>
        <w:tc>
          <w:tcPr>
            <w:tcW w:w="120" w:type="dxa"/>
            <w:vAlign w:val="bottom"/>
          </w:tcPr>
          <w:p>
            <w:pPr>
              <w:spacing w:after="0"/>
              <w:rPr>
                <w:sz w:val="15"/>
                <w:szCs w:val="15"/>
                <w:color w:val="auto"/>
              </w:rPr>
            </w:pPr>
          </w:p>
        </w:tc>
        <w:tc>
          <w:tcPr>
            <w:tcW w:w="1360" w:type="dxa"/>
            <w:vAlign w:val="bottom"/>
            <w:gridSpan w:val="2"/>
          </w:tcPr>
          <w:p>
            <w:pPr>
              <w:jc w:val="center"/>
              <w:ind w:right="200"/>
              <w:spacing w:after="0" w:line="176" w:lineRule="exact"/>
              <w:rPr>
                <w:sz w:val="20"/>
                <w:szCs w:val="20"/>
                <w:color w:val="auto"/>
              </w:rPr>
            </w:pPr>
            <w:r>
              <w:rPr>
                <w:rFonts w:ascii="Arial" w:cs="Arial" w:eastAsia="Arial" w:hAnsi="Arial"/>
                <w:sz w:val="18"/>
                <w:szCs w:val="18"/>
                <w:b w:val="1"/>
                <w:bCs w:val="1"/>
                <w:color w:val="auto"/>
                <w:w w:val="99"/>
              </w:rPr>
              <w:t>Other</w:t>
            </w:r>
          </w:p>
        </w:tc>
        <w:tc>
          <w:tcPr>
            <w:tcW w:w="220" w:type="dxa"/>
            <w:vAlign w:val="bottom"/>
          </w:tcPr>
          <w:p>
            <w:pPr>
              <w:spacing w:after="0"/>
              <w:rPr>
                <w:sz w:val="15"/>
                <w:szCs w:val="15"/>
                <w:color w:val="auto"/>
              </w:rPr>
            </w:pPr>
          </w:p>
        </w:tc>
        <w:tc>
          <w:tcPr>
            <w:tcW w:w="10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72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rPr>
              <w:t>Shares</w:t>
            </w:r>
          </w:p>
        </w:tc>
        <w:tc>
          <w:tcPr>
            <w:tcW w:w="940" w:type="dxa"/>
            <w:vAlign w:val="bottom"/>
            <w:gridSpan w:val="2"/>
            <w:vMerge w:val="restart"/>
          </w:tcPr>
          <w:p>
            <w:pPr>
              <w:ind w:left="100"/>
              <w:spacing w:after="0"/>
              <w:rPr>
                <w:sz w:val="20"/>
                <w:szCs w:val="20"/>
                <w:color w:val="auto"/>
              </w:rPr>
            </w:pPr>
            <w:r>
              <w:rPr>
                <w:rFonts w:ascii="Arial" w:cs="Arial" w:eastAsia="Arial" w:hAnsi="Arial"/>
                <w:sz w:val="18"/>
                <w:szCs w:val="18"/>
                <w:b w:val="1"/>
                <w:bCs w:val="1"/>
                <w:color w:val="auto"/>
              </w:rPr>
              <w:t>Amount</w:t>
            </w:r>
          </w:p>
        </w:tc>
        <w:tc>
          <w:tcPr>
            <w:tcW w:w="20" w:type="dxa"/>
            <w:vAlign w:val="bottom"/>
            <w:shd w:val="clear" w:color="auto" w:fill="000000"/>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rPr>
              <w:t>Shares</w:t>
            </w:r>
          </w:p>
        </w:tc>
        <w:tc>
          <w:tcPr>
            <w:tcW w:w="840" w:type="dxa"/>
            <w:vAlign w:val="bottom"/>
            <w:gridSpan w:val="3"/>
            <w:vMerge w:val="restart"/>
          </w:tcPr>
          <w:p>
            <w:pPr>
              <w:ind w:left="40"/>
              <w:spacing w:after="0"/>
              <w:rPr>
                <w:sz w:val="20"/>
                <w:szCs w:val="20"/>
                <w:color w:val="auto"/>
              </w:rPr>
            </w:pPr>
            <w:r>
              <w:rPr>
                <w:rFonts w:ascii="Arial" w:cs="Arial" w:eastAsia="Arial" w:hAnsi="Arial"/>
                <w:sz w:val="18"/>
                <w:szCs w:val="18"/>
                <w:b w:val="1"/>
                <w:bCs w:val="1"/>
                <w:color w:val="auto"/>
              </w:rPr>
              <w:t>Amount</w:t>
            </w:r>
          </w:p>
        </w:tc>
        <w:tc>
          <w:tcPr>
            <w:tcW w:w="820" w:type="dxa"/>
            <w:vAlign w:val="bottom"/>
            <w:gridSpan w:val="2"/>
            <w:vMerge w:val="restart"/>
          </w:tcPr>
          <w:p>
            <w:pPr>
              <w:ind w:left="60"/>
              <w:spacing w:after="0"/>
              <w:rPr>
                <w:sz w:val="20"/>
                <w:szCs w:val="20"/>
                <w:color w:val="auto"/>
              </w:rPr>
            </w:pPr>
            <w:r>
              <w:rPr>
                <w:rFonts w:ascii="Arial" w:cs="Arial" w:eastAsia="Arial" w:hAnsi="Arial"/>
                <w:sz w:val="18"/>
                <w:szCs w:val="18"/>
                <w:b w:val="1"/>
                <w:bCs w:val="1"/>
                <w:color w:val="auto"/>
              </w:rPr>
              <w:t>Shares</w:t>
            </w:r>
          </w:p>
        </w:tc>
        <w:tc>
          <w:tcPr>
            <w:tcW w:w="840" w:type="dxa"/>
            <w:vAlign w:val="bottom"/>
            <w:gridSpan w:val="3"/>
            <w:vMerge w:val="restart"/>
          </w:tcPr>
          <w:p>
            <w:pPr>
              <w:ind w:left="40"/>
              <w:spacing w:after="0"/>
              <w:rPr>
                <w:sz w:val="20"/>
                <w:szCs w:val="20"/>
                <w:color w:val="auto"/>
              </w:rPr>
            </w:pPr>
            <w:r>
              <w:rPr>
                <w:rFonts w:ascii="Arial" w:cs="Arial" w:eastAsia="Arial" w:hAnsi="Arial"/>
                <w:sz w:val="18"/>
                <w:szCs w:val="18"/>
                <w:b w:val="1"/>
                <w:bCs w:val="1"/>
                <w:color w:val="auto"/>
              </w:rPr>
              <w:t>Amount</w:t>
            </w:r>
          </w:p>
        </w:tc>
        <w:tc>
          <w:tcPr>
            <w:tcW w:w="120" w:type="dxa"/>
            <w:vAlign w:val="bottom"/>
          </w:tcPr>
          <w:p>
            <w:pPr>
              <w:spacing w:after="0"/>
              <w:rPr>
                <w:sz w:val="15"/>
                <w:szCs w:val="15"/>
                <w:color w:val="auto"/>
              </w:rPr>
            </w:pPr>
          </w:p>
        </w:tc>
        <w:tc>
          <w:tcPr>
            <w:tcW w:w="940" w:type="dxa"/>
            <w:vAlign w:val="bottom"/>
            <w:gridSpan w:val="2"/>
          </w:tcPr>
          <w:p>
            <w:pPr>
              <w:ind w:left="60"/>
              <w:spacing w:after="0" w:line="176" w:lineRule="exact"/>
              <w:rPr>
                <w:sz w:val="20"/>
                <w:szCs w:val="20"/>
                <w:color w:val="auto"/>
              </w:rPr>
            </w:pPr>
            <w:r>
              <w:rPr>
                <w:rFonts w:ascii="Arial" w:cs="Arial" w:eastAsia="Arial" w:hAnsi="Arial"/>
                <w:sz w:val="18"/>
                <w:szCs w:val="18"/>
                <w:b w:val="1"/>
                <w:bCs w:val="1"/>
                <w:color w:val="auto"/>
              </w:rPr>
              <w:t>Paid-In</w:t>
            </w:r>
          </w:p>
        </w:tc>
        <w:tc>
          <w:tcPr>
            <w:tcW w:w="1260" w:type="dxa"/>
            <w:vAlign w:val="bottom"/>
            <w:gridSpan w:val="3"/>
            <w:vMerge w:val="continue"/>
          </w:tcPr>
          <w:p>
            <w:pPr>
              <w:spacing w:after="0"/>
              <w:rPr>
                <w:sz w:val="15"/>
                <w:szCs w:val="15"/>
                <w:color w:val="auto"/>
              </w:rPr>
            </w:pPr>
          </w:p>
        </w:tc>
        <w:tc>
          <w:tcPr>
            <w:tcW w:w="1480" w:type="dxa"/>
            <w:vAlign w:val="bottom"/>
            <w:gridSpan w:val="3"/>
          </w:tcPr>
          <w:p>
            <w:pPr>
              <w:jc w:val="center"/>
              <w:ind w:right="100"/>
              <w:spacing w:after="0" w:line="176" w:lineRule="exact"/>
              <w:rPr>
                <w:sz w:val="20"/>
                <w:szCs w:val="20"/>
                <w:color w:val="auto"/>
              </w:rPr>
            </w:pPr>
            <w:r>
              <w:rPr>
                <w:rFonts w:ascii="Arial" w:cs="Arial" w:eastAsia="Arial" w:hAnsi="Arial"/>
                <w:sz w:val="18"/>
                <w:szCs w:val="18"/>
                <w:b w:val="1"/>
                <w:bCs w:val="1"/>
                <w:color w:val="auto"/>
                <w:w w:val="99"/>
              </w:rPr>
              <w:t>Comprehensive</w:t>
            </w:r>
          </w:p>
        </w:tc>
        <w:tc>
          <w:tcPr>
            <w:tcW w:w="1240" w:type="dxa"/>
            <w:vAlign w:val="bottom"/>
            <w:gridSpan w:val="2"/>
          </w:tcPr>
          <w:p>
            <w:pPr>
              <w:ind w:left="20"/>
              <w:spacing w:after="0" w:line="176" w:lineRule="exact"/>
              <w:rPr>
                <w:sz w:val="20"/>
                <w:szCs w:val="20"/>
                <w:color w:val="auto"/>
              </w:rPr>
            </w:pPr>
            <w:r>
              <w:rPr>
                <w:rFonts w:ascii="Arial" w:cs="Arial" w:eastAsia="Arial" w:hAnsi="Arial"/>
                <w:sz w:val="18"/>
                <w:szCs w:val="18"/>
                <w:b w:val="1"/>
                <w:bCs w:val="1"/>
                <w:color w:val="auto"/>
              </w:rPr>
              <w:t>Stockholders’</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720" w:type="dxa"/>
            <w:vAlign w:val="bottom"/>
            <w:gridSpan w:val="2"/>
            <w:vMerge w:val="continue"/>
          </w:tcPr>
          <w:p>
            <w:pPr>
              <w:spacing w:after="0"/>
              <w:rPr>
                <w:sz w:val="21"/>
                <w:szCs w:val="21"/>
                <w:color w:val="auto"/>
              </w:rPr>
            </w:pPr>
          </w:p>
        </w:tc>
        <w:tc>
          <w:tcPr>
            <w:tcW w:w="940" w:type="dxa"/>
            <w:vAlign w:val="bottom"/>
            <w:gridSpan w:val="2"/>
            <w:vMerge w:val="continue"/>
          </w:tcPr>
          <w:p>
            <w:pPr>
              <w:spacing w:after="0"/>
              <w:rPr>
                <w:sz w:val="21"/>
                <w:szCs w:val="21"/>
                <w:color w:val="auto"/>
              </w:rPr>
            </w:pPr>
          </w:p>
        </w:tc>
        <w:tc>
          <w:tcPr>
            <w:tcW w:w="20" w:type="dxa"/>
            <w:vAlign w:val="bottom"/>
            <w:shd w:val="clear" w:color="auto" w:fill="000000"/>
          </w:tcPr>
          <w:p>
            <w:pPr>
              <w:spacing w:after="0"/>
              <w:rPr>
                <w:sz w:val="21"/>
                <w:szCs w:val="21"/>
                <w:color w:val="auto"/>
              </w:rPr>
            </w:pPr>
          </w:p>
        </w:tc>
        <w:tc>
          <w:tcPr>
            <w:tcW w:w="80" w:type="dxa"/>
            <w:vAlign w:val="bottom"/>
          </w:tcPr>
          <w:p>
            <w:pPr>
              <w:spacing w:after="0"/>
              <w:rPr>
                <w:sz w:val="21"/>
                <w:szCs w:val="21"/>
                <w:color w:val="auto"/>
              </w:rPr>
            </w:pPr>
          </w:p>
        </w:tc>
        <w:tc>
          <w:tcPr>
            <w:tcW w:w="740" w:type="dxa"/>
            <w:vAlign w:val="bottom"/>
            <w:gridSpan w:val="2"/>
            <w:vMerge w:val="continue"/>
          </w:tcPr>
          <w:p>
            <w:pPr>
              <w:spacing w:after="0"/>
              <w:rPr>
                <w:sz w:val="21"/>
                <w:szCs w:val="21"/>
                <w:color w:val="auto"/>
              </w:rPr>
            </w:pPr>
          </w:p>
        </w:tc>
        <w:tc>
          <w:tcPr>
            <w:tcW w:w="840" w:type="dxa"/>
            <w:vAlign w:val="bottom"/>
            <w:gridSpan w:val="3"/>
            <w:vMerge w:val="continue"/>
          </w:tcPr>
          <w:p>
            <w:pPr>
              <w:spacing w:after="0"/>
              <w:rPr>
                <w:sz w:val="21"/>
                <w:szCs w:val="21"/>
                <w:color w:val="auto"/>
              </w:rPr>
            </w:pPr>
          </w:p>
        </w:tc>
        <w:tc>
          <w:tcPr>
            <w:tcW w:w="820" w:type="dxa"/>
            <w:vAlign w:val="bottom"/>
            <w:gridSpan w:val="2"/>
            <w:vMerge w:val="continue"/>
          </w:tcPr>
          <w:p>
            <w:pPr>
              <w:spacing w:after="0"/>
              <w:rPr>
                <w:sz w:val="21"/>
                <w:szCs w:val="21"/>
                <w:color w:val="auto"/>
              </w:rPr>
            </w:pPr>
          </w:p>
        </w:tc>
        <w:tc>
          <w:tcPr>
            <w:tcW w:w="840" w:type="dxa"/>
            <w:vAlign w:val="bottom"/>
            <w:gridSpan w:val="3"/>
            <w:vMerge w:val="continue"/>
          </w:tcPr>
          <w:p>
            <w:pPr>
              <w:spacing w:after="0"/>
              <w:rPr>
                <w:sz w:val="21"/>
                <w:szCs w:val="21"/>
                <w:color w:val="auto"/>
              </w:rPr>
            </w:pPr>
          </w:p>
        </w:tc>
        <w:tc>
          <w:tcPr>
            <w:tcW w:w="120" w:type="dxa"/>
            <w:vAlign w:val="bottom"/>
          </w:tcPr>
          <w:p>
            <w:pPr>
              <w:spacing w:after="0"/>
              <w:rPr>
                <w:sz w:val="21"/>
                <w:szCs w:val="21"/>
                <w:color w:val="auto"/>
              </w:rPr>
            </w:pPr>
          </w:p>
        </w:tc>
        <w:tc>
          <w:tcPr>
            <w:tcW w:w="940" w:type="dxa"/>
            <w:vAlign w:val="bottom"/>
            <w:gridSpan w:val="2"/>
          </w:tcPr>
          <w:p>
            <w:pPr>
              <w:ind w:left="60"/>
              <w:spacing w:after="0"/>
              <w:rPr>
                <w:sz w:val="20"/>
                <w:szCs w:val="20"/>
                <w:color w:val="auto"/>
              </w:rPr>
            </w:pPr>
            <w:r>
              <w:rPr>
                <w:rFonts w:ascii="Arial" w:cs="Arial" w:eastAsia="Arial" w:hAnsi="Arial"/>
                <w:sz w:val="18"/>
                <w:szCs w:val="18"/>
                <w:b w:val="1"/>
                <w:bCs w:val="1"/>
                <w:color w:val="auto"/>
              </w:rPr>
              <w:t>Capital</w:t>
            </w:r>
          </w:p>
        </w:tc>
        <w:tc>
          <w:tcPr>
            <w:tcW w:w="200" w:type="dxa"/>
            <w:vAlign w:val="bottom"/>
          </w:tcPr>
          <w:p>
            <w:pPr>
              <w:spacing w:after="0"/>
              <w:rPr>
                <w:sz w:val="21"/>
                <w:szCs w:val="21"/>
                <w:color w:val="auto"/>
              </w:rPr>
            </w:pPr>
          </w:p>
        </w:tc>
        <w:tc>
          <w:tcPr>
            <w:tcW w:w="1060" w:type="dxa"/>
            <w:vAlign w:val="bottom"/>
            <w:gridSpan w:val="2"/>
          </w:tcPr>
          <w:p>
            <w:pPr>
              <w:ind w:left="100"/>
              <w:spacing w:after="0"/>
              <w:rPr>
                <w:sz w:val="20"/>
                <w:szCs w:val="20"/>
                <w:color w:val="auto"/>
              </w:rPr>
            </w:pPr>
            <w:r>
              <w:rPr>
                <w:rFonts w:ascii="Arial" w:cs="Arial" w:eastAsia="Arial" w:hAnsi="Arial"/>
                <w:sz w:val="18"/>
                <w:szCs w:val="18"/>
                <w:b w:val="1"/>
                <w:bCs w:val="1"/>
                <w:color w:val="auto"/>
              </w:rPr>
              <w:t>Deficit</w:t>
            </w:r>
          </w:p>
        </w:tc>
        <w:tc>
          <w:tcPr>
            <w:tcW w:w="120" w:type="dxa"/>
            <w:vAlign w:val="bottom"/>
          </w:tcPr>
          <w:p>
            <w:pPr>
              <w:spacing w:after="0"/>
              <w:rPr>
                <w:sz w:val="21"/>
                <w:szCs w:val="21"/>
                <w:color w:val="auto"/>
              </w:rPr>
            </w:pPr>
          </w:p>
        </w:tc>
        <w:tc>
          <w:tcPr>
            <w:tcW w:w="13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9"/>
              </w:rPr>
              <w:t>Loss</w:t>
            </w:r>
          </w:p>
        </w:tc>
        <w:tc>
          <w:tcPr>
            <w:tcW w:w="220" w:type="dxa"/>
            <w:vAlign w:val="bottom"/>
          </w:tcPr>
          <w:p>
            <w:pPr>
              <w:spacing w:after="0"/>
              <w:rPr>
                <w:sz w:val="21"/>
                <w:szCs w:val="21"/>
                <w:color w:val="auto"/>
              </w:rPr>
            </w:pPr>
          </w:p>
        </w:tc>
        <w:tc>
          <w:tcPr>
            <w:tcW w:w="1020" w:type="dxa"/>
            <w:vAlign w:val="bottom"/>
          </w:tcPr>
          <w:p>
            <w:pPr>
              <w:jc w:val="right"/>
              <w:ind w:right="270"/>
              <w:spacing w:after="0"/>
              <w:rPr>
                <w:sz w:val="20"/>
                <w:szCs w:val="20"/>
                <w:color w:val="auto"/>
              </w:rPr>
            </w:pPr>
            <w:r>
              <w:rPr>
                <w:rFonts w:ascii="Arial" w:cs="Arial" w:eastAsia="Arial" w:hAnsi="Arial"/>
                <w:sz w:val="18"/>
                <w:szCs w:val="18"/>
                <w:b w:val="1"/>
                <w:bCs w:val="1"/>
                <w:color w:val="auto"/>
              </w:rPr>
              <w:t>Equity</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180" w:type="dxa"/>
            <w:vAlign w:val="bottom"/>
            <w:tcBorders>
              <w:top w:val="single" w:sz="8" w:color="CCEEFF"/>
            </w:tcBorders>
            <w:shd w:val="clear" w:color="auto" w:fill="CCEEFF"/>
          </w:tcPr>
          <w:p>
            <w:pPr>
              <w:ind w:left="20"/>
              <w:spacing w:after="0" w:line="156" w:lineRule="exact"/>
              <w:rPr>
                <w:sz w:val="20"/>
                <w:szCs w:val="20"/>
                <w:color w:val="auto"/>
              </w:rPr>
            </w:pPr>
            <w:r>
              <w:rPr>
                <w:rFonts w:ascii="Arial" w:cs="Arial" w:eastAsia="Arial" w:hAnsi="Arial"/>
                <w:sz w:val="18"/>
                <w:szCs w:val="18"/>
                <w:b w:val="1"/>
                <w:bCs w:val="1"/>
                <w:color w:val="auto"/>
              </w:rPr>
              <w:t>Balance at</w:t>
            </w:r>
          </w:p>
        </w:tc>
        <w:tc>
          <w:tcPr>
            <w:tcW w:w="64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86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auto"/>
            </w:tcBorders>
            <w:shd w:val="clear" w:color="auto" w:fill="000000"/>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66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300" w:type="dxa"/>
            <w:vAlign w:val="bottom"/>
            <w:tcBorders>
              <w:top w:val="single" w:sz="8" w:color="auto"/>
            </w:tcBorders>
            <w:shd w:val="clear" w:color="auto" w:fill="CCEEFF"/>
          </w:tcPr>
          <w:p>
            <w:pPr>
              <w:spacing w:after="0"/>
              <w:rPr>
                <w:sz w:val="13"/>
                <w:szCs w:val="13"/>
                <w:color w:val="auto"/>
              </w:rPr>
            </w:pPr>
          </w:p>
        </w:tc>
        <w:tc>
          <w:tcPr>
            <w:tcW w:w="46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74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40" w:type="dxa"/>
            <w:vAlign w:val="bottom"/>
            <w:tcBorders>
              <w:top w:val="single" w:sz="8" w:color="auto"/>
            </w:tcBorders>
            <w:shd w:val="clear" w:color="auto" w:fill="CCEEFF"/>
          </w:tcPr>
          <w:p>
            <w:pPr>
              <w:spacing w:after="0"/>
              <w:rPr>
                <w:sz w:val="13"/>
                <w:szCs w:val="13"/>
                <w:color w:val="auto"/>
              </w:rPr>
            </w:pPr>
          </w:p>
        </w:tc>
        <w:tc>
          <w:tcPr>
            <w:tcW w:w="52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86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spacing w:after="0"/>
              <w:rPr>
                <w:sz w:val="13"/>
                <w:szCs w:val="13"/>
                <w:color w:val="auto"/>
              </w:rPr>
            </w:pPr>
          </w:p>
        </w:tc>
        <w:tc>
          <w:tcPr>
            <w:tcW w:w="98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128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spacing w:after="0"/>
              <w:rPr>
                <w:sz w:val="13"/>
                <w:szCs w:val="13"/>
                <w:color w:val="auto"/>
              </w:rPr>
            </w:pPr>
          </w:p>
        </w:tc>
        <w:tc>
          <w:tcPr>
            <w:tcW w:w="102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18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b w:val="1"/>
                <w:bCs w:val="1"/>
                <w:color w:val="auto"/>
              </w:rPr>
              <w:t>December</w:t>
            </w: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460</w:t>
            </w:r>
          </w:p>
        </w:tc>
        <w:tc>
          <w:tcPr>
            <w:tcW w:w="80" w:type="dxa"/>
            <w:vAlign w:val="bottom"/>
            <w:shd w:val="clear" w:color="auto" w:fill="CCEEFF"/>
          </w:tcPr>
          <w:p>
            <w:pPr>
              <w:spacing w:after="0"/>
              <w:rPr>
                <w:sz w:val="15"/>
                <w:szCs w:val="15"/>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$406,931</w:t>
            </w:r>
          </w:p>
        </w:tc>
        <w:tc>
          <w:tcPr>
            <w:tcW w:w="80" w:type="dxa"/>
            <w:vAlign w:val="bottom"/>
            <w:shd w:val="clear" w:color="auto" w:fill="CCEEFF"/>
          </w:tcPr>
          <w:p>
            <w:pPr>
              <w:spacing w:after="0"/>
              <w:rPr>
                <w:sz w:val="15"/>
                <w:szCs w:val="15"/>
                <w:color w:val="auto"/>
              </w:rPr>
            </w:pPr>
          </w:p>
        </w:tc>
        <w:tc>
          <w:tcPr>
            <w:tcW w:w="20" w:type="dxa"/>
            <w:vAlign w:val="bottom"/>
            <w:shd w:val="clear" w:color="auto" w:fill="000000"/>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40" w:type="dxa"/>
            <w:vAlign w:val="bottom"/>
            <w:gridSpan w:val="2"/>
            <w:vMerge w:val="restart"/>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300" w:type="dxa"/>
            <w:vAlign w:val="bottom"/>
            <w:vMerge w:val="restart"/>
            <w:shd w:val="clear" w:color="auto" w:fill="CCEEFF"/>
          </w:tcPr>
          <w:p>
            <w:pPr>
              <w:ind w:left="20"/>
              <w:spacing w:after="0"/>
              <w:rPr>
                <w:sz w:val="20"/>
                <w:szCs w:val="20"/>
                <w:color w:val="auto"/>
              </w:rPr>
            </w:pPr>
            <w:r>
              <w:rPr>
                <w:rFonts w:ascii="Arial" w:cs="Arial" w:eastAsia="Arial" w:hAnsi="Arial"/>
                <w:sz w:val="18"/>
                <w:szCs w:val="18"/>
                <w:color w:val="auto"/>
              </w:rPr>
              <w:t>$</w:t>
            </w:r>
          </w:p>
        </w:tc>
        <w:tc>
          <w:tcPr>
            <w:tcW w:w="540" w:type="dxa"/>
            <w:vAlign w:val="bottom"/>
            <w:gridSpan w:val="2"/>
            <w:vMerge w:val="restart"/>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8"/>
              </w:rPr>
              <w:t>151,952</w:t>
            </w:r>
          </w:p>
        </w:tc>
        <w:tc>
          <w:tcPr>
            <w:tcW w:w="80" w:type="dxa"/>
            <w:vAlign w:val="bottom"/>
            <w:shd w:val="clear" w:color="auto" w:fill="CCEEFF"/>
          </w:tcPr>
          <w:p>
            <w:pPr>
              <w:spacing w:after="0"/>
              <w:rPr>
                <w:sz w:val="15"/>
                <w:szCs w:val="15"/>
                <w:color w:val="auto"/>
              </w:rPr>
            </w:pPr>
          </w:p>
        </w:tc>
        <w:tc>
          <w:tcPr>
            <w:tcW w:w="240" w:type="dxa"/>
            <w:vAlign w:val="bottom"/>
            <w:vMerge w:val="restart"/>
            <w:shd w:val="clear" w:color="auto" w:fill="CCEEFF"/>
          </w:tcPr>
          <w:p>
            <w:pPr>
              <w:ind w:left="20"/>
              <w:spacing w:after="0"/>
              <w:rPr>
                <w:sz w:val="20"/>
                <w:szCs w:val="20"/>
                <w:color w:val="auto"/>
              </w:rPr>
            </w:pPr>
            <w:r>
              <w:rPr>
                <w:rFonts w:ascii="Arial" w:cs="Arial" w:eastAsia="Arial" w:hAnsi="Arial"/>
                <w:sz w:val="18"/>
                <w:szCs w:val="18"/>
                <w:color w:val="auto"/>
              </w:rPr>
              <w:t>$</w:t>
            </w:r>
          </w:p>
        </w:tc>
        <w:tc>
          <w:tcPr>
            <w:tcW w:w="5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151</w:t>
            </w:r>
          </w:p>
        </w:tc>
        <w:tc>
          <w:tcPr>
            <w:tcW w:w="80" w:type="dxa"/>
            <w:vAlign w:val="bottom"/>
            <w:shd w:val="clear" w:color="auto" w:fill="CCEEFF"/>
          </w:tcPr>
          <w:p>
            <w:pPr>
              <w:spacing w:after="0"/>
              <w:rPr>
                <w:sz w:val="15"/>
                <w:szCs w:val="15"/>
                <w:color w:val="auto"/>
              </w:rPr>
            </w:pPr>
          </w:p>
        </w:tc>
        <w:tc>
          <w:tcPr>
            <w:tcW w:w="120" w:type="dxa"/>
            <w:vAlign w:val="bottom"/>
            <w:vMerge w:val="restart"/>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297,780</w:t>
            </w:r>
          </w:p>
        </w:tc>
        <w:tc>
          <w:tcPr>
            <w:tcW w:w="80" w:type="dxa"/>
            <w:vAlign w:val="bottom"/>
            <w:shd w:val="clear" w:color="auto" w:fill="CCEEFF"/>
          </w:tcPr>
          <w:p>
            <w:pPr>
              <w:spacing w:after="0"/>
              <w:rPr>
                <w:sz w:val="15"/>
                <w:szCs w:val="15"/>
                <w:color w:val="auto"/>
              </w:rPr>
            </w:pPr>
          </w:p>
        </w:tc>
        <w:tc>
          <w:tcPr>
            <w:tcW w:w="20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(370,624)</w:t>
            </w:r>
          </w:p>
        </w:tc>
        <w:tc>
          <w:tcPr>
            <w:tcW w:w="80" w:type="dxa"/>
            <w:vAlign w:val="bottom"/>
            <w:shd w:val="clear" w:color="auto" w:fill="CCEEFF"/>
          </w:tcPr>
          <w:p>
            <w:pPr>
              <w:spacing w:after="0"/>
              <w:rPr>
                <w:sz w:val="15"/>
                <w:szCs w:val="15"/>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(45,403)</w:t>
            </w:r>
          </w:p>
        </w:tc>
        <w:tc>
          <w:tcPr>
            <w:tcW w:w="80" w:type="dxa"/>
            <w:vAlign w:val="bottom"/>
            <w:shd w:val="clear" w:color="auto" w:fill="CCEEFF"/>
          </w:tcPr>
          <w:p>
            <w:pPr>
              <w:spacing w:after="0"/>
              <w:rPr>
                <w:sz w:val="15"/>
                <w:szCs w:val="15"/>
                <w:color w:val="auto"/>
              </w:rPr>
            </w:pPr>
          </w:p>
        </w:tc>
        <w:tc>
          <w:tcPr>
            <w:tcW w:w="22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w:t>
            </w: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(118,096)</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1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31, 2024</w:t>
            </w:r>
          </w:p>
        </w:tc>
        <w:tc>
          <w:tcPr>
            <w:tcW w:w="640" w:type="dxa"/>
            <w:vAlign w:val="bottom"/>
            <w:vMerge w:val="continue"/>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860" w:type="dxa"/>
            <w:vAlign w:val="bottom"/>
            <w:vMerge w:val="continue"/>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shd w:val="clear" w:color="auto" w:fill="000000"/>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740" w:type="dxa"/>
            <w:vAlign w:val="bottom"/>
            <w:gridSpan w:val="2"/>
            <w:vMerge w:val="continue"/>
            <w:shd w:val="clear" w:color="auto" w:fill="CCEEFF"/>
          </w:tcPr>
          <w:p>
            <w:pPr>
              <w:spacing w:after="0"/>
              <w:rPr>
                <w:sz w:val="21"/>
                <w:szCs w:val="21"/>
                <w:color w:val="auto"/>
              </w:rPr>
            </w:pPr>
          </w:p>
        </w:tc>
        <w:tc>
          <w:tcPr>
            <w:tcW w:w="300" w:type="dxa"/>
            <w:vAlign w:val="bottom"/>
            <w:vMerge w:val="continue"/>
            <w:shd w:val="clear" w:color="auto" w:fill="CCEEFF"/>
          </w:tcPr>
          <w:p>
            <w:pPr>
              <w:spacing w:after="0"/>
              <w:rPr>
                <w:sz w:val="21"/>
                <w:szCs w:val="21"/>
                <w:color w:val="auto"/>
              </w:rPr>
            </w:pPr>
          </w:p>
        </w:tc>
        <w:tc>
          <w:tcPr>
            <w:tcW w:w="540" w:type="dxa"/>
            <w:vAlign w:val="bottom"/>
            <w:gridSpan w:val="2"/>
            <w:vMerge w:val="continue"/>
            <w:shd w:val="clear" w:color="auto" w:fill="CCEEFF"/>
          </w:tcPr>
          <w:p>
            <w:pPr>
              <w:spacing w:after="0"/>
              <w:rPr>
                <w:sz w:val="21"/>
                <w:szCs w:val="21"/>
                <w:color w:val="auto"/>
              </w:rPr>
            </w:pPr>
          </w:p>
        </w:tc>
        <w:tc>
          <w:tcPr>
            <w:tcW w:w="740" w:type="dxa"/>
            <w:vAlign w:val="bottom"/>
            <w:vMerge w:val="continue"/>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40" w:type="dxa"/>
            <w:vAlign w:val="bottom"/>
            <w:vMerge w:val="continue"/>
            <w:shd w:val="clear" w:color="auto" w:fill="CCEEFF"/>
          </w:tcPr>
          <w:p>
            <w:pPr>
              <w:spacing w:after="0"/>
              <w:rPr>
                <w:sz w:val="21"/>
                <w:szCs w:val="21"/>
                <w:color w:val="auto"/>
              </w:rPr>
            </w:pPr>
          </w:p>
        </w:tc>
        <w:tc>
          <w:tcPr>
            <w:tcW w:w="520" w:type="dxa"/>
            <w:vAlign w:val="bottom"/>
            <w:vMerge w:val="continue"/>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20" w:type="dxa"/>
            <w:vAlign w:val="bottom"/>
            <w:vMerge w:val="continue"/>
            <w:shd w:val="clear" w:color="auto" w:fill="CCEEFF"/>
          </w:tcPr>
          <w:p>
            <w:pPr>
              <w:spacing w:after="0"/>
              <w:rPr>
                <w:sz w:val="21"/>
                <w:szCs w:val="21"/>
                <w:color w:val="auto"/>
              </w:rPr>
            </w:pPr>
          </w:p>
        </w:tc>
        <w:tc>
          <w:tcPr>
            <w:tcW w:w="860" w:type="dxa"/>
            <w:vAlign w:val="bottom"/>
            <w:vMerge w:val="continue"/>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0" w:type="dxa"/>
            <w:vAlign w:val="bottom"/>
            <w:vMerge w:val="continue"/>
            <w:shd w:val="clear" w:color="auto" w:fill="CCEEFF"/>
          </w:tcPr>
          <w:p>
            <w:pPr>
              <w:spacing w:after="0"/>
              <w:rPr>
                <w:sz w:val="21"/>
                <w:szCs w:val="21"/>
                <w:color w:val="auto"/>
              </w:rPr>
            </w:pPr>
          </w:p>
        </w:tc>
        <w:tc>
          <w:tcPr>
            <w:tcW w:w="980" w:type="dxa"/>
            <w:vAlign w:val="bottom"/>
            <w:vMerge w:val="continue"/>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20" w:type="dxa"/>
            <w:vAlign w:val="bottom"/>
            <w:vMerge w:val="continue"/>
            <w:shd w:val="clear" w:color="auto" w:fill="CCEEFF"/>
          </w:tcPr>
          <w:p>
            <w:pPr>
              <w:spacing w:after="0"/>
              <w:rPr>
                <w:sz w:val="21"/>
                <w:szCs w:val="21"/>
                <w:color w:val="auto"/>
              </w:rPr>
            </w:pPr>
          </w:p>
        </w:tc>
        <w:tc>
          <w:tcPr>
            <w:tcW w:w="1280" w:type="dxa"/>
            <w:vAlign w:val="bottom"/>
            <w:vMerge w:val="continue"/>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20" w:type="dxa"/>
            <w:vAlign w:val="bottom"/>
            <w:vMerge w:val="continue"/>
            <w:shd w:val="clear" w:color="auto" w:fill="CCEEFF"/>
          </w:tcPr>
          <w:p>
            <w:pPr>
              <w:spacing w:after="0"/>
              <w:rPr>
                <w:sz w:val="21"/>
                <w:szCs w:val="21"/>
                <w:color w:val="auto"/>
              </w:rPr>
            </w:pPr>
          </w:p>
        </w:tc>
        <w:tc>
          <w:tcPr>
            <w:tcW w:w="102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180" w:type="dxa"/>
            <w:vAlign w:val="bottom"/>
          </w:tcPr>
          <w:p>
            <w:pPr>
              <w:ind w:left="20"/>
              <w:spacing w:after="0" w:line="176" w:lineRule="exact"/>
              <w:rPr>
                <w:sz w:val="20"/>
                <w:szCs w:val="20"/>
                <w:color w:val="auto"/>
              </w:rPr>
            </w:pPr>
            <w:r>
              <w:rPr>
                <w:rFonts w:ascii="Arial" w:cs="Arial" w:eastAsia="Arial" w:hAnsi="Arial"/>
                <w:sz w:val="18"/>
                <w:szCs w:val="18"/>
                <w:i w:val="1"/>
                <w:iCs w:val="1"/>
                <w:color w:val="auto"/>
              </w:rPr>
              <w:t>Shares</w:t>
            </w: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shd w:val="clear" w:color="auto" w:fill="000000"/>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180" w:type="dxa"/>
            <w:vAlign w:val="bottom"/>
          </w:tcPr>
          <w:p>
            <w:pPr>
              <w:ind w:left="20"/>
              <w:spacing w:after="0" w:line="176" w:lineRule="exact"/>
              <w:rPr>
                <w:sz w:val="20"/>
                <w:szCs w:val="20"/>
                <w:color w:val="auto"/>
              </w:rPr>
            </w:pPr>
            <w:r>
              <w:rPr>
                <w:rFonts w:ascii="Arial" w:cs="Arial" w:eastAsia="Arial" w:hAnsi="Arial"/>
                <w:sz w:val="18"/>
                <w:szCs w:val="18"/>
                <w:i w:val="1"/>
                <w:iCs w:val="1"/>
                <w:color w:val="auto"/>
              </w:rPr>
              <w:t>issued in</w:t>
            </w: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shd w:val="clear" w:color="auto" w:fill="000000"/>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1180" w:type="dxa"/>
            <w:vAlign w:val="bottom"/>
          </w:tcPr>
          <w:p>
            <w:pPr>
              <w:ind w:left="20"/>
              <w:spacing w:after="0" w:line="186" w:lineRule="exact"/>
              <w:rPr>
                <w:sz w:val="20"/>
                <w:szCs w:val="20"/>
                <w:color w:val="auto"/>
              </w:rPr>
            </w:pPr>
            <w:r>
              <w:rPr>
                <w:rFonts w:ascii="Arial" w:cs="Arial" w:eastAsia="Arial" w:hAnsi="Arial"/>
                <w:sz w:val="18"/>
                <w:szCs w:val="18"/>
                <w:i w:val="1"/>
                <w:iCs w:val="1"/>
                <w:color w:val="auto"/>
              </w:rPr>
              <w:t>connection</w:t>
            </w: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shd w:val="clear" w:color="auto" w:fill="000000"/>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180" w:type="dxa"/>
            <w:vAlign w:val="bottom"/>
          </w:tcPr>
          <w:p>
            <w:pPr>
              <w:ind w:left="20"/>
              <w:spacing w:after="0"/>
              <w:rPr>
                <w:sz w:val="20"/>
                <w:szCs w:val="20"/>
                <w:color w:val="auto"/>
              </w:rPr>
            </w:pPr>
            <w:r>
              <w:rPr>
                <w:rFonts w:ascii="Arial" w:cs="Arial" w:eastAsia="Arial" w:hAnsi="Arial"/>
                <w:sz w:val="18"/>
                <w:szCs w:val="18"/>
                <w:i w:val="1"/>
                <w:iCs w:val="1"/>
                <w:color w:val="auto"/>
              </w:rPr>
              <w:t>with:</w:t>
            </w:r>
          </w:p>
        </w:tc>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shd w:val="clear" w:color="auto" w:fill="000000"/>
          </w:tcPr>
          <w:p>
            <w:pPr>
              <w:spacing w:after="0"/>
              <w:rPr>
                <w:sz w:val="20"/>
                <w:szCs w:val="20"/>
                <w:color w:val="auto"/>
              </w:rPr>
            </w:pPr>
          </w:p>
        </w:tc>
        <w:tc>
          <w:tcPr>
            <w:tcW w:w="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18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Vesting of</w:t>
            </w:r>
          </w:p>
        </w:tc>
        <w:tc>
          <w:tcPr>
            <w:tcW w:w="6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000000"/>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18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restricted</w:t>
            </w:r>
          </w:p>
        </w:tc>
        <w:tc>
          <w:tcPr>
            <w:tcW w:w="7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 w:type="dxa"/>
            <w:vAlign w:val="bottom"/>
            <w:shd w:val="clear" w:color="auto" w:fill="000000"/>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40" w:type="dxa"/>
            <w:vAlign w:val="bottom"/>
            <w:gridSpan w:val="2"/>
            <w:vMerge w:val="restart"/>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5"/>
                <w:szCs w:val="15"/>
                <w:color w:val="auto"/>
              </w:rPr>
            </w:pPr>
          </w:p>
        </w:tc>
        <w:tc>
          <w:tcPr>
            <w:tcW w:w="540" w:type="dxa"/>
            <w:vAlign w:val="bottom"/>
            <w:gridSpan w:val="2"/>
            <w:vMerge w:val="restart"/>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693</w:t>
            </w: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5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5"/>
                <w:szCs w:val="15"/>
                <w:color w:val="auto"/>
              </w:rPr>
            </w:pPr>
          </w:p>
        </w:tc>
        <w:tc>
          <w:tcPr>
            <w:tcW w:w="10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5"/>
                <w:szCs w:val="15"/>
                <w:color w:val="auto"/>
              </w:rPr>
            </w:pPr>
          </w:p>
        </w:tc>
        <w:tc>
          <w:tcPr>
            <w:tcW w:w="13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5"/>
                <w:szCs w:val="15"/>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 units</w:t>
            </w:r>
          </w:p>
        </w:tc>
        <w:tc>
          <w:tcPr>
            <w:tcW w:w="720" w:type="dxa"/>
            <w:vAlign w:val="bottom"/>
            <w:gridSpan w:val="2"/>
            <w:vMerge w:val="continue"/>
            <w:shd w:val="clear" w:color="auto" w:fill="CCEEFF"/>
          </w:tcPr>
          <w:p>
            <w:pPr>
              <w:spacing w:after="0"/>
              <w:rPr>
                <w:sz w:val="21"/>
                <w:szCs w:val="21"/>
                <w:color w:val="auto"/>
              </w:rPr>
            </w:pPr>
          </w:p>
        </w:tc>
        <w:tc>
          <w:tcPr>
            <w:tcW w:w="940" w:type="dxa"/>
            <w:vAlign w:val="bottom"/>
            <w:gridSpan w:val="2"/>
            <w:vMerge w:val="continue"/>
            <w:shd w:val="clear" w:color="auto" w:fill="CCEEFF"/>
          </w:tcPr>
          <w:p>
            <w:pPr>
              <w:spacing w:after="0"/>
              <w:rPr>
                <w:sz w:val="21"/>
                <w:szCs w:val="21"/>
                <w:color w:val="auto"/>
              </w:rPr>
            </w:pPr>
          </w:p>
        </w:tc>
        <w:tc>
          <w:tcPr>
            <w:tcW w:w="20" w:type="dxa"/>
            <w:vAlign w:val="bottom"/>
            <w:shd w:val="clear" w:color="auto" w:fill="000000"/>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740" w:type="dxa"/>
            <w:vAlign w:val="bottom"/>
            <w:gridSpan w:val="2"/>
            <w:vMerge w:val="continue"/>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540" w:type="dxa"/>
            <w:vAlign w:val="bottom"/>
            <w:gridSpan w:val="2"/>
            <w:vMerge w:val="continue"/>
            <w:shd w:val="clear" w:color="auto" w:fill="CCEEFF"/>
          </w:tcPr>
          <w:p>
            <w:pPr>
              <w:spacing w:after="0"/>
              <w:rPr>
                <w:sz w:val="21"/>
                <w:szCs w:val="21"/>
                <w:color w:val="auto"/>
              </w:rPr>
            </w:pPr>
          </w:p>
        </w:tc>
        <w:tc>
          <w:tcPr>
            <w:tcW w:w="740" w:type="dxa"/>
            <w:vAlign w:val="bottom"/>
            <w:vMerge w:val="continue"/>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520" w:type="dxa"/>
            <w:vAlign w:val="bottom"/>
            <w:vMerge w:val="continue"/>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40" w:type="dxa"/>
            <w:vAlign w:val="bottom"/>
            <w:gridSpan w:val="2"/>
            <w:vMerge w:val="continue"/>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60" w:type="dxa"/>
            <w:vAlign w:val="bottom"/>
            <w:gridSpan w:val="2"/>
            <w:vMerge w:val="continue"/>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360" w:type="dxa"/>
            <w:vAlign w:val="bottom"/>
            <w:gridSpan w:val="2"/>
            <w:vMerge w:val="continue"/>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2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180" w:type="dxa"/>
            <w:vAlign w:val="bottom"/>
          </w:tcPr>
          <w:p>
            <w:pPr>
              <w:ind w:left="20"/>
              <w:spacing w:after="0" w:line="176" w:lineRule="exact"/>
              <w:rPr>
                <w:sz w:val="20"/>
                <w:szCs w:val="20"/>
                <w:color w:val="auto"/>
              </w:rPr>
            </w:pPr>
            <w:r>
              <w:rPr>
                <w:rFonts w:ascii="Arial" w:cs="Arial" w:eastAsia="Arial" w:hAnsi="Arial"/>
                <w:sz w:val="18"/>
                <w:szCs w:val="18"/>
                <w:color w:val="auto"/>
              </w:rPr>
              <w:t>Employee</w:t>
            </w:r>
          </w:p>
        </w:tc>
        <w:tc>
          <w:tcPr>
            <w:tcW w:w="72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94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20" w:type="dxa"/>
            <w:vAlign w:val="bottom"/>
            <w:shd w:val="clear" w:color="auto" w:fill="000000"/>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gridSpan w:val="2"/>
            <w:vMerge w:val="restart"/>
          </w:tcPr>
          <w:p>
            <w:pPr>
              <w:ind w:left="4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5"/>
                <w:szCs w:val="15"/>
                <w:color w:val="auto"/>
              </w:rPr>
            </w:pPr>
          </w:p>
        </w:tc>
        <w:tc>
          <w:tcPr>
            <w:tcW w:w="540" w:type="dxa"/>
            <w:vAlign w:val="bottom"/>
            <w:gridSpan w:val="2"/>
            <w:vMerge w:val="restart"/>
          </w:tcPr>
          <w:p>
            <w:pPr>
              <w:ind w:left="200"/>
              <w:spacing w:after="0"/>
              <w:rPr>
                <w:sz w:val="20"/>
                <w:szCs w:val="20"/>
                <w:color w:val="auto"/>
              </w:rPr>
            </w:pPr>
            <w:r>
              <w:rPr>
                <w:rFonts w:ascii="Arial" w:cs="Arial" w:eastAsia="Arial" w:hAnsi="Arial"/>
                <w:sz w:val="18"/>
                <w:szCs w:val="18"/>
                <w:color w:val="auto"/>
              </w:rPr>
              <w:t>—</w:t>
            </w:r>
          </w:p>
        </w:tc>
        <w:tc>
          <w:tcPr>
            <w:tcW w:w="740" w:type="dxa"/>
            <w:vAlign w:val="bottom"/>
            <w:vMerge w:val="restart"/>
          </w:tcPr>
          <w:p>
            <w:pPr>
              <w:jc w:val="right"/>
              <w:spacing w:after="0"/>
              <w:rPr>
                <w:sz w:val="20"/>
                <w:szCs w:val="20"/>
                <w:color w:val="auto"/>
              </w:rPr>
            </w:pPr>
            <w:r>
              <w:rPr>
                <w:rFonts w:ascii="Arial" w:cs="Arial" w:eastAsia="Arial" w:hAnsi="Arial"/>
                <w:sz w:val="18"/>
                <w:szCs w:val="18"/>
                <w:color w:val="auto"/>
              </w:rPr>
              <w:t>103</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5"/>
                <w:szCs w:val="15"/>
                <w:color w:val="auto"/>
              </w:rPr>
            </w:pP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rPr>
              <w:t>649</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6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5"/>
                <w:szCs w:val="15"/>
                <w:color w:val="auto"/>
              </w:rPr>
            </w:pPr>
          </w:p>
        </w:tc>
        <w:tc>
          <w:tcPr>
            <w:tcW w:w="136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5"/>
                <w:szCs w:val="15"/>
                <w:color w:val="auto"/>
              </w:rPr>
            </w:pPr>
          </w:p>
        </w:tc>
        <w:tc>
          <w:tcPr>
            <w:tcW w:w="1020" w:type="dxa"/>
            <w:vAlign w:val="bottom"/>
            <w:vMerge w:val="restart"/>
          </w:tcPr>
          <w:p>
            <w:pPr>
              <w:jc w:val="right"/>
              <w:spacing w:after="0"/>
              <w:rPr>
                <w:sz w:val="20"/>
                <w:szCs w:val="20"/>
                <w:color w:val="auto"/>
              </w:rPr>
            </w:pPr>
            <w:r>
              <w:rPr>
                <w:rFonts w:ascii="Arial" w:cs="Arial" w:eastAsia="Arial" w:hAnsi="Arial"/>
                <w:sz w:val="18"/>
                <w:szCs w:val="18"/>
                <w:color w:val="auto"/>
              </w:rPr>
              <w:t>649</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180" w:type="dxa"/>
            <w:vAlign w:val="bottom"/>
          </w:tcPr>
          <w:p>
            <w:pPr>
              <w:ind w:left="20"/>
              <w:spacing w:after="0"/>
              <w:rPr>
                <w:sz w:val="20"/>
                <w:szCs w:val="20"/>
                <w:color w:val="auto"/>
              </w:rPr>
            </w:pPr>
            <w:r>
              <w:rPr>
                <w:rFonts w:ascii="Arial" w:cs="Arial" w:eastAsia="Arial" w:hAnsi="Arial"/>
                <w:sz w:val="18"/>
                <w:szCs w:val="18"/>
                <w:color w:val="auto"/>
              </w:rPr>
              <w:t>purchase plan</w:t>
            </w:r>
          </w:p>
        </w:tc>
        <w:tc>
          <w:tcPr>
            <w:tcW w:w="720" w:type="dxa"/>
            <w:vAlign w:val="bottom"/>
            <w:gridSpan w:val="2"/>
            <w:vMerge w:val="continue"/>
          </w:tcPr>
          <w:p>
            <w:pPr>
              <w:spacing w:after="0"/>
              <w:rPr>
                <w:sz w:val="21"/>
                <w:szCs w:val="21"/>
                <w:color w:val="auto"/>
              </w:rPr>
            </w:pPr>
          </w:p>
        </w:tc>
        <w:tc>
          <w:tcPr>
            <w:tcW w:w="940" w:type="dxa"/>
            <w:vAlign w:val="bottom"/>
            <w:gridSpan w:val="2"/>
            <w:vMerge w:val="continue"/>
          </w:tcPr>
          <w:p>
            <w:pPr>
              <w:spacing w:after="0"/>
              <w:rPr>
                <w:sz w:val="21"/>
                <w:szCs w:val="21"/>
                <w:color w:val="auto"/>
              </w:rPr>
            </w:pPr>
          </w:p>
        </w:tc>
        <w:tc>
          <w:tcPr>
            <w:tcW w:w="20" w:type="dxa"/>
            <w:vAlign w:val="bottom"/>
            <w:shd w:val="clear" w:color="auto" w:fill="000000"/>
          </w:tcPr>
          <w:p>
            <w:pPr>
              <w:spacing w:after="0"/>
              <w:rPr>
                <w:sz w:val="21"/>
                <w:szCs w:val="21"/>
                <w:color w:val="auto"/>
              </w:rPr>
            </w:pPr>
          </w:p>
        </w:tc>
        <w:tc>
          <w:tcPr>
            <w:tcW w:w="80" w:type="dxa"/>
            <w:vAlign w:val="bottom"/>
          </w:tcPr>
          <w:p>
            <w:pPr>
              <w:spacing w:after="0"/>
              <w:rPr>
                <w:sz w:val="21"/>
                <w:szCs w:val="21"/>
                <w:color w:val="auto"/>
              </w:rPr>
            </w:pPr>
          </w:p>
        </w:tc>
        <w:tc>
          <w:tcPr>
            <w:tcW w:w="740" w:type="dxa"/>
            <w:vAlign w:val="bottom"/>
            <w:gridSpan w:val="2"/>
            <w:vMerge w:val="continue"/>
          </w:tcPr>
          <w:p>
            <w:pPr>
              <w:spacing w:after="0"/>
              <w:rPr>
                <w:sz w:val="21"/>
                <w:szCs w:val="21"/>
                <w:color w:val="auto"/>
              </w:rPr>
            </w:pPr>
          </w:p>
        </w:tc>
        <w:tc>
          <w:tcPr>
            <w:tcW w:w="300" w:type="dxa"/>
            <w:vAlign w:val="bottom"/>
          </w:tcPr>
          <w:p>
            <w:pPr>
              <w:spacing w:after="0"/>
              <w:rPr>
                <w:sz w:val="21"/>
                <w:szCs w:val="21"/>
                <w:color w:val="auto"/>
              </w:rPr>
            </w:pPr>
          </w:p>
        </w:tc>
        <w:tc>
          <w:tcPr>
            <w:tcW w:w="540" w:type="dxa"/>
            <w:vAlign w:val="bottom"/>
            <w:gridSpan w:val="2"/>
            <w:vMerge w:val="continue"/>
          </w:tcPr>
          <w:p>
            <w:pPr>
              <w:spacing w:after="0"/>
              <w:rPr>
                <w:sz w:val="21"/>
                <w:szCs w:val="21"/>
                <w:color w:val="auto"/>
              </w:rPr>
            </w:pPr>
          </w:p>
        </w:tc>
        <w:tc>
          <w:tcPr>
            <w:tcW w:w="740" w:type="dxa"/>
            <w:vAlign w:val="bottom"/>
            <w:vMerge w:val="continue"/>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00" w:type="dxa"/>
            <w:vAlign w:val="bottom"/>
            <w:gridSpan w:val="2"/>
            <w:vMerge w:val="continue"/>
          </w:tcPr>
          <w:p>
            <w:pPr>
              <w:spacing w:after="0"/>
              <w:rPr>
                <w:sz w:val="21"/>
                <w:szCs w:val="21"/>
                <w:color w:val="auto"/>
              </w:rPr>
            </w:pPr>
          </w:p>
        </w:tc>
        <w:tc>
          <w:tcPr>
            <w:tcW w:w="120" w:type="dxa"/>
            <w:vAlign w:val="bottom"/>
          </w:tcPr>
          <w:p>
            <w:pPr>
              <w:spacing w:after="0"/>
              <w:rPr>
                <w:sz w:val="21"/>
                <w:szCs w:val="21"/>
                <w:color w:val="auto"/>
              </w:rPr>
            </w:pPr>
          </w:p>
        </w:tc>
        <w:tc>
          <w:tcPr>
            <w:tcW w:w="860" w:type="dxa"/>
            <w:vAlign w:val="bottom"/>
            <w:vMerge w:val="continue"/>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gridSpan w:val="2"/>
            <w:vMerge w:val="continue"/>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gridSpan w:val="2"/>
            <w:vMerge w:val="continue"/>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18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Equity-based</w:t>
            </w:r>
          </w:p>
        </w:tc>
        <w:tc>
          <w:tcPr>
            <w:tcW w:w="7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 w:type="dxa"/>
            <w:vAlign w:val="bottom"/>
            <w:shd w:val="clear" w:color="auto" w:fill="000000"/>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40" w:type="dxa"/>
            <w:vAlign w:val="bottom"/>
            <w:gridSpan w:val="2"/>
            <w:vMerge w:val="restart"/>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5"/>
                <w:szCs w:val="15"/>
                <w:color w:val="auto"/>
              </w:rPr>
            </w:pPr>
          </w:p>
        </w:tc>
        <w:tc>
          <w:tcPr>
            <w:tcW w:w="540" w:type="dxa"/>
            <w:vAlign w:val="bottom"/>
            <w:gridSpan w:val="2"/>
            <w:vMerge w:val="restart"/>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8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5"/>
                <w:szCs w:val="15"/>
                <w:color w:val="auto"/>
              </w:rPr>
            </w:pPr>
          </w:p>
        </w:tc>
        <w:tc>
          <w:tcPr>
            <w:tcW w:w="6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5"/>
                <w:szCs w:val="15"/>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11,217</w:t>
            </w: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5"/>
                <w:szCs w:val="15"/>
                <w:color w:val="auto"/>
              </w:rPr>
            </w:pPr>
          </w:p>
        </w:tc>
        <w:tc>
          <w:tcPr>
            <w:tcW w:w="13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5"/>
                <w:szCs w:val="15"/>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11,217</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compensation</w:t>
            </w:r>
          </w:p>
        </w:tc>
        <w:tc>
          <w:tcPr>
            <w:tcW w:w="720" w:type="dxa"/>
            <w:vAlign w:val="bottom"/>
            <w:gridSpan w:val="2"/>
            <w:vMerge w:val="continue"/>
            <w:shd w:val="clear" w:color="auto" w:fill="CCEEFF"/>
          </w:tcPr>
          <w:p>
            <w:pPr>
              <w:spacing w:after="0"/>
              <w:rPr>
                <w:sz w:val="21"/>
                <w:szCs w:val="21"/>
                <w:color w:val="auto"/>
              </w:rPr>
            </w:pPr>
          </w:p>
        </w:tc>
        <w:tc>
          <w:tcPr>
            <w:tcW w:w="940" w:type="dxa"/>
            <w:vAlign w:val="bottom"/>
            <w:gridSpan w:val="2"/>
            <w:vMerge w:val="continue"/>
            <w:shd w:val="clear" w:color="auto" w:fill="CCEEFF"/>
          </w:tcPr>
          <w:p>
            <w:pPr>
              <w:spacing w:after="0"/>
              <w:rPr>
                <w:sz w:val="21"/>
                <w:szCs w:val="21"/>
                <w:color w:val="auto"/>
              </w:rPr>
            </w:pPr>
          </w:p>
        </w:tc>
        <w:tc>
          <w:tcPr>
            <w:tcW w:w="20" w:type="dxa"/>
            <w:vAlign w:val="bottom"/>
            <w:shd w:val="clear" w:color="auto" w:fill="000000"/>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740" w:type="dxa"/>
            <w:vAlign w:val="bottom"/>
            <w:gridSpan w:val="2"/>
            <w:vMerge w:val="continue"/>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540" w:type="dxa"/>
            <w:vAlign w:val="bottom"/>
            <w:gridSpan w:val="2"/>
            <w:vMerge w:val="continue"/>
            <w:shd w:val="clear" w:color="auto" w:fill="CCEEFF"/>
          </w:tcPr>
          <w:p>
            <w:pPr>
              <w:spacing w:after="0"/>
              <w:rPr>
                <w:sz w:val="21"/>
                <w:szCs w:val="21"/>
                <w:color w:val="auto"/>
              </w:rPr>
            </w:pPr>
          </w:p>
        </w:tc>
        <w:tc>
          <w:tcPr>
            <w:tcW w:w="820" w:type="dxa"/>
            <w:vAlign w:val="bottom"/>
            <w:gridSpan w:val="2"/>
            <w:vMerge w:val="continue"/>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600" w:type="dxa"/>
            <w:vAlign w:val="bottom"/>
            <w:gridSpan w:val="2"/>
            <w:vMerge w:val="continue"/>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60" w:type="dxa"/>
            <w:vAlign w:val="bottom"/>
            <w:vMerge w:val="continue"/>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60" w:type="dxa"/>
            <w:vAlign w:val="bottom"/>
            <w:gridSpan w:val="2"/>
            <w:vMerge w:val="continue"/>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360" w:type="dxa"/>
            <w:vAlign w:val="bottom"/>
            <w:gridSpan w:val="2"/>
            <w:vMerge w:val="continue"/>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2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180" w:type="dxa"/>
            <w:vAlign w:val="bottom"/>
          </w:tcPr>
          <w:p>
            <w:pPr>
              <w:ind w:left="20"/>
              <w:spacing w:after="0" w:line="176" w:lineRule="exact"/>
              <w:rPr>
                <w:sz w:val="20"/>
                <w:szCs w:val="20"/>
                <w:color w:val="auto"/>
              </w:rPr>
            </w:pPr>
            <w:r>
              <w:rPr>
                <w:rFonts w:ascii="Arial" w:cs="Arial" w:eastAsia="Arial" w:hAnsi="Arial"/>
                <w:sz w:val="18"/>
                <w:szCs w:val="18"/>
                <w:color w:val="auto"/>
              </w:rPr>
              <w:t>Tax</w:t>
            </w: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shd w:val="clear" w:color="auto" w:fill="000000"/>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180" w:type="dxa"/>
            <w:vAlign w:val="bottom"/>
          </w:tcPr>
          <w:p>
            <w:pPr>
              <w:ind w:left="20"/>
              <w:spacing w:after="0" w:line="176" w:lineRule="exact"/>
              <w:rPr>
                <w:sz w:val="20"/>
                <w:szCs w:val="20"/>
                <w:color w:val="auto"/>
              </w:rPr>
            </w:pPr>
            <w:r>
              <w:rPr>
                <w:rFonts w:ascii="Arial" w:cs="Arial" w:eastAsia="Arial" w:hAnsi="Arial"/>
                <w:sz w:val="18"/>
                <w:szCs w:val="18"/>
                <w:color w:val="auto"/>
              </w:rPr>
              <w:t>withholding</w:t>
            </w: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shd w:val="clear" w:color="auto" w:fill="000000"/>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1180" w:type="dxa"/>
            <w:vAlign w:val="bottom"/>
          </w:tcPr>
          <w:p>
            <w:pPr>
              <w:ind w:left="20"/>
              <w:spacing w:after="0" w:line="183" w:lineRule="exact"/>
              <w:rPr>
                <w:sz w:val="20"/>
                <w:szCs w:val="20"/>
                <w:color w:val="auto"/>
              </w:rPr>
            </w:pPr>
            <w:r>
              <w:rPr>
                <w:rFonts w:ascii="Arial" w:cs="Arial" w:eastAsia="Arial" w:hAnsi="Arial"/>
                <w:sz w:val="18"/>
                <w:szCs w:val="18"/>
                <w:color w:val="auto"/>
              </w:rPr>
              <w:t>related to</w:t>
            </w: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shd w:val="clear" w:color="auto" w:fill="000000"/>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1180" w:type="dxa"/>
            <w:vAlign w:val="bottom"/>
          </w:tcPr>
          <w:p>
            <w:pPr>
              <w:ind w:left="20"/>
              <w:spacing w:after="0" w:line="181" w:lineRule="exact"/>
              <w:rPr>
                <w:sz w:val="20"/>
                <w:szCs w:val="20"/>
                <w:color w:val="auto"/>
              </w:rPr>
            </w:pPr>
            <w:r>
              <w:rPr>
                <w:rFonts w:ascii="Arial" w:cs="Arial" w:eastAsia="Arial" w:hAnsi="Arial"/>
                <w:sz w:val="18"/>
                <w:szCs w:val="18"/>
                <w:color w:val="auto"/>
              </w:rPr>
              <w:t>vesting of</w:t>
            </w: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shd w:val="clear" w:color="auto" w:fill="000000"/>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180" w:type="dxa"/>
            <w:vAlign w:val="bottom"/>
          </w:tcPr>
          <w:p>
            <w:pPr>
              <w:ind w:left="20"/>
              <w:spacing w:after="0" w:line="176" w:lineRule="exact"/>
              <w:rPr>
                <w:sz w:val="20"/>
                <w:szCs w:val="20"/>
                <w:color w:val="auto"/>
              </w:rPr>
            </w:pPr>
            <w:r>
              <w:rPr>
                <w:rFonts w:ascii="Arial" w:cs="Arial" w:eastAsia="Arial" w:hAnsi="Arial"/>
                <w:sz w:val="18"/>
                <w:szCs w:val="18"/>
                <w:color w:val="auto"/>
              </w:rPr>
              <w:t>equity-based</w:t>
            </w:r>
          </w:p>
        </w:tc>
        <w:tc>
          <w:tcPr>
            <w:tcW w:w="72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94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20" w:type="dxa"/>
            <w:vAlign w:val="bottom"/>
            <w:shd w:val="clear" w:color="auto" w:fill="000000"/>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gridSpan w:val="2"/>
            <w:vMerge w:val="restart"/>
          </w:tcPr>
          <w:p>
            <w:pPr>
              <w:ind w:left="4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5"/>
                <w:szCs w:val="15"/>
                <w:color w:val="auto"/>
              </w:rPr>
            </w:pPr>
          </w:p>
        </w:tc>
        <w:tc>
          <w:tcPr>
            <w:tcW w:w="540" w:type="dxa"/>
            <w:vAlign w:val="bottom"/>
            <w:gridSpan w:val="2"/>
            <w:vMerge w:val="restart"/>
          </w:tcPr>
          <w:p>
            <w:pPr>
              <w:ind w:left="200"/>
              <w:spacing w:after="0"/>
              <w:rPr>
                <w:sz w:val="20"/>
                <w:szCs w:val="20"/>
                <w:color w:val="auto"/>
              </w:rPr>
            </w:pPr>
            <w:r>
              <w:rPr>
                <w:rFonts w:ascii="Arial" w:cs="Arial" w:eastAsia="Arial" w:hAnsi="Arial"/>
                <w:sz w:val="18"/>
                <w:szCs w:val="18"/>
                <w:color w:val="auto"/>
              </w:rPr>
              <w:t>—</w:t>
            </w:r>
          </w:p>
        </w:tc>
        <w:tc>
          <w:tcPr>
            <w:tcW w:w="82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5"/>
                <w:szCs w:val="15"/>
                <w:color w:val="auto"/>
              </w:rPr>
            </w:pPr>
          </w:p>
        </w:tc>
        <w:tc>
          <w:tcPr>
            <w:tcW w:w="60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5"/>
                <w:szCs w:val="15"/>
                <w:color w:val="auto"/>
              </w:rPr>
            </w:pP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rPr>
              <w:t>(539)</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6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5"/>
                <w:szCs w:val="15"/>
                <w:color w:val="auto"/>
              </w:rPr>
            </w:pPr>
          </w:p>
        </w:tc>
        <w:tc>
          <w:tcPr>
            <w:tcW w:w="136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5"/>
                <w:szCs w:val="15"/>
                <w:color w:val="auto"/>
              </w:rPr>
            </w:pPr>
          </w:p>
        </w:tc>
        <w:tc>
          <w:tcPr>
            <w:tcW w:w="1020" w:type="dxa"/>
            <w:vAlign w:val="bottom"/>
            <w:vMerge w:val="restart"/>
          </w:tcPr>
          <w:p>
            <w:pPr>
              <w:jc w:val="right"/>
              <w:spacing w:after="0"/>
              <w:rPr>
                <w:sz w:val="20"/>
                <w:szCs w:val="20"/>
                <w:color w:val="auto"/>
              </w:rPr>
            </w:pPr>
            <w:r>
              <w:rPr>
                <w:rFonts w:ascii="Arial" w:cs="Arial" w:eastAsia="Arial" w:hAnsi="Arial"/>
                <w:sz w:val="18"/>
                <w:szCs w:val="18"/>
                <w:color w:val="auto"/>
              </w:rPr>
              <w:t>(539)</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180" w:type="dxa"/>
            <w:vAlign w:val="bottom"/>
          </w:tcPr>
          <w:p>
            <w:pPr>
              <w:ind w:left="20"/>
              <w:spacing w:after="0"/>
              <w:rPr>
                <w:sz w:val="20"/>
                <w:szCs w:val="20"/>
                <w:color w:val="auto"/>
              </w:rPr>
            </w:pPr>
            <w:r>
              <w:rPr>
                <w:rFonts w:ascii="Arial" w:cs="Arial" w:eastAsia="Arial" w:hAnsi="Arial"/>
                <w:sz w:val="18"/>
                <w:szCs w:val="18"/>
                <w:color w:val="auto"/>
              </w:rPr>
              <w:t>compensation</w:t>
            </w:r>
          </w:p>
        </w:tc>
        <w:tc>
          <w:tcPr>
            <w:tcW w:w="720" w:type="dxa"/>
            <w:vAlign w:val="bottom"/>
            <w:gridSpan w:val="2"/>
            <w:vMerge w:val="continue"/>
          </w:tcPr>
          <w:p>
            <w:pPr>
              <w:spacing w:after="0"/>
              <w:rPr>
                <w:sz w:val="21"/>
                <w:szCs w:val="21"/>
                <w:color w:val="auto"/>
              </w:rPr>
            </w:pPr>
          </w:p>
        </w:tc>
        <w:tc>
          <w:tcPr>
            <w:tcW w:w="940" w:type="dxa"/>
            <w:vAlign w:val="bottom"/>
            <w:gridSpan w:val="2"/>
            <w:vMerge w:val="continue"/>
          </w:tcPr>
          <w:p>
            <w:pPr>
              <w:spacing w:after="0"/>
              <w:rPr>
                <w:sz w:val="21"/>
                <w:szCs w:val="21"/>
                <w:color w:val="auto"/>
              </w:rPr>
            </w:pPr>
          </w:p>
        </w:tc>
        <w:tc>
          <w:tcPr>
            <w:tcW w:w="20" w:type="dxa"/>
            <w:vAlign w:val="bottom"/>
            <w:shd w:val="clear" w:color="auto" w:fill="000000"/>
          </w:tcPr>
          <w:p>
            <w:pPr>
              <w:spacing w:after="0"/>
              <w:rPr>
                <w:sz w:val="21"/>
                <w:szCs w:val="21"/>
                <w:color w:val="auto"/>
              </w:rPr>
            </w:pPr>
          </w:p>
        </w:tc>
        <w:tc>
          <w:tcPr>
            <w:tcW w:w="80" w:type="dxa"/>
            <w:vAlign w:val="bottom"/>
          </w:tcPr>
          <w:p>
            <w:pPr>
              <w:spacing w:after="0"/>
              <w:rPr>
                <w:sz w:val="21"/>
                <w:szCs w:val="21"/>
                <w:color w:val="auto"/>
              </w:rPr>
            </w:pPr>
          </w:p>
        </w:tc>
        <w:tc>
          <w:tcPr>
            <w:tcW w:w="740" w:type="dxa"/>
            <w:vAlign w:val="bottom"/>
            <w:gridSpan w:val="2"/>
            <w:vMerge w:val="continue"/>
          </w:tcPr>
          <w:p>
            <w:pPr>
              <w:spacing w:after="0"/>
              <w:rPr>
                <w:sz w:val="21"/>
                <w:szCs w:val="21"/>
                <w:color w:val="auto"/>
              </w:rPr>
            </w:pPr>
          </w:p>
        </w:tc>
        <w:tc>
          <w:tcPr>
            <w:tcW w:w="300" w:type="dxa"/>
            <w:vAlign w:val="bottom"/>
          </w:tcPr>
          <w:p>
            <w:pPr>
              <w:spacing w:after="0"/>
              <w:rPr>
                <w:sz w:val="21"/>
                <w:szCs w:val="21"/>
                <w:color w:val="auto"/>
              </w:rPr>
            </w:pPr>
          </w:p>
        </w:tc>
        <w:tc>
          <w:tcPr>
            <w:tcW w:w="540" w:type="dxa"/>
            <w:vAlign w:val="bottom"/>
            <w:gridSpan w:val="2"/>
            <w:vMerge w:val="continue"/>
          </w:tcPr>
          <w:p>
            <w:pPr>
              <w:spacing w:after="0"/>
              <w:rPr>
                <w:sz w:val="21"/>
                <w:szCs w:val="21"/>
                <w:color w:val="auto"/>
              </w:rPr>
            </w:pPr>
          </w:p>
        </w:tc>
        <w:tc>
          <w:tcPr>
            <w:tcW w:w="820" w:type="dxa"/>
            <w:vAlign w:val="bottom"/>
            <w:gridSpan w:val="2"/>
            <w:vMerge w:val="continue"/>
          </w:tcPr>
          <w:p>
            <w:pPr>
              <w:spacing w:after="0"/>
              <w:rPr>
                <w:sz w:val="21"/>
                <w:szCs w:val="21"/>
                <w:color w:val="auto"/>
              </w:rPr>
            </w:pPr>
          </w:p>
        </w:tc>
        <w:tc>
          <w:tcPr>
            <w:tcW w:w="240" w:type="dxa"/>
            <w:vAlign w:val="bottom"/>
          </w:tcPr>
          <w:p>
            <w:pPr>
              <w:spacing w:after="0"/>
              <w:rPr>
                <w:sz w:val="21"/>
                <w:szCs w:val="21"/>
                <w:color w:val="auto"/>
              </w:rPr>
            </w:pPr>
          </w:p>
        </w:tc>
        <w:tc>
          <w:tcPr>
            <w:tcW w:w="600" w:type="dxa"/>
            <w:vAlign w:val="bottom"/>
            <w:gridSpan w:val="2"/>
            <w:vMerge w:val="continue"/>
          </w:tcPr>
          <w:p>
            <w:pPr>
              <w:spacing w:after="0"/>
              <w:rPr>
                <w:sz w:val="21"/>
                <w:szCs w:val="21"/>
                <w:color w:val="auto"/>
              </w:rPr>
            </w:pPr>
          </w:p>
        </w:tc>
        <w:tc>
          <w:tcPr>
            <w:tcW w:w="120" w:type="dxa"/>
            <w:vAlign w:val="bottom"/>
          </w:tcPr>
          <w:p>
            <w:pPr>
              <w:spacing w:after="0"/>
              <w:rPr>
                <w:sz w:val="21"/>
                <w:szCs w:val="21"/>
                <w:color w:val="auto"/>
              </w:rPr>
            </w:pPr>
          </w:p>
        </w:tc>
        <w:tc>
          <w:tcPr>
            <w:tcW w:w="860" w:type="dxa"/>
            <w:vAlign w:val="bottom"/>
            <w:vMerge w:val="continue"/>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gridSpan w:val="2"/>
            <w:vMerge w:val="continue"/>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gridSpan w:val="2"/>
            <w:vMerge w:val="continue"/>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18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Purchase of</w:t>
            </w:r>
          </w:p>
        </w:tc>
        <w:tc>
          <w:tcPr>
            <w:tcW w:w="6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000000"/>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18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2031 Capped</w:t>
            </w:r>
          </w:p>
        </w:tc>
        <w:tc>
          <w:tcPr>
            <w:tcW w:w="6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000000"/>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1180" w:type="dxa"/>
            <w:vAlign w:val="bottom"/>
            <w:shd w:val="clear" w:color="auto" w:fill="CCEEFF"/>
          </w:tcPr>
          <w:p>
            <w:pPr>
              <w:ind w:left="20"/>
              <w:spacing w:after="0" w:line="183" w:lineRule="exact"/>
              <w:rPr>
                <w:sz w:val="20"/>
                <w:szCs w:val="20"/>
                <w:color w:val="auto"/>
              </w:rPr>
            </w:pPr>
            <w:r>
              <w:rPr>
                <w:rFonts w:ascii="Arial" w:cs="Arial" w:eastAsia="Arial" w:hAnsi="Arial"/>
                <w:sz w:val="18"/>
                <w:szCs w:val="18"/>
                <w:color w:val="auto"/>
              </w:rPr>
              <w:t>Calls, net of</w:t>
            </w:r>
          </w:p>
        </w:tc>
        <w:tc>
          <w:tcPr>
            <w:tcW w:w="7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 w:type="dxa"/>
            <w:vAlign w:val="bottom"/>
            <w:shd w:val="clear" w:color="auto" w:fill="000000"/>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40" w:type="dxa"/>
            <w:vAlign w:val="bottom"/>
            <w:gridSpan w:val="2"/>
            <w:vMerge w:val="restart"/>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5"/>
                <w:szCs w:val="15"/>
                <w:color w:val="auto"/>
              </w:rPr>
            </w:pPr>
          </w:p>
        </w:tc>
        <w:tc>
          <w:tcPr>
            <w:tcW w:w="540" w:type="dxa"/>
            <w:vAlign w:val="bottom"/>
            <w:gridSpan w:val="2"/>
            <w:vMerge w:val="restart"/>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8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5"/>
                <w:szCs w:val="15"/>
                <w:color w:val="auto"/>
              </w:rPr>
            </w:pPr>
          </w:p>
        </w:tc>
        <w:tc>
          <w:tcPr>
            <w:tcW w:w="6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5"/>
                <w:szCs w:val="15"/>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(26,689)</w:t>
            </w: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5"/>
                <w:szCs w:val="15"/>
                <w:color w:val="auto"/>
              </w:rPr>
            </w:pPr>
          </w:p>
        </w:tc>
        <w:tc>
          <w:tcPr>
            <w:tcW w:w="13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5"/>
                <w:szCs w:val="15"/>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(26,689)</w:t>
            </w: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1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tax effect</w:t>
            </w:r>
          </w:p>
        </w:tc>
        <w:tc>
          <w:tcPr>
            <w:tcW w:w="720" w:type="dxa"/>
            <w:vAlign w:val="bottom"/>
            <w:gridSpan w:val="2"/>
            <w:vMerge w:val="continue"/>
            <w:shd w:val="clear" w:color="auto" w:fill="CCEEFF"/>
          </w:tcPr>
          <w:p>
            <w:pPr>
              <w:spacing w:after="0"/>
              <w:rPr>
                <w:sz w:val="20"/>
                <w:szCs w:val="20"/>
                <w:color w:val="auto"/>
              </w:rPr>
            </w:pPr>
          </w:p>
        </w:tc>
        <w:tc>
          <w:tcPr>
            <w:tcW w:w="940" w:type="dxa"/>
            <w:vAlign w:val="bottom"/>
            <w:gridSpan w:val="2"/>
            <w:vMerge w:val="continue"/>
            <w:shd w:val="clear" w:color="auto" w:fill="CCEEFF"/>
          </w:tcPr>
          <w:p>
            <w:pPr>
              <w:spacing w:after="0"/>
              <w:rPr>
                <w:sz w:val="20"/>
                <w:szCs w:val="20"/>
                <w:color w:val="auto"/>
              </w:rPr>
            </w:pPr>
          </w:p>
        </w:tc>
        <w:tc>
          <w:tcPr>
            <w:tcW w:w="20" w:type="dxa"/>
            <w:vAlign w:val="bottom"/>
            <w:shd w:val="clear" w:color="auto" w:fill="000000"/>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740" w:type="dxa"/>
            <w:vAlign w:val="bottom"/>
            <w:gridSpan w:val="2"/>
            <w:vMerge w:val="continue"/>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540" w:type="dxa"/>
            <w:vAlign w:val="bottom"/>
            <w:gridSpan w:val="2"/>
            <w:vMerge w:val="continue"/>
            <w:shd w:val="clear" w:color="auto" w:fill="CCEEFF"/>
          </w:tcPr>
          <w:p>
            <w:pPr>
              <w:spacing w:after="0"/>
              <w:rPr>
                <w:sz w:val="20"/>
                <w:szCs w:val="20"/>
                <w:color w:val="auto"/>
              </w:rPr>
            </w:pPr>
          </w:p>
        </w:tc>
        <w:tc>
          <w:tcPr>
            <w:tcW w:w="820" w:type="dxa"/>
            <w:vAlign w:val="bottom"/>
            <w:gridSpan w:val="2"/>
            <w:vMerge w:val="continue"/>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600" w:type="dxa"/>
            <w:vAlign w:val="bottom"/>
            <w:gridSpan w:val="2"/>
            <w:vMerge w:val="continue"/>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60" w:type="dxa"/>
            <w:vAlign w:val="bottom"/>
            <w:vMerge w:val="continue"/>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60" w:type="dxa"/>
            <w:vAlign w:val="bottom"/>
            <w:gridSpan w:val="2"/>
            <w:vMerge w:val="continue"/>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60" w:type="dxa"/>
            <w:vAlign w:val="bottom"/>
            <w:gridSpan w:val="2"/>
            <w:vMerge w:val="continue"/>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20" w:type="dxa"/>
            <w:vAlign w:val="bottom"/>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180" w:type="dxa"/>
            <w:vAlign w:val="bottom"/>
          </w:tcPr>
          <w:p>
            <w:pPr>
              <w:ind w:left="20"/>
              <w:spacing w:after="0" w:line="176" w:lineRule="exact"/>
              <w:rPr>
                <w:sz w:val="20"/>
                <w:szCs w:val="20"/>
                <w:color w:val="auto"/>
              </w:rPr>
            </w:pPr>
            <w:r>
              <w:rPr>
                <w:rFonts w:ascii="Arial" w:cs="Arial" w:eastAsia="Arial" w:hAnsi="Arial"/>
                <w:sz w:val="18"/>
                <w:szCs w:val="18"/>
                <w:color w:val="auto"/>
              </w:rPr>
              <w:t>Preferred</w:t>
            </w: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shd w:val="clear" w:color="auto" w:fill="000000"/>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180" w:type="dxa"/>
            <w:vAlign w:val="bottom"/>
          </w:tcPr>
          <w:p>
            <w:pPr>
              <w:ind w:left="20"/>
              <w:spacing w:after="0" w:line="176" w:lineRule="exact"/>
              <w:rPr>
                <w:sz w:val="20"/>
                <w:szCs w:val="20"/>
                <w:color w:val="auto"/>
              </w:rPr>
            </w:pPr>
            <w:r>
              <w:rPr>
                <w:rFonts w:ascii="Arial" w:cs="Arial" w:eastAsia="Arial" w:hAnsi="Arial"/>
                <w:sz w:val="18"/>
                <w:szCs w:val="18"/>
                <w:color w:val="auto"/>
              </w:rPr>
              <w:t>cumulative</w:t>
            </w: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shd w:val="clear" w:color="auto" w:fill="000000"/>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1180" w:type="dxa"/>
            <w:vAlign w:val="bottom"/>
          </w:tcPr>
          <w:p>
            <w:pPr>
              <w:ind w:left="20"/>
              <w:spacing w:after="0" w:line="183" w:lineRule="exact"/>
              <w:rPr>
                <w:sz w:val="20"/>
                <w:szCs w:val="20"/>
                <w:color w:val="auto"/>
              </w:rPr>
            </w:pPr>
            <w:r>
              <w:rPr>
                <w:rFonts w:ascii="Arial" w:cs="Arial" w:eastAsia="Arial" w:hAnsi="Arial"/>
                <w:sz w:val="18"/>
                <w:szCs w:val="18"/>
                <w:color w:val="auto"/>
              </w:rPr>
              <w:t>dividends</w:t>
            </w:r>
          </w:p>
        </w:tc>
        <w:tc>
          <w:tcPr>
            <w:tcW w:w="640" w:type="dxa"/>
            <w:vAlign w:val="bottom"/>
            <w:vMerge w:val="restart"/>
          </w:tcPr>
          <w:p>
            <w:pPr>
              <w:jc w:val="right"/>
              <w:spacing w:after="0"/>
              <w:rPr>
                <w:sz w:val="20"/>
                <w:szCs w:val="20"/>
                <w:color w:val="auto"/>
              </w:rPr>
            </w:pPr>
            <w:r>
              <w:rPr>
                <w:rFonts w:ascii="Arial" w:cs="Arial" w:eastAsia="Arial" w:hAnsi="Arial"/>
                <w:sz w:val="18"/>
                <w:szCs w:val="18"/>
                <w:color w:val="auto"/>
              </w:rPr>
              <w:t>23</w:t>
            </w:r>
          </w:p>
        </w:tc>
        <w:tc>
          <w:tcPr>
            <w:tcW w:w="80" w:type="dxa"/>
            <w:vAlign w:val="bottom"/>
          </w:tcPr>
          <w:p>
            <w:pPr>
              <w:spacing w:after="0"/>
              <w:rPr>
                <w:sz w:val="15"/>
                <w:szCs w:val="15"/>
                <w:color w:val="auto"/>
              </w:rPr>
            </w:pP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rPr>
              <w:t>44,375</w:t>
            </w:r>
          </w:p>
        </w:tc>
        <w:tc>
          <w:tcPr>
            <w:tcW w:w="80" w:type="dxa"/>
            <w:vAlign w:val="bottom"/>
          </w:tcPr>
          <w:p>
            <w:pPr>
              <w:spacing w:after="0"/>
              <w:rPr>
                <w:sz w:val="15"/>
                <w:szCs w:val="15"/>
                <w:color w:val="auto"/>
              </w:rPr>
            </w:pPr>
          </w:p>
        </w:tc>
        <w:tc>
          <w:tcPr>
            <w:tcW w:w="20" w:type="dxa"/>
            <w:vAlign w:val="bottom"/>
            <w:shd w:val="clear" w:color="auto" w:fill="000000"/>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gridSpan w:val="2"/>
            <w:vMerge w:val="restart"/>
          </w:tcPr>
          <w:p>
            <w:pPr>
              <w:ind w:left="4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5"/>
                <w:szCs w:val="15"/>
                <w:color w:val="auto"/>
              </w:rPr>
            </w:pPr>
          </w:p>
        </w:tc>
        <w:tc>
          <w:tcPr>
            <w:tcW w:w="540" w:type="dxa"/>
            <w:vAlign w:val="bottom"/>
            <w:gridSpan w:val="2"/>
            <w:vMerge w:val="restart"/>
          </w:tcPr>
          <w:p>
            <w:pPr>
              <w:ind w:left="200"/>
              <w:spacing w:after="0"/>
              <w:rPr>
                <w:sz w:val="20"/>
                <w:szCs w:val="20"/>
                <w:color w:val="auto"/>
              </w:rPr>
            </w:pPr>
            <w:r>
              <w:rPr>
                <w:rFonts w:ascii="Arial" w:cs="Arial" w:eastAsia="Arial" w:hAnsi="Arial"/>
                <w:sz w:val="18"/>
                <w:szCs w:val="18"/>
                <w:color w:val="auto"/>
              </w:rPr>
              <w:t>—</w:t>
            </w:r>
          </w:p>
        </w:tc>
        <w:tc>
          <w:tcPr>
            <w:tcW w:w="82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5"/>
                <w:szCs w:val="15"/>
                <w:color w:val="auto"/>
              </w:rPr>
            </w:pPr>
          </w:p>
        </w:tc>
        <w:tc>
          <w:tcPr>
            <w:tcW w:w="60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5"/>
                <w:szCs w:val="15"/>
                <w:color w:val="auto"/>
              </w:rPr>
            </w:pP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rPr>
              <w:t>(44,375)</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6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5"/>
                <w:szCs w:val="15"/>
                <w:color w:val="auto"/>
              </w:rPr>
            </w:pPr>
          </w:p>
        </w:tc>
        <w:tc>
          <w:tcPr>
            <w:tcW w:w="136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5"/>
                <w:szCs w:val="15"/>
                <w:color w:val="auto"/>
              </w:rPr>
            </w:pPr>
          </w:p>
        </w:tc>
        <w:tc>
          <w:tcPr>
            <w:tcW w:w="1020" w:type="dxa"/>
            <w:vAlign w:val="bottom"/>
            <w:vMerge w:val="restart"/>
          </w:tcPr>
          <w:p>
            <w:pPr>
              <w:jc w:val="right"/>
              <w:spacing w:after="0"/>
              <w:rPr>
                <w:sz w:val="20"/>
                <w:szCs w:val="20"/>
                <w:color w:val="auto"/>
              </w:rPr>
            </w:pPr>
            <w:r>
              <w:rPr>
                <w:rFonts w:ascii="Arial" w:cs="Arial" w:eastAsia="Arial" w:hAnsi="Arial"/>
                <w:sz w:val="18"/>
                <w:szCs w:val="18"/>
                <w:color w:val="auto"/>
              </w:rPr>
              <w:t>(44,375)</w:t>
            </w: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1180" w:type="dxa"/>
            <w:vAlign w:val="bottom"/>
          </w:tcPr>
          <w:p>
            <w:pPr>
              <w:ind w:left="20"/>
              <w:spacing w:after="0"/>
              <w:rPr>
                <w:sz w:val="20"/>
                <w:szCs w:val="20"/>
                <w:color w:val="auto"/>
              </w:rPr>
            </w:pPr>
            <w:r>
              <w:rPr>
                <w:rFonts w:ascii="Arial" w:cs="Arial" w:eastAsia="Arial" w:hAnsi="Arial"/>
                <w:sz w:val="18"/>
                <w:szCs w:val="18"/>
                <w:color w:val="auto"/>
              </w:rPr>
              <w:t>plus accretion</w:t>
            </w:r>
          </w:p>
        </w:tc>
        <w:tc>
          <w:tcPr>
            <w:tcW w:w="64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86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shd w:val="clear" w:color="auto" w:fill="000000"/>
          </w:tcPr>
          <w:p>
            <w:pPr>
              <w:spacing w:after="0"/>
              <w:rPr>
                <w:sz w:val="20"/>
                <w:szCs w:val="20"/>
                <w:color w:val="auto"/>
              </w:rPr>
            </w:pPr>
          </w:p>
        </w:tc>
        <w:tc>
          <w:tcPr>
            <w:tcW w:w="80" w:type="dxa"/>
            <w:vAlign w:val="bottom"/>
          </w:tcPr>
          <w:p>
            <w:pPr>
              <w:spacing w:after="0"/>
              <w:rPr>
                <w:sz w:val="20"/>
                <w:szCs w:val="20"/>
                <w:color w:val="auto"/>
              </w:rPr>
            </w:pPr>
          </w:p>
        </w:tc>
        <w:tc>
          <w:tcPr>
            <w:tcW w:w="740" w:type="dxa"/>
            <w:vAlign w:val="bottom"/>
            <w:gridSpan w:val="2"/>
            <w:vMerge w:val="continue"/>
          </w:tcPr>
          <w:p>
            <w:pPr>
              <w:spacing w:after="0"/>
              <w:rPr>
                <w:sz w:val="20"/>
                <w:szCs w:val="20"/>
                <w:color w:val="auto"/>
              </w:rPr>
            </w:pPr>
          </w:p>
        </w:tc>
        <w:tc>
          <w:tcPr>
            <w:tcW w:w="300" w:type="dxa"/>
            <w:vAlign w:val="bottom"/>
          </w:tcPr>
          <w:p>
            <w:pPr>
              <w:spacing w:after="0"/>
              <w:rPr>
                <w:sz w:val="20"/>
                <w:szCs w:val="20"/>
                <w:color w:val="auto"/>
              </w:rPr>
            </w:pPr>
          </w:p>
        </w:tc>
        <w:tc>
          <w:tcPr>
            <w:tcW w:w="540" w:type="dxa"/>
            <w:vAlign w:val="bottom"/>
            <w:gridSpan w:val="2"/>
            <w:vMerge w:val="continue"/>
          </w:tcPr>
          <w:p>
            <w:pPr>
              <w:spacing w:after="0"/>
              <w:rPr>
                <w:sz w:val="20"/>
                <w:szCs w:val="20"/>
                <w:color w:val="auto"/>
              </w:rPr>
            </w:pPr>
          </w:p>
        </w:tc>
        <w:tc>
          <w:tcPr>
            <w:tcW w:w="820" w:type="dxa"/>
            <w:vAlign w:val="bottom"/>
            <w:gridSpan w:val="2"/>
            <w:vMerge w:val="continue"/>
          </w:tcPr>
          <w:p>
            <w:pPr>
              <w:spacing w:after="0"/>
              <w:rPr>
                <w:sz w:val="20"/>
                <w:szCs w:val="20"/>
                <w:color w:val="auto"/>
              </w:rPr>
            </w:pPr>
          </w:p>
        </w:tc>
        <w:tc>
          <w:tcPr>
            <w:tcW w:w="240" w:type="dxa"/>
            <w:vAlign w:val="bottom"/>
          </w:tcPr>
          <w:p>
            <w:pPr>
              <w:spacing w:after="0"/>
              <w:rPr>
                <w:sz w:val="20"/>
                <w:szCs w:val="20"/>
                <w:color w:val="auto"/>
              </w:rPr>
            </w:pPr>
          </w:p>
        </w:tc>
        <w:tc>
          <w:tcPr>
            <w:tcW w:w="600" w:type="dxa"/>
            <w:vAlign w:val="bottom"/>
            <w:gridSpan w:val="2"/>
            <w:vMerge w:val="continue"/>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gridSpan w:val="2"/>
            <w:vMerge w:val="continue"/>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gridSpan w:val="2"/>
            <w:vMerge w:val="continue"/>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 w:type="dxa"/>
            <w:vAlign w:val="bottom"/>
            <w:shd w:val="clear" w:color="auto" w:fill="000000"/>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4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5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93,511</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93,511</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180" w:type="dxa"/>
            <w:vAlign w:val="bottom"/>
          </w:tcPr>
          <w:p>
            <w:pPr>
              <w:ind w:left="20"/>
              <w:spacing w:after="0" w:line="176" w:lineRule="exact"/>
              <w:rPr>
                <w:sz w:val="20"/>
                <w:szCs w:val="20"/>
                <w:color w:val="auto"/>
              </w:rPr>
            </w:pPr>
            <w:r>
              <w:rPr>
                <w:rFonts w:ascii="Arial" w:cs="Arial" w:eastAsia="Arial" w:hAnsi="Arial"/>
                <w:sz w:val="18"/>
                <w:szCs w:val="18"/>
                <w:color w:val="auto"/>
              </w:rPr>
              <w:t>Foreign</w:t>
            </w: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shd w:val="clear" w:color="auto" w:fill="000000"/>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180" w:type="dxa"/>
            <w:vAlign w:val="bottom"/>
          </w:tcPr>
          <w:p>
            <w:pPr>
              <w:ind w:left="20"/>
              <w:spacing w:after="0" w:line="176" w:lineRule="exact"/>
              <w:rPr>
                <w:sz w:val="20"/>
                <w:szCs w:val="20"/>
                <w:color w:val="auto"/>
              </w:rPr>
            </w:pPr>
            <w:r>
              <w:rPr>
                <w:rFonts w:ascii="Arial" w:cs="Arial" w:eastAsia="Arial" w:hAnsi="Arial"/>
                <w:sz w:val="18"/>
                <w:szCs w:val="18"/>
                <w:color w:val="auto"/>
              </w:rPr>
              <w:t>currency</w:t>
            </w:r>
          </w:p>
        </w:tc>
        <w:tc>
          <w:tcPr>
            <w:tcW w:w="72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94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20" w:type="dxa"/>
            <w:vAlign w:val="bottom"/>
            <w:shd w:val="clear" w:color="auto" w:fill="000000"/>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gridSpan w:val="2"/>
            <w:vMerge w:val="restart"/>
          </w:tcPr>
          <w:p>
            <w:pPr>
              <w:ind w:left="4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5"/>
                <w:szCs w:val="15"/>
                <w:color w:val="auto"/>
              </w:rPr>
            </w:pPr>
          </w:p>
        </w:tc>
        <w:tc>
          <w:tcPr>
            <w:tcW w:w="540" w:type="dxa"/>
            <w:vAlign w:val="bottom"/>
            <w:gridSpan w:val="2"/>
            <w:vMerge w:val="restart"/>
          </w:tcPr>
          <w:p>
            <w:pPr>
              <w:ind w:left="200"/>
              <w:spacing w:after="0"/>
              <w:rPr>
                <w:sz w:val="20"/>
                <w:szCs w:val="20"/>
                <w:color w:val="auto"/>
              </w:rPr>
            </w:pPr>
            <w:r>
              <w:rPr>
                <w:rFonts w:ascii="Arial" w:cs="Arial" w:eastAsia="Arial" w:hAnsi="Arial"/>
                <w:sz w:val="18"/>
                <w:szCs w:val="18"/>
                <w:color w:val="auto"/>
              </w:rPr>
              <w:t>—</w:t>
            </w:r>
          </w:p>
        </w:tc>
        <w:tc>
          <w:tcPr>
            <w:tcW w:w="82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5"/>
                <w:szCs w:val="15"/>
                <w:color w:val="auto"/>
              </w:rPr>
            </w:pPr>
          </w:p>
        </w:tc>
        <w:tc>
          <w:tcPr>
            <w:tcW w:w="60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5"/>
                <w:szCs w:val="15"/>
                <w:color w:val="auto"/>
              </w:rPr>
            </w:pPr>
          </w:p>
        </w:tc>
        <w:tc>
          <w:tcPr>
            <w:tcW w:w="94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5"/>
                <w:szCs w:val="15"/>
                <w:color w:val="auto"/>
              </w:rPr>
            </w:pPr>
          </w:p>
        </w:tc>
        <w:tc>
          <w:tcPr>
            <w:tcW w:w="106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5"/>
                <w:szCs w:val="15"/>
                <w:color w:val="auto"/>
              </w:rPr>
            </w:pPr>
          </w:p>
        </w:tc>
        <w:tc>
          <w:tcPr>
            <w:tcW w:w="1280" w:type="dxa"/>
            <w:vAlign w:val="bottom"/>
            <w:vMerge w:val="restart"/>
          </w:tcPr>
          <w:p>
            <w:pPr>
              <w:jc w:val="right"/>
              <w:spacing w:after="0"/>
              <w:rPr>
                <w:sz w:val="20"/>
                <w:szCs w:val="20"/>
                <w:color w:val="auto"/>
              </w:rPr>
            </w:pPr>
            <w:r>
              <w:rPr>
                <w:rFonts w:ascii="Arial" w:cs="Arial" w:eastAsia="Arial" w:hAnsi="Arial"/>
                <w:sz w:val="18"/>
                <w:szCs w:val="18"/>
                <w:color w:val="auto"/>
              </w:rPr>
              <w:t>37,604</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vMerge w:val="restart"/>
          </w:tcPr>
          <w:p>
            <w:pPr>
              <w:jc w:val="right"/>
              <w:spacing w:after="0"/>
              <w:rPr>
                <w:sz w:val="20"/>
                <w:szCs w:val="20"/>
                <w:color w:val="auto"/>
              </w:rPr>
            </w:pPr>
            <w:r>
              <w:rPr>
                <w:rFonts w:ascii="Arial" w:cs="Arial" w:eastAsia="Arial" w:hAnsi="Arial"/>
                <w:sz w:val="18"/>
                <w:szCs w:val="18"/>
                <w:color w:val="auto"/>
              </w:rPr>
              <w:t>37,604</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180" w:type="dxa"/>
            <w:vAlign w:val="bottom"/>
          </w:tcPr>
          <w:p>
            <w:pPr>
              <w:ind w:left="20"/>
              <w:spacing w:after="0"/>
              <w:rPr>
                <w:sz w:val="20"/>
                <w:szCs w:val="20"/>
                <w:color w:val="auto"/>
              </w:rPr>
            </w:pPr>
            <w:r>
              <w:rPr>
                <w:rFonts w:ascii="Arial" w:cs="Arial" w:eastAsia="Arial" w:hAnsi="Arial"/>
                <w:sz w:val="18"/>
                <w:szCs w:val="18"/>
                <w:color w:val="auto"/>
              </w:rPr>
              <w:t>translation</w:t>
            </w:r>
          </w:p>
        </w:tc>
        <w:tc>
          <w:tcPr>
            <w:tcW w:w="720" w:type="dxa"/>
            <w:vAlign w:val="bottom"/>
            <w:gridSpan w:val="2"/>
            <w:vMerge w:val="continue"/>
          </w:tcPr>
          <w:p>
            <w:pPr>
              <w:spacing w:after="0"/>
              <w:rPr>
                <w:sz w:val="21"/>
                <w:szCs w:val="21"/>
                <w:color w:val="auto"/>
              </w:rPr>
            </w:pPr>
          </w:p>
        </w:tc>
        <w:tc>
          <w:tcPr>
            <w:tcW w:w="940" w:type="dxa"/>
            <w:vAlign w:val="bottom"/>
            <w:gridSpan w:val="2"/>
            <w:vMerge w:val="continue"/>
          </w:tcPr>
          <w:p>
            <w:pPr>
              <w:spacing w:after="0"/>
              <w:rPr>
                <w:sz w:val="21"/>
                <w:szCs w:val="21"/>
                <w:color w:val="auto"/>
              </w:rPr>
            </w:pPr>
          </w:p>
        </w:tc>
        <w:tc>
          <w:tcPr>
            <w:tcW w:w="20" w:type="dxa"/>
            <w:vAlign w:val="bottom"/>
            <w:shd w:val="clear" w:color="auto" w:fill="000000"/>
          </w:tcPr>
          <w:p>
            <w:pPr>
              <w:spacing w:after="0"/>
              <w:rPr>
                <w:sz w:val="21"/>
                <w:szCs w:val="21"/>
                <w:color w:val="auto"/>
              </w:rPr>
            </w:pPr>
          </w:p>
        </w:tc>
        <w:tc>
          <w:tcPr>
            <w:tcW w:w="80" w:type="dxa"/>
            <w:vAlign w:val="bottom"/>
          </w:tcPr>
          <w:p>
            <w:pPr>
              <w:spacing w:after="0"/>
              <w:rPr>
                <w:sz w:val="21"/>
                <w:szCs w:val="21"/>
                <w:color w:val="auto"/>
              </w:rPr>
            </w:pPr>
          </w:p>
        </w:tc>
        <w:tc>
          <w:tcPr>
            <w:tcW w:w="740" w:type="dxa"/>
            <w:vAlign w:val="bottom"/>
            <w:gridSpan w:val="2"/>
            <w:vMerge w:val="continue"/>
          </w:tcPr>
          <w:p>
            <w:pPr>
              <w:spacing w:after="0"/>
              <w:rPr>
                <w:sz w:val="21"/>
                <w:szCs w:val="21"/>
                <w:color w:val="auto"/>
              </w:rPr>
            </w:pPr>
          </w:p>
        </w:tc>
        <w:tc>
          <w:tcPr>
            <w:tcW w:w="300" w:type="dxa"/>
            <w:vAlign w:val="bottom"/>
          </w:tcPr>
          <w:p>
            <w:pPr>
              <w:spacing w:after="0"/>
              <w:rPr>
                <w:sz w:val="21"/>
                <w:szCs w:val="21"/>
                <w:color w:val="auto"/>
              </w:rPr>
            </w:pPr>
          </w:p>
        </w:tc>
        <w:tc>
          <w:tcPr>
            <w:tcW w:w="540" w:type="dxa"/>
            <w:vAlign w:val="bottom"/>
            <w:gridSpan w:val="2"/>
            <w:vMerge w:val="continue"/>
          </w:tcPr>
          <w:p>
            <w:pPr>
              <w:spacing w:after="0"/>
              <w:rPr>
                <w:sz w:val="21"/>
                <w:szCs w:val="21"/>
                <w:color w:val="auto"/>
              </w:rPr>
            </w:pPr>
          </w:p>
        </w:tc>
        <w:tc>
          <w:tcPr>
            <w:tcW w:w="820" w:type="dxa"/>
            <w:vAlign w:val="bottom"/>
            <w:gridSpan w:val="2"/>
            <w:vMerge w:val="continue"/>
          </w:tcPr>
          <w:p>
            <w:pPr>
              <w:spacing w:after="0"/>
              <w:rPr>
                <w:sz w:val="21"/>
                <w:szCs w:val="21"/>
                <w:color w:val="auto"/>
              </w:rPr>
            </w:pPr>
          </w:p>
        </w:tc>
        <w:tc>
          <w:tcPr>
            <w:tcW w:w="240" w:type="dxa"/>
            <w:vAlign w:val="bottom"/>
          </w:tcPr>
          <w:p>
            <w:pPr>
              <w:spacing w:after="0"/>
              <w:rPr>
                <w:sz w:val="21"/>
                <w:szCs w:val="21"/>
                <w:color w:val="auto"/>
              </w:rPr>
            </w:pPr>
          </w:p>
        </w:tc>
        <w:tc>
          <w:tcPr>
            <w:tcW w:w="600" w:type="dxa"/>
            <w:vAlign w:val="bottom"/>
            <w:gridSpan w:val="2"/>
            <w:vMerge w:val="continue"/>
          </w:tcPr>
          <w:p>
            <w:pPr>
              <w:spacing w:after="0"/>
              <w:rPr>
                <w:sz w:val="21"/>
                <w:szCs w:val="21"/>
                <w:color w:val="auto"/>
              </w:rPr>
            </w:pPr>
          </w:p>
        </w:tc>
        <w:tc>
          <w:tcPr>
            <w:tcW w:w="120" w:type="dxa"/>
            <w:vAlign w:val="bottom"/>
          </w:tcPr>
          <w:p>
            <w:pPr>
              <w:spacing w:after="0"/>
              <w:rPr>
                <w:sz w:val="21"/>
                <w:szCs w:val="21"/>
                <w:color w:val="auto"/>
              </w:rPr>
            </w:pPr>
          </w:p>
        </w:tc>
        <w:tc>
          <w:tcPr>
            <w:tcW w:w="940" w:type="dxa"/>
            <w:vAlign w:val="bottom"/>
            <w:gridSpan w:val="2"/>
            <w:vMerge w:val="continue"/>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gridSpan w:val="2"/>
            <w:vMerge w:val="continue"/>
          </w:tcPr>
          <w:p>
            <w:pPr>
              <w:spacing w:after="0"/>
              <w:rPr>
                <w:sz w:val="21"/>
                <w:szCs w:val="21"/>
                <w:color w:val="auto"/>
              </w:rPr>
            </w:pPr>
          </w:p>
        </w:tc>
        <w:tc>
          <w:tcPr>
            <w:tcW w:w="120" w:type="dxa"/>
            <w:vAlign w:val="bottom"/>
          </w:tcPr>
          <w:p>
            <w:pPr>
              <w:spacing w:after="0"/>
              <w:rPr>
                <w:sz w:val="21"/>
                <w:szCs w:val="21"/>
                <w:color w:val="auto"/>
              </w:rPr>
            </w:pPr>
          </w:p>
        </w:tc>
        <w:tc>
          <w:tcPr>
            <w:tcW w:w="1280" w:type="dxa"/>
            <w:vAlign w:val="bottom"/>
            <w:vMerge w:val="continue"/>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180" w:type="dxa"/>
            <w:vAlign w:val="bottom"/>
            <w:tcBorders>
              <w:top w:val="single" w:sz="8" w:color="CCEEFF"/>
            </w:tcBorders>
            <w:shd w:val="clear" w:color="auto" w:fill="CCEEFF"/>
          </w:tcPr>
          <w:p>
            <w:pPr>
              <w:ind w:left="20"/>
              <w:spacing w:after="0" w:line="156" w:lineRule="exact"/>
              <w:rPr>
                <w:sz w:val="20"/>
                <w:szCs w:val="20"/>
                <w:color w:val="auto"/>
              </w:rPr>
            </w:pPr>
            <w:r>
              <w:rPr>
                <w:rFonts w:ascii="Arial" w:cs="Arial" w:eastAsia="Arial" w:hAnsi="Arial"/>
                <w:sz w:val="18"/>
                <w:szCs w:val="18"/>
                <w:b w:val="1"/>
                <w:bCs w:val="1"/>
                <w:color w:val="auto"/>
              </w:rPr>
              <w:t>Balance at</w:t>
            </w:r>
          </w:p>
        </w:tc>
        <w:tc>
          <w:tcPr>
            <w:tcW w:w="64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86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auto"/>
            </w:tcBorders>
            <w:shd w:val="clear" w:color="auto" w:fill="000000"/>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66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300" w:type="dxa"/>
            <w:vAlign w:val="bottom"/>
            <w:tcBorders>
              <w:top w:val="single" w:sz="8" w:color="auto"/>
            </w:tcBorders>
            <w:shd w:val="clear" w:color="auto" w:fill="CCEEFF"/>
          </w:tcPr>
          <w:p>
            <w:pPr>
              <w:spacing w:after="0"/>
              <w:rPr>
                <w:sz w:val="13"/>
                <w:szCs w:val="13"/>
                <w:color w:val="auto"/>
              </w:rPr>
            </w:pPr>
          </w:p>
        </w:tc>
        <w:tc>
          <w:tcPr>
            <w:tcW w:w="46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74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40" w:type="dxa"/>
            <w:vAlign w:val="bottom"/>
            <w:tcBorders>
              <w:top w:val="single" w:sz="8" w:color="auto"/>
            </w:tcBorders>
            <w:shd w:val="clear" w:color="auto" w:fill="CCEEFF"/>
          </w:tcPr>
          <w:p>
            <w:pPr>
              <w:spacing w:after="0"/>
              <w:rPr>
                <w:sz w:val="13"/>
                <w:szCs w:val="13"/>
                <w:color w:val="auto"/>
              </w:rPr>
            </w:pPr>
          </w:p>
        </w:tc>
        <w:tc>
          <w:tcPr>
            <w:tcW w:w="52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86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spacing w:after="0"/>
              <w:rPr>
                <w:sz w:val="13"/>
                <w:szCs w:val="13"/>
                <w:color w:val="auto"/>
              </w:rPr>
            </w:pPr>
          </w:p>
        </w:tc>
        <w:tc>
          <w:tcPr>
            <w:tcW w:w="98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128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spacing w:after="0"/>
              <w:rPr>
                <w:sz w:val="13"/>
                <w:szCs w:val="13"/>
                <w:color w:val="auto"/>
              </w:rPr>
            </w:pPr>
          </w:p>
        </w:tc>
        <w:tc>
          <w:tcPr>
            <w:tcW w:w="102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18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b w:val="1"/>
                <w:bCs w:val="1"/>
                <w:color w:val="auto"/>
              </w:rPr>
              <w:t>September</w:t>
            </w: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483</w:t>
            </w:r>
          </w:p>
        </w:tc>
        <w:tc>
          <w:tcPr>
            <w:tcW w:w="80" w:type="dxa"/>
            <w:vAlign w:val="bottom"/>
            <w:shd w:val="clear" w:color="auto" w:fill="CCEEFF"/>
          </w:tcPr>
          <w:p>
            <w:pPr>
              <w:spacing w:after="0"/>
              <w:rPr>
                <w:sz w:val="15"/>
                <w:szCs w:val="15"/>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451,306</w:t>
            </w:r>
          </w:p>
        </w:tc>
        <w:tc>
          <w:tcPr>
            <w:tcW w:w="80" w:type="dxa"/>
            <w:vAlign w:val="bottom"/>
            <w:shd w:val="clear" w:color="auto" w:fill="CCEEFF"/>
          </w:tcPr>
          <w:p>
            <w:pPr>
              <w:spacing w:after="0"/>
              <w:rPr>
                <w:sz w:val="15"/>
                <w:szCs w:val="15"/>
                <w:color w:val="auto"/>
              </w:rPr>
            </w:pPr>
          </w:p>
        </w:tc>
        <w:tc>
          <w:tcPr>
            <w:tcW w:w="20" w:type="dxa"/>
            <w:vAlign w:val="bottom"/>
            <w:shd w:val="clear" w:color="auto" w:fill="000000"/>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40" w:type="dxa"/>
            <w:vAlign w:val="bottom"/>
            <w:gridSpan w:val="2"/>
            <w:vMerge w:val="restart"/>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300" w:type="dxa"/>
            <w:vAlign w:val="bottom"/>
            <w:vMerge w:val="restart"/>
            <w:shd w:val="clear" w:color="auto" w:fill="CCEEFF"/>
          </w:tcPr>
          <w:p>
            <w:pPr>
              <w:ind w:left="20"/>
              <w:spacing w:after="0"/>
              <w:rPr>
                <w:sz w:val="20"/>
                <w:szCs w:val="20"/>
                <w:color w:val="auto"/>
              </w:rPr>
            </w:pPr>
            <w:r>
              <w:rPr>
                <w:rFonts w:ascii="Arial" w:cs="Arial" w:eastAsia="Arial" w:hAnsi="Arial"/>
                <w:sz w:val="18"/>
                <w:szCs w:val="18"/>
                <w:color w:val="auto"/>
              </w:rPr>
              <w:t>$</w:t>
            </w:r>
          </w:p>
        </w:tc>
        <w:tc>
          <w:tcPr>
            <w:tcW w:w="540" w:type="dxa"/>
            <w:vAlign w:val="bottom"/>
            <w:gridSpan w:val="2"/>
            <w:vMerge w:val="restart"/>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8"/>
              </w:rPr>
              <w:t>152,748</w:t>
            </w:r>
          </w:p>
        </w:tc>
        <w:tc>
          <w:tcPr>
            <w:tcW w:w="80" w:type="dxa"/>
            <w:vAlign w:val="bottom"/>
            <w:shd w:val="clear" w:color="auto" w:fill="CCEEFF"/>
          </w:tcPr>
          <w:p>
            <w:pPr>
              <w:spacing w:after="0"/>
              <w:rPr>
                <w:sz w:val="15"/>
                <w:szCs w:val="15"/>
                <w:color w:val="auto"/>
              </w:rPr>
            </w:pPr>
          </w:p>
        </w:tc>
        <w:tc>
          <w:tcPr>
            <w:tcW w:w="240" w:type="dxa"/>
            <w:vAlign w:val="bottom"/>
            <w:vMerge w:val="restart"/>
            <w:shd w:val="clear" w:color="auto" w:fill="CCEEFF"/>
          </w:tcPr>
          <w:p>
            <w:pPr>
              <w:ind w:left="20"/>
              <w:spacing w:after="0"/>
              <w:rPr>
                <w:sz w:val="20"/>
                <w:szCs w:val="20"/>
                <w:color w:val="auto"/>
              </w:rPr>
            </w:pPr>
            <w:r>
              <w:rPr>
                <w:rFonts w:ascii="Arial" w:cs="Arial" w:eastAsia="Arial" w:hAnsi="Arial"/>
                <w:sz w:val="18"/>
                <w:szCs w:val="18"/>
                <w:color w:val="auto"/>
              </w:rPr>
              <w:t>$</w:t>
            </w:r>
          </w:p>
        </w:tc>
        <w:tc>
          <w:tcPr>
            <w:tcW w:w="5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152</w:t>
            </w:r>
          </w:p>
        </w:tc>
        <w:tc>
          <w:tcPr>
            <w:tcW w:w="80" w:type="dxa"/>
            <w:vAlign w:val="bottom"/>
            <w:shd w:val="clear" w:color="auto" w:fill="CCEEFF"/>
          </w:tcPr>
          <w:p>
            <w:pPr>
              <w:spacing w:after="0"/>
              <w:rPr>
                <w:sz w:val="15"/>
                <w:szCs w:val="15"/>
                <w:color w:val="auto"/>
              </w:rPr>
            </w:pPr>
          </w:p>
        </w:tc>
        <w:tc>
          <w:tcPr>
            <w:tcW w:w="120" w:type="dxa"/>
            <w:vAlign w:val="bottom"/>
            <w:vMerge w:val="restart"/>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238,043</w:t>
            </w:r>
          </w:p>
        </w:tc>
        <w:tc>
          <w:tcPr>
            <w:tcW w:w="80" w:type="dxa"/>
            <w:vAlign w:val="bottom"/>
            <w:shd w:val="clear" w:color="auto" w:fill="CCEEFF"/>
          </w:tcPr>
          <w:p>
            <w:pPr>
              <w:spacing w:after="0"/>
              <w:rPr>
                <w:sz w:val="15"/>
                <w:szCs w:val="15"/>
                <w:color w:val="auto"/>
              </w:rPr>
            </w:pPr>
          </w:p>
        </w:tc>
        <w:tc>
          <w:tcPr>
            <w:tcW w:w="20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(277,113)</w:t>
            </w:r>
          </w:p>
        </w:tc>
        <w:tc>
          <w:tcPr>
            <w:tcW w:w="80" w:type="dxa"/>
            <w:vAlign w:val="bottom"/>
            <w:shd w:val="clear" w:color="auto" w:fill="CCEEFF"/>
          </w:tcPr>
          <w:p>
            <w:pPr>
              <w:spacing w:after="0"/>
              <w:rPr>
                <w:sz w:val="15"/>
                <w:szCs w:val="15"/>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(7,799)</w:t>
            </w:r>
          </w:p>
        </w:tc>
        <w:tc>
          <w:tcPr>
            <w:tcW w:w="80" w:type="dxa"/>
            <w:vAlign w:val="bottom"/>
            <w:shd w:val="clear" w:color="auto" w:fill="CCEEFF"/>
          </w:tcPr>
          <w:p>
            <w:pPr>
              <w:spacing w:after="0"/>
              <w:rPr>
                <w:sz w:val="15"/>
                <w:szCs w:val="15"/>
                <w:color w:val="auto"/>
              </w:rPr>
            </w:pPr>
          </w:p>
        </w:tc>
        <w:tc>
          <w:tcPr>
            <w:tcW w:w="22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w:t>
            </w: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(46,717)</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11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30, 2025</w:t>
            </w:r>
          </w:p>
        </w:tc>
        <w:tc>
          <w:tcPr>
            <w:tcW w:w="640" w:type="dxa"/>
            <w:vAlign w:val="bottom"/>
            <w:vMerge w:val="continue"/>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60" w:type="dxa"/>
            <w:vAlign w:val="bottom"/>
            <w:vMerge w:val="continue"/>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000000"/>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740" w:type="dxa"/>
            <w:vAlign w:val="bottom"/>
            <w:gridSpan w:val="2"/>
            <w:vMerge w:val="continue"/>
            <w:shd w:val="clear" w:color="auto" w:fill="CCEEFF"/>
          </w:tcPr>
          <w:p>
            <w:pPr>
              <w:spacing w:after="0"/>
              <w:rPr>
                <w:sz w:val="20"/>
                <w:szCs w:val="20"/>
                <w:color w:val="auto"/>
              </w:rPr>
            </w:pPr>
          </w:p>
        </w:tc>
        <w:tc>
          <w:tcPr>
            <w:tcW w:w="300" w:type="dxa"/>
            <w:vAlign w:val="bottom"/>
            <w:vMerge w:val="continue"/>
            <w:shd w:val="clear" w:color="auto" w:fill="CCEEFF"/>
          </w:tcPr>
          <w:p>
            <w:pPr>
              <w:spacing w:after="0"/>
              <w:rPr>
                <w:sz w:val="20"/>
                <w:szCs w:val="20"/>
                <w:color w:val="auto"/>
              </w:rPr>
            </w:pPr>
          </w:p>
        </w:tc>
        <w:tc>
          <w:tcPr>
            <w:tcW w:w="540" w:type="dxa"/>
            <w:vAlign w:val="bottom"/>
            <w:gridSpan w:val="2"/>
            <w:vMerge w:val="continue"/>
            <w:shd w:val="clear" w:color="auto" w:fill="CCEEFF"/>
          </w:tcPr>
          <w:p>
            <w:pPr>
              <w:spacing w:after="0"/>
              <w:rPr>
                <w:sz w:val="20"/>
                <w:szCs w:val="20"/>
                <w:color w:val="auto"/>
              </w:rPr>
            </w:pPr>
          </w:p>
        </w:tc>
        <w:tc>
          <w:tcPr>
            <w:tcW w:w="740" w:type="dxa"/>
            <w:vAlign w:val="bottom"/>
            <w:vMerge w:val="continue"/>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40" w:type="dxa"/>
            <w:vAlign w:val="bottom"/>
            <w:vMerge w:val="continue"/>
            <w:shd w:val="clear" w:color="auto" w:fill="CCEEFF"/>
          </w:tcPr>
          <w:p>
            <w:pPr>
              <w:spacing w:after="0"/>
              <w:rPr>
                <w:sz w:val="20"/>
                <w:szCs w:val="20"/>
                <w:color w:val="auto"/>
              </w:rPr>
            </w:pPr>
          </w:p>
        </w:tc>
        <w:tc>
          <w:tcPr>
            <w:tcW w:w="520" w:type="dxa"/>
            <w:vAlign w:val="bottom"/>
            <w:vMerge w:val="continue"/>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vMerge w:val="continue"/>
            <w:shd w:val="clear" w:color="auto" w:fill="CCEEFF"/>
          </w:tcPr>
          <w:p>
            <w:pPr>
              <w:spacing w:after="0"/>
              <w:rPr>
                <w:sz w:val="20"/>
                <w:szCs w:val="20"/>
                <w:color w:val="auto"/>
              </w:rPr>
            </w:pPr>
          </w:p>
        </w:tc>
        <w:tc>
          <w:tcPr>
            <w:tcW w:w="860" w:type="dxa"/>
            <w:vAlign w:val="bottom"/>
            <w:vMerge w:val="continue"/>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0" w:type="dxa"/>
            <w:vAlign w:val="bottom"/>
            <w:vMerge w:val="continue"/>
            <w:shd w:val="clear" w:color="auto" w:fill="CCEEFF"/>
          </w:tcPr>
          <w:p>
            <w:pPr>
              <w:spacing w:after="0"/>
              <w:rPr>
                <w:sz w:val="20"/>
                <w:szCs w:val="20"/>
                <w:color w:val="auto"/>
              </w:rPr>
            </w:pPr>
          </w:p>
        </w:tc>
        <w:tc>
          <w:tcPr>
            <w:tcW w:w="980" w:type="dxa"/>
            <w:vAlign w:val="bottom"/>
            <w:vMerge w:val="continue"/>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vMerge w:val="continue"/>
            <w:shd w:val="clear" w:color="auto" w:fill="CCEEFF"/>
          </w:tcPr>
          <w:p>
            <w:pPr>
              <w:spacing w:after="0"/>
              <w:rPr>
                <w:sz w:val="20"/>
                <w:szCs w:val="20"/>
                <w:color w:val="auto"/>
              </w:rPr>
            </w:pPr>
          </w:p>
        </w:tc>
        <w:tc>
          <w:tcPr>
            <w:tcW w:w="1280" w:type="dxa"/>
            <w:vAlign w:val="bottom"/>
            <w:vMerge w:val="continue"/>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20" w:type="dxa"/>
            <w:vAlign w:val="bottom"/>
            <w:vMerge w:val="continue"/>
            <w:shd w:val="clear" w:color="auto" w:fill="CCEEFF"/>
          </w:tcPr>
          <w:p>
            <w:pPr>
              <w:spacing w:after="0"/>
              <w:rPr>
                <w:sz w:val="20"/>
                <w:szCs w:val="20"/>
                <w:color w:val="auto"/>
              </w:rPr>
            </w:pPr>
          </w:p>
        </w:tc>
        <w:tc>
          <w:tcPr>
            <w:tcW w:w="1020" w:type="dxa"/>
            <w:vAlign w:val="bottom"/>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02" w:right="339" w:bottom="1440" w:gutter="0" w:footer="0" w:header="0"/>
        </w:sectPr>
      </w:pPr>
    </w:p>
    <w:bookmarkStart w:id="10" w:name="page11"/>
    <w:bookmarkEnd w:id="10"/>
    <w:p>
      <w:pPr>
        <w:ind w:left="4480"/>
        <w:spacing w:after="0"/>
        <w:rPr>
          <w:sz w:val="20"/>
          <w:szCs w:val="20"/>
          <w:color w:val="auto"/>
        </w:rPr>
      </w:pPr>
      <w:r>
        <w:rPr>
          <w:rFonts w:ascii="Arial" w:cs="Arial" w:eastAsia="Arial" w:hAnsi="Arial"/>
          <w:sz w:val="20"/>
          <w:szCs w:val="20"/>
          <w:b w:val="1"/>
          <w:bCs w:val="1"/>
          <w:color w:val="auto"/>
        </w:rPr>
        <w:t>Array Technologies, Inc.</w:t>
      </w:r>
    </w:p>
    <w:p>
      <w:pPr>
        <w:spacing w:after="0" w:line="31" w:lineRule="exact"/>
        <w:rPr>
          <w:sz w:val="20"/>
          <w:szCs w:val="20"/>
          <w:color w:val="auto"/>
        </w:rPr>
      </w:pPr>
    </w:p>
    <w:p>
      <w:pPr>
        <w:ind w:left="120"/>
        <w:spacing w:after="0"/>
        <w:rPr>
          <w:sz w:val="20"/>
          <w:szCs w:val="20"/>
          <w:color w:val="auto"/>
        </w:rPr>
      </w:pPr>
      <w:r>
        <w:rPr>
          <w:rFonts w:ascii="Arial" w:cs="Arial" w:eastAsia="Arial" w:hAnsi="Arial"/>
          <w:sz w:val="19"/>
          <w:szCs w:val="19"/>
          <w:b w:val="1"/>
          <w:bCs w:val="1"/>
          <w:color w:val="auto"/>
        </w:rPr>
        <w:t>Condensed Consolidated Statements of Changes in Redeemable Perpetual Preferred Stock and Stockholders’ Equity</w:t>
      </w:r>
    </w:p>
    <w:p>
      <w:pPr>
        <w:jc w:val="center"/>
        <w:spacing w:after="0"/>
        <w:rPr>
          <w:sz w:val="20"/>
          <w:szCs w:val="20"/>
          <w:color w:val="auto"/>
        </w:rPr>
      </w:pPr>
      <w:r>
        <w:rPr>
          <w:rFonts w:ascii="Arial" w:cs="Arial" w:eastAsia="Arial" w:hAnsi="Arial"/>
          <w:sz w:val="20"/>
          <w:szCs w:val="20"/>
          <w:b w:val="1"/>
          <w:bCs w:val="1"/>
          <w:i w:val="1"/>
          <w:iCs w:val="1"/>
          <w:color w:val="auto"/>
        </w:rPr>
        <w:t>(unaudited)</w:t>
      </w:r>
    </w:p>
    <w:tbl>
      <w:tblPr>
        <w:tblLayout w:type="fixed"/>
        <w:tblInd w:w="0" w:type="dxa"/>
        <w:tblCellMar>
          <w:top w:w="0" w:type="dxa"/>
          <w:left w:w="0" w:type="dxa"/>
          <w:bottom w:w="0" w:type="dxa"/>
          <w:right w:w="0" w:type="dxa"/>
        </w:tblCellMar>
      </w:tblPr>
      <w:tr>
        <w:trPr>
          <w:trHeight w:val="261"/>
        </w:trPr>
        <w:tc>
          <w:tcPr>
            <w:tcW w:w="11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780" w:type="dxa"/>
            <w:vAlign w:val="bottom"/>
            <w:gridSpan w:val="6"/>
          </w:tcPr>
          <w:p>
            <w:pPr>
              <w:jc w:val="right"/>
              <w:spacing w:after="0"/>
              <w:rPr>
                <w:sz w:val="20"/>
                <w:szCs w:val="20"/>
                <w:color w:val="auto"/>
              </w:rPr>
            </w:pPr>
            <w:r>
              <w:rPr>
                <w:rFonts w:ascii="Arial" w:cs="Arial" w:eastAsia="Arial" w:hAnsi="Arial"/>
                <w:sz w:val="20"/>
                <w:szCs w:val="20"/>
                <w:i w:val="1"/>
                <w:iCs w:val="1"/>
                <w:color w:val="auto"/>
              </w:rPr>
              <w:t>(in thousands)</w:t>
            </w:r>
          </w:p>
        </w:tc>
        <w:tc>
          <w:tcPr>
            <w:tcW w:w="8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38"/>
        </w:trPr>
        <w:tc>
          <w:tcPr>
            <w:tcW w:w="4000" w:type="dxa"/>
            <w:vAlign w:val="bottom"/>
            <w:gridSpan w:val="9"/>
          </w:tcPr>
          <w:p>
            <w:pPr>
              <w:spacing w:after="0"/>
              <w:rPr>
                <w:sz w:val="20"/>
                <w:szCs w:val="20"/>
                <w:color w:val="auto"/>
              </w:rPr>
            </w:pPr>
            <w:r>
              <w:rPr>
                <w:rFonts w:ascii="Arial" w:cs="Arial" w:eastAsia="Arial" w:hAnsi="Arial"/>
                <w:sz w:val="20"/>
                <w:szCs w:val="20"/>
                <w:b w:val="1"/>
                <w:bCs w:val="1"/>
                <w:i w:val="1"/>
                <w:iCs w:val="1"/>
                <w:color w:val="auto"/>
              </w:rPr>
              <w:t>Nine Months Ended September 30, 2024</w:t>
            </w: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1680" w:type="dxa"/>
            <w:vAlign w:val="bottom"/>
            <w:gridSpan w:val="4"/>
            <w:vMerge w:val="restart"/>
          </w:tcPr>
          <w:p>
            <w:pPr>
              <w:jc w:val="center"/>
              <w:ind w:right="80"/>
              <w:spacing w:after="0"/>
              <w:rPr>
                <w:sz w:val="20"/>
                <w:szCs w:val="20"/>
                <w:color w:val="auto"/>
              </w:rPr>
            </w:pPr>
            <w:r>
              <w:rPr>
                <w:rFonts w:ascii="Arial" w:cs="Arial" w:eastAsia="Arial" w:hAnsi="Arial"/>
                <w:sz w:val="18"/>
                <w:szCs w:val="18"/>
                <w:b w:val="1"/>
                <w:bCs w:val="1"/>
                <w:color w:val="auto"/>
                <w:w w:val="99"/>
              </w:rPr>
              <w:t>Temporary Equity</w:t>
            </w: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0" w:type="dxa"/>
            <w:vAlign w:val="bottom"/>
            <w:gridSpan w:val="5"/>
            <w:vMerge w:val="restart"/>
          </w:tcPr>
          <w:p>
            <w:pPr>
              <w:spacing w:after="0"/>
              <w:rPr>
                <w:sz w:val="20"/>
                <w:szCs w:val="20"/>
                <w:color w:val="auto"/>
              </w:rPr>
            </w:pPr>
            <w:r>
              <w:rPr>
                <w:rFonts w:ascii="Arial" w:cs="Arial" w:eastAsia="Arial" w:hAnsi="Arial"/>
                <w:sz w:val="18"/>
                <w:szCs w:val="18"/>
                <w:b w:val="1"/>
                <w:bCs w:val="1"/>
                <w:color w:val="auto"/>
              </w:rPr>
              <w:t>Permanent Equity</w:t>
            </w:r>
          </w:p>
        </w:tc>
        <w:tc>
          <w:tcPr>
            <w:tcW w:w="1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1180" w:type="dxa"/>
            <w:vAlign w:val="bottom"/>
          </w:tcPr>
          <w:p>
            <w:pPr>
              <w:spacing w:after="0"/>
              <w:rPr>
                <w:sz w:val="19"/>
                <w:szCs w:val="19"/>
                <w:color w:val="auto"/>
              </w:rPr>
            </w:pPr>
          </w:p>
        </w:tc>
        <w:tc>
          <w:tcPr>
            <w:tcW w:w="1680" w:type="dxa"/>
            <w:vAlign w:val="bottom"/>
            <w:gridSpan w:val="4"/>
            <w:vMerge w:val="continue"/>
          </w:tcPr>
          <w:p>
            <w:pPr>
              <w:spacing w:after="0"/>
              <w:rPr>
                <w:sz w:val="19"/>
                <w:szCs w:val="19"/>
                <w:color w:val="auto"/>
              </w:rPr>
            </w:pPr>
          </w:p>
        </w:tc>
        <w:tc>
          <w:tcPr>
            <w:tcW w:w="20" w:type="dxa"/>
            <w:vAlign w:val="bottom"/>
            <w:shd w:val="clear" w:color="auto" w:fill="000000"/>
          </w:tcPr>
          <w:p>
            <w:pPr>
              <w:spacing w:after="0"/>
              <w:rPr>
                <w:sz w:val="19"/>
                <w:szCs w:val="19"/>
                <w:color w:val="auto"/>
              </w:rPr>
            </w:pPr>
          </w:p>
        </w:tc>
        <w:tc>
          <w:tcPr>
            <w:tcW w:w="7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0" w:type="dxa"/>
            <w:vAlign w:val="bottom"/>
            <w:gridSpan w:val="5"/>
            <w:vMerge w:val="continue"/>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1180" w:type="dxa"/>
            <w:vAlign w:val="bottom"/>
          </w:tcPr>
          <w:p>
            <w:pPr>
              <w:spacing w:after="0"/>
              <w:rPr>
                <w:sz w:val="14"/>
                <w:szCs w:val="14"/>
                <w:color w:val="auto"/>
              </w:rPr>
            </w:pPr>
          </w:p>
        </w:tc>
        <w:tc>
          <w:tcPr>
            <w:tcW w:w="1600" w:type="dxa"/>
            <w:vAlign w:val="bottom"/>
            <w:tcBorders>
              <w:top w:val="single" w:sz="8" w:color="auto"/>
            </w:tcBorders>
            <w:gridSpan w:val="3"/>
          </w:tcPr>
          <w:p>
            <w:pPr>
              <w:jc w:val="center"/>
              <w:spacing w:after="0" w:line="169" w:lineRule="exact"/>
              <w:rPr>
                <w:sz w:val="20"/>
                <w:szCs w:val="20"/>
                <w:color w:val="auto"/>
              </w:rPr>
            </w:pPr>
            <w:r>
              <w:rPr>
                <w:rFonts w:ascii="Arial" w:cs="Arial" w:eastAsia="Arial" w:hAnsi="Arial"/>
                <w:sz w:val="18"/>
                <w:szCs w:val="18"/>
                <w:b w:val="1"/>
                <w:bCs w:val="1"/>
                <w:color w:val="auto"/>
                <w:w w:val="99"/>
              </w:rPr>
              <w:t>Series A</w:t>
            </w:r>
          </w:p>
        </w:tc>
        <w:tc>
          <w:tcPr>
            <w:tcW w:w="80" w:type="dxa"/>
            <w:vAlign w:val="bottom"/>
          </w:tcPr>
          <w:p>
            <w:pPr>
              <w:spacing w:after="0"/>
              <w:rPr>
                <w:sz w:val="14"/>
                <w:szCs w:val="14"/>
                <w:color w:val="auto"/>
              </w:rPr>
            </w:pPr>
          </w:p>
        </w:tc>
        <w:tc>
          <w:tcPr>
            <w:tcW w:w="20" w:type="dxa"/>
            <w:vAlign w:val="bottom"/>
            <w:tcBorders>
              <w:top w:val="single" w:sz="8" w:color="auto"/>
            </w:tcBorders>
            <w:shd w:val="clear" w:color="auto" w:fill="000000"/>
          </w:tcPr>
          <w:p>
            <w:pPr>
              <w:spacing w:after="0"/>
              <w:rPr>
                <w:sz w:val="14"/>
                <w:szCs w:val="14"/>
                <w:color w:val="auto"/>
              </w:rPr>
            </w:pPr>
          </w:p>
        </w:tc>
        <w:tc>
          <w:tcPr>
            <w:tcW w:w="74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44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74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50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86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26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100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1180" w:type="dxa"/>
            <w:vAlign w:val="bottom"/>
          </w:tcPr>
          <w:p>
            <w:pPr>
              <w:spacing w:after="0"/>
              <w:rPr>
                <w:sz w:val="15"/>
                <w:szCs w:val="15"/>
                <w:color w:val="auto"/>
              </w:rPr>
            </w:pPr>
          </w:p>
        </w:tc>
        <w:tc>
          <w:tcPr>
            <w:tcW w:w="1680" w:type="dxa"/>
            <w:vAlign w:val="bottom"/>
            <w:gridSpan w:val="4"/>
          </w:tcPr>
          <w:p>
            <w:pPr>
              <w:jc w:val="center"/>
              <w:ind w:right="100"/>
              <w:spacing w:after="0" w:line="176" w:lineRule="exact"/>
              <w:rPr>
                <w:sz w:val="20"/>
                <w:szCs w:val="20"/>
                <w:color w:val="auto"/>
              </w:rPr>
            </w:pPr>
            <w:r>
              <w:rPr>
                <w:rFonts w:ascii="Arial" w:cs="Arial" w:eastAsia="Arial" w:hAnsi="Arial"/>
                <w:sz w:val="18"/>
                <w:szCs w:val="18"/>
                <w:b w:val="1"/>
                <w:bCs w:val="1"/>
                <w:color w:val="auto"/>
                <w:w w:val="99"/>
              </w:rPr>
              <w:t>Redeemable</w:t>
            </w:r>
          </w:p>
        </w:tc>
        <w:tc>
          <w:tcPr>
            <w:tcW w:w="20" w:type="dxa"/>
            <w:vAlign w:val="bottom"/>
            <w:shd w:val="clear" w:color="auto" w:fill="000000"/>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1180" w:type="dxa"/>
            <w:vAlign w:val="bottom"/>
          </w:tcPr>
          <w:p>
            <w:pPr>
              <w:spacing w:after="0"/>
              <w:rPr>
                <w:sz w:val="15"/>
                <w:szCs w:val="15"/>
                <w:color w:val="auto"/>
              </w:rPr>
            </w:pPr>
          </w:p>
        </w:tc>
        <w:tc>
          <w:tcPr>
            <w:tcW w:w="1680" w:type="dxa"/>
            <w:vAlign w:val="bottom"/>
            <w:gridSpan w:val="4"/>
          </w:tcPr>
          <w:p>
            <w:pPr>
              <w:jc w:val="center"/>
              <w:ind w:right="100"/>
              <w:spacing w:after="0" w:line="183" w:lineRule="exact"/>
              <w:rPr>
                <w:sz w:val="20"/>
                <w:szCs w:val="20"/>
                <w:color w:val="auto"/>
              </w:rPr>
            </w:pPr>
            <w:r>
              <w:rPr>
                <w:rFonts w:ascii="Arial" w:cs="Arial" w:eastAsia="Arial" w:hAnsi="Arial"/>
                <w:sz w:val="18"/>
                <w:szCs w:val="18"/>
                <w:b w:val="1"/>
                <w:bCs w:val="1"/>
                <w:color w:val="auto"/>
                <w:w w:val="99"/>
              </w:rPr>
              <w:t>Perpetual</w:t>
            </w:r>
          </w:p>
        </w:tc>
        <w:tc>
          <w:tcPr>
            <w:tcW w:w="20" w:type="dxa"/>
            <w:vAlign w:val="bottom"/>
            <w:shd w:val="clear" w:color="auto" w:fill="000000"/>
          </w:tcPr>
          <w:p>
            <w:pPr>
              <w:spacing w:after="0"/>
              <w:rPr>
                <w:sz w:val="15"/>
                <w:szCs w:val="15"/>
                <w:color w:val="auto"/>
              </w:rPr>
            </w:pPr>
          </w:p>
        </w:tc>
        <w:tc>
          <w:tcPr>
            <w:tcW w:w="1660" w:type="dxa"/>
            <w:vAlign w:val="bottom"/>
            <w:gridSpan w:val="5"/>
            <w:vMerge w:val="restart"/>
          </w:tcPr>
          <w:p>
            <w:pPr>
              <w:ind w:left="140"/>
              <w:spacing w:after="0"/>
              <w:rPr>
                <w:sz w:val="20"/>
                <w:szCs w:val="20"/>
                <w:color w:val="auto"/>
              </w:rPr>
            </w:pPr>
            <w:r>
              <w:rPr>
                <w:rFonts w:ascii="Arial" w:cs="Arial" w:eastAsia="Arial" w:hAnsi="Arial"/>
                <w:sz w:val="18"/>
                <w:szCs w:val="18"/>
                <w:b w:val="1"/>
                <w:bCs w:val="1"/>
                <w:color w:val="auto"/>
              </w:rPr>
              <w:t>Preferred Stock</w:t>
            </w:r>
          </w:p>
        </w:tc>
        <w:tc>
          <w:tcPr>
            <w:tcW w:w="1660" w:type="dxa"/>
            <w:vAlign w:val="bottom"/>
            <w:gridSpan w:val="5"/>
            <w:vMerge w:val="restart"/>
          </w:tcPr>
          <w:p>
            <w:pPr>
              <w:ind w:left="120"/>
              <w:spacing w:after="0"/>
              <w:rPr>
                <w:sz w:val="20"/>
                <w:szCs w:val="20"/>
                <w:color w:val="auto"/>
              </w:rPr>
            </w:pPr>
            <w:r>
              <w:rPr>
                <w:rFonts w:ascii="Arial" w:cs="Arial" w:eastAsia="Arial" w:hAnsi="Arial"/>
                <w:sz w:val="18"/>
                <w:szCs w:val="18"/>
                <w:b w:val="1"/>
                <w:bCs w:val="1"/>
                <w:color w:val="auto"/>
              </w:rPr>
              <w:t>Common Stock</w:t>
            </w: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5"/>
        </w:trPr>
        <w:tc>
          <w:tcPr>
            <w:tcW w:w="1180" w:type="dxa"/>
            <w:vAlign w:val="bottom"/>
          </w:tcPr>
          <w:p>
            <w:pPr>
              <w:spacing w:after="0"/>
              <w:rPr>
                <w:sz w:val="20"/>
                <w:szCs w:val="20"/>
                <w:color w:val="auto"/>
              </w:rPr>
            </w:pPr>
          </w:p>
        </w:tc>
        <w:tc>
          <w:tcPr>
            <w:tcW w:w="1680" w:type="dxa"/>
            <w:vAlign w:val="bottom"/>
            <w:gridSpan w:val="4"/>
          </w:tcPr>
          <w:p>
            <w:pPr>
              <w:jc w:val="center"/>
              <w:ind w:right="100"/>
              <w:spacing w:after="0"/>
              <w:rPr>
                <w:sz w:val="20"/>
                <w:szCs w:val="20"/>
                <w:color w:val="auto"/>
              </w:rPr>
            </w:pPr>
            <w:r>
              <w:rPr>
                <w:rFonts w:ascii="Arial" w:cs="Arial" w:eastAsia="Arial" w:hAnsi="Arial"/>
                <w:sz w:val="18"/>
                <w:szCs w:val="18"/>
                <w:b w:val="1"/>
                <w:bCs w:val="1"/>
                <w:color w:val="auto"/>
                <w:w w:val="99"/>
              </w:rPr>
              <w:t>Preferred Stock</w:t>
            </w:r>
          </w:p>
        </w:tc>
        <w:tc>
          <w:tcPr>
            <w:tcW w:w="20" w:type="dxa"/>
            <w:vAlign w:val="bottom"/>
            <w:shd w:val="clear" w:color="auto" w:fill="000000"/>
          </w:tcPr>
          <w:p>
            <w:pPr>
              <w:spacing w:after="0"/>
              <w:rPr>
                <w:sz w:val="20"/>
                <w:szCs w:val="20"/>
                <w:color w:val="auto"/>
              </w:rPr>
            </w:pPr>
          </w:p>
        </w:tc>
        <w:tc>
          <w:tcPr>
            <w:tcW w:w="1660" w:type="dxa"/>
            <w:vAlign w:val="bottom"/>
            <w:gridSpan w:val="5"/>
            <w:vMerge w:val="continue"/>
          </w:tcPr>
          <w:p>
            <w:pPr>
              <w:spacing w:after="0"/>
              <w:rPr>
                <w:sz w:val="20"/>
                <w:szCs w:val="20"/>
                <w:color w:val="auto"/>
              </w:rPr>
            </w:pPr>
          </w:p>
        </w:tc>
        <w:tc>
          <w:tcPr>
            <w:tcW w:w="1660" w:type="dxa"/>
            <w:vAlign w:val="bottom"/>
            <w:gridSpan w:val="5"/>
            <w:vMerge w:val="continue"/>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gridSpan w:val="2"/>
            <w:vMerge w:val="restart"/>
          </w:tcPr>
          <w:p>
            <w:pPr>
              <w:jc w:val="center"/>
              <w:ind w:right="220"/>
              <w:spacing w:after="0"/>
              <w:rPr>
                <w:sz w:val="20"/>
                <w:szCs w:val="20"/>
                <w:color w:val="auto"/>
              </w:rPr>
            </w:pPr>
            <w:r>
              <w:rPr>
                <w:rFonts w:ascii="Arial" w:cs="Arial" w:eastAsia="Arial" w:hAnsi="Arial"/>
                <w:sz w:val="18"/>
                <w:szCs w:val="18"/>
                <w:b w:val="1"/>
                <w:bCs w:val="1"/>
                <w:color w:val="auto"/>
                <w:w w:val="99"/>
              </w:rPr>
              <w:t>Accumulated</w:t>
            </w:r>
          </w:p>
        </w:tc>
        <w:tc>
          <w:tcPr>
            <w:tcW w:w="2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6"/>
        </w:trPr>
        <w:tc>
          <w:tcPr>
            <w:tcW w:w="1180" w:type="dxa"/>
            <w:vAlign w:val="bottom"/>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Borders>
              <w:top w:val="single" w:sz="8" w:color="auto"/>
            </w:tcBorders>
            <w:shd w:val="clear" w:color="auto" w:fill="000000"/>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4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5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gridSpan w:val="3"/>
            <w:vMerge w:val="restart"/>
          </w:tcPr>
          <w:p>
            <w:pPr>
              <w:jc w:val="center"/>
              <w:ind w:right="100"/>
              <w:spacing w:after="0"/>
              <w:rPr>
                <w:sz w:val="20"/>
                <w:szCs w:val="20"/>
                <w:color w:val="auto"/>
              </w:rPr>
            </w:pPr>
            <w:r>
              <w:rPr>
                <w:rFonts w:ascii="Arial" w:cs="Arial" w:eastAsia="Arial" w:hAnsi="Arial"/>
                <w:sz w:val="18"/>
                <w:szCs w:val="18"/>
                <w:b w:val="1"/>
                <w:bCs w:val="1"/>
                <w:color w:val="auto"/>
                <w:w w:val="99"/>
              </w:rPr>
              <w:t>Additional</w:t>
            </w:r>
          </w:p>
        </w:tc>
        <w:tc>
          <w:tcPr>
            <w:tcW w:w="2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40" w:type="dxa"/>
            <w:vAlign w:val="bottom"/>
            <w:gridSpan w:val="2"/>
            <w:vMerge w:val="continue"/>
          </w:tcPr>
          <w:p>
            <w:pPr>
              <w:spacing w:after="0"/>
              <w:rPr>
                <w:sz w:val="13"/>
                <w:szCs w:val="13"/>
                <w:color w:val="auto"/>
              </w:rPr>
            </w:pPr>
          </w:p>
        </w:tc>
        <w:tc>
          <w:tcPr>
            <w:tcW w:w="240" w:type="dxa"/>
            <w:vAlign w:val="bottom"/>
          </w:tcPr>
          <w:p>
            <w:pPr>
              <w:spacing w:after="0"/>
              <w:rPr>
                <w:sz w:val="13"/>
                <w:szCs w:val="13"/>
                <w:color w:val="auto"/>
              </w:rPr>
            </w:pPr>
          </w:p>
        </w:tc>
        <w:tc>
          <w:tcPr>
            <w:tcW w:w="1000" w:type="dxa"/>
            <w:vAlign w:val="bottom"/>
            <w:vMerge w:val="restart"/>
          </w:tcPr>
          <w:p>
            <w:pPr>
              <w:jc w:val="right"/>
              <w:ind w:right="33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175"/>
        </w:trPr>
        <w:tc>
          <w:tcPr>
            <w:tcW w:w="11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shd w:val="clear" w:color="auto" w:fill="000000"/>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gridSpan w:val="3"/>
            <w:vMerge w:val="continue"/>
          </w:tcPr>
          <w:p>
            <w:pPr>
              <w:spacing w:after="0"/>
              <w:rPr>
                <w:sz w:val="15"/>
                <w:szCs w:val="15"/>
                <w:color w:val="auto"/>
              </w:rPr>
            </w:pPr>
          </w:p>
        </w:tc>
        <w:tc>
          <w:tcPr>
            <w:tcW w:w="1260" w:type="dxa"/>
            <w:vAlign w:val="bottom"/>
            <w:gridSpan w:val="3"/>
            <w:vMerge w:val="restart"/>
          </w:tcPr>
          <w:p>
            <w:pPr>
              <w:ind w:left="20"/>
              <w:spacing w:after="0"/>
              <w:rPr>
                <w:sz w:val="20"/>
                <w:szCs w:val="20"/>
                <w:color w:val="auto"/>
              </w:rPr>
            </w:pPr>
            <w:r>
              <w:rPr>
                <w:rFonts w:ascii="Arial" w:cs="Arial" w:eastAsia="Arial" w:hAnsi="Arial"/>
                <w:sz w:val="18"/>
                <w:szCs w:val="18"/>
                <w:b w:val="1"/>
                <w:bCs w:val="1"/>
                <w:color w:val="auto"/>
              </w:rPr>
              <w:t>Accumulated</w:t>
            </w:r>
          </w:p>
        </w:tc>
        <w:tc>
          <w:tcPr>
            <w:tcW w:w="140" w:type="dxa"/>
            <w:vAlign w:val="bottom"/>
          </w:tcPr>
          <w:p>
            <w:pPr>
              <w:spacing w:after="0"/>
              <w:rPr>
                <w:sz w:val="15"/>
                <w:szCs w:val="15"/>
                <w:color w:val="auto"/>
              </w:rPr>
            </w:pPr>
          </w:p>
        </w:tc>
        <w:tc>
          <w:tcPr>
            <w:tcW w:w="1340" w:type="dxa"/>
            <w:vAlign w:val="bottom"/>
            <w:gridSpan w:val="2"/>
          </w:tcPr>
          <w:p>
            <w:pPr>
              <w:jc w:val="center"/>
              <w:ind w:right="220"/>
              <w:spacing w:after="0" w:line="176" w:lineRule="exact"/>
              <w:rPr>
                <w:sz w:val="20"/>
                <w:szCs w:val="20"/>
                <w:color w:val="auto"/>
              </w:rPr>
            </w:pPr>
            <w:r>
              <w:rPr>
                <w:rFonts w:ascii="Arial" w:cs="Arial" w:eastAsia="Arial" w:hAnsi="Arial"/>
                <w:sz w:val="18"/>
                <w:szCs w:val="18"/>
                <w:b w:val="1"/>
                <w:bCs w:val="1"/>
                <w:color w:val="auto"/>
                <w:w w:val="99"/>
              </w:rPr>
              <w:t>Other</w:t>
            </w:r>
          </w:p>
        </w:tc>
        <w:tc>
          <w:tcPr>
            <w:tcW w:w="240" w:type="dxa"/>
            <w:vAlign w:val="bottom"/>
          </w:tcPr>
          <w:p>
            <w:pPr>
              <w:spacing w:after="0"/>
              <w:rPr>
                <w:sz w:val="15"/>
                <w:szCs w:val="15"/>
                <w:color w:val="auto"/>
              </w:rPr>
            </w:pPr>
          </w:p>
        </w:tc>
        <w:tc>
          <w:tcPr>
            <w:tcW w:w="10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180" w:type="dxa"/>
            <w:vAlign w:val="bottom"/>
          </w:tcPr>
          <w:p>
            <w:pPr>
              <w:spacing w:after="0"/>
              <w:rPr>
                <w:sz w:val="15"/>
                <w:szCs w:val="15"/>
                <w:color w:val="auto"/>
              </w:rPr>
            </w:pPr>
          </w:p>
        </w:tc>
        <w:tc>
          <w:tcPr>
            <w:tcW w:w="74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rPr>
              <w:t>Shares</w:t>
            </w:r>
          </w:p>
        </w:tc>
        <w:tc>
          <w:tcPr>
            <w:tcW w:w="940" w:type="dxa"/>
            <w:vAlign w:val="bottom"/>
            <w:gridSpan w:val="2"/>
            <w:vMerge w:val="restart"/>
          </w:tcPr>
          <w:p>
            <w:pPr>
              <w:ind w:left="80"/>
              <w:spacing w:after="0"/>
              <w:rPr>
                <w:sz w:val="20"/>
                <w:szCs w:val="20"/>
                <w:color w:val="auto"/>
              </w:rPr>
            </w:pPr>
            <w:r>
              <w:rPr>
                <w:rFonts w:ascii="Arial" w:cs="Arial" w:eastAsia="Arial" w:hAnsi="Arial"/>
                <w:sz w:val="18"/>
                <w:szCs w:val="18"/>
                <w:b w:val="1"/>
                <w:bCs w:val="1"/>
                <w:color w:val="auto"/>
              </w:rPr>
              <w:t>Amount</w:t>
            </w:r>
          </w:p>
        </w:tc>
        <w:tc>
          <w:tcPr>
            <w:tcW w:w="20" w:type="dxa"/>
            <w:vAlign w:val="bottom"/>
            <w:shd w:val="clear" w:color="auto" w:fill="000000"/>
          </w:tcPr>
          <w:p>
            <w:pPr>
              <w:spacing w:after="0"/>
              <w:rPr>
                <w:sz w:val="15"/>
                <w:szCs w:val="15"/>
                <w:color w:val="auto"/>
              </w:rPr>
            </w:pPr>
          </w:p>
        </w:tc>
        <w:tc>
          <w:tcPr>
            <w:tcW w:w="820" w:type="dxa"/>
            <w:vAlign w:val="bottom"/>
            <w:gridSpan w:val="2"/>
            <w:vMerge w:val="restart"/>
          </w:tcPr>
          <w:p>
            <w:pPr>
              <w:ind w:left="100"/>
              <w:spacing w:after="0"/>
              <w:rPr>
                <w:sz w:val="20"/>
                <w:szCs w:val="20"/>
                <w:color w:val="auto"/>
              </w:rPr>
            </w:pPr>
            <w:r>
              <w:rPr>
                <w:rFonts w:ascii="Arial" w:cs="Arial" w:eastAsia="Arial" w:hAnsi="Arial"/>
                <w:sz w:val="18"/>
                <w:szCs w:val="18"/>
                <w:b w:val="1"/>
                <w:bCs w:val="1"/>
                <w:color w:val="auto"/>
              </w:rPr>
              <w:t>Shares</w:t>
            </w:r>
          </w:p>
        </w:tc>
        <w:tc>
          <w:tcPr>
            <w:tcW w:w="840" w:type="dxa"/>
            <w:vAlign w:val="bottom"/>
            <w:gridSpan w:val="3"/>
            <w:vMerge w:val="restart"/>
          </w:tcPr>
          <w:p>
            <w:pPr>
              <w:ind w:left="40"/>
              <w:spacing w:after="0"/>
              <w:rPr>
                <w:sz w:val="20"/>
                <w:szCs w:val="20"/>
                <w:color w:val="auto"/>
              </w:rPr>
            </w:pPr>
            <w:r>
              <w:rPr>
                <w:rFonts w:ascii="Arial" w:cs="Arial" w:eastAsia="Arial" w:hAnsi="Arial"/>
                <w:sz w:val="18"/>
                <w:szCs w:val="18"/>
                <w:b w:val="1"/>
                <w:bCs w:val="1"/>
                <w:color w:val="auto"/>
              </w:rPr>
              <w:t>Amount</w:t>
            </w:r>
          </w:p>
        </w:tc>
        <w:tc>
          <w:tcPr>
            <w:tcW w:w="820" w:type="dxa"/>
            <w:vAlign w:val="bottom"/>
            <w:gridSpan w:val="2"/>
            <w:vMerge w:val="restart"/>
          </w:tcPr>
          <w:p>
            <w:pPr>
              <w:ind w:left="60"/>
              <w:spacing w:after="0"/>
              <w:rPr>
                <w:sz w:val="20"/>
                <w:szCs w:val="20"/>
                <w:color w:val="auto"/>
              </w:rPr>
            </w:pPr>
            <w:r>
              <w:rPr>
                <w:rFonts w:ascii="Arial" w:cs="Arial" w:eastAsia="Arial" w:hAnsi="Arial"/>
                <w:sz w:val="18"/>
                <w:szCs w:val="18"/>
                <w:b w:val="1"/>
                <w:bCs w:val="1"/>
                <w:color w:val="auto"/>
              </w:rPr>
              <w:t>Shares</w:t>
            </w:r>
          </w:p>
        </w:tc>
        <w:tc>
          <w:tcPr>
            <w:tcW w:w="840" w:type="dxa"/>
            <w:vAlign w:val="bottom"/>
            <w:gridSpan w:val="3"/>
            <w:vMerge w:val="restart"/>
          </w:tcPr>
          <w:p>
            <w:pPr>
              <w:ind w:left="40"/>
              <w:spacing w:after="0"/>
              <w:rPr>
                <w:sz w:val="20"/>
                <w:szCs w:val="20"/>
                <w:color w:val="auto"/>
              </w:rPr>
            </w:pPr>
            <w:r>
              <w:rPr>
                <w:rFonts w:ascii="Arial" w:cs="Arial" w:eastAsia="Arial" w:hAnsi="Arial"/>
                <w:sz w:val="18"/>
                <w:szCs w:val="18"/>
                <w:b w:val="1"/>
                <w:bCs w:val="1"/>
                <w:color w:val="auto"/>
              </w:rPr>
              <w:t>Amount</w:t>
            </w:r>
          </w:p>
        </w:tc>
        <w:tc>
          <w:tcPr>
            <w:tcW w:w="120" w:type="dxa"/>
            <w:vAlign w:val="bottom"/>
          </w:tcPr>
          <w:p>
            <w:pPr>
              <w:spacing w:after="0"/>
              <w:rPr>
                <w:sz w:val="15"/>
                <w:szCs w:val="15"/>
                <w:color w:val="auto"/>
              </w:rPr>
            </w:pPr>
          </w:p>
        </w:tc>
        <w:tc>
          <w:tcPr>
            <w:tcW w:w="940" w:type="dxa"/>
            <w:vAlign w:val="bottom"/>
            <w:gridSpan w:val="2"/>
          </w:tcPr>
          <w:p>
            <w:pPr>
              <w:jc w:val="center"/>
              <w:ind w:right="220"/>
              <w:spacing w:after="0" w:line="176" w:lineRule="exact"/>
              <w:rPr>
                <w:sz w:val="20"/>
                <w:szCs w:val="20"/>
                <w:color w:val="auto"/>
              </w:rPr>
            </w:pPr>
            <w:r>
              <w:rPr>
                <w:rFonts w:ascii="Arial" w:cs="Arial" w:eastAsia="Arial" w:hAnsi="Arial"/>
                <w:sz w:val="18"/>
                <w:szCs w:val="18"/>
                <w:b w:val="1"/>
                <w:bCs w:val="1"/>
                <w:color w:val="auto"/>
                <w:w w:val="99"/>
              </w:rPr>
              <w:t>Paid-In</w:t>
            </w:r>
          </w:p>
        </w:tc>
        <w:tc>
          <w:tcPr>
            <w:tcW w:w="1260" w:type="dxa"/>
            <w:vAlign w:val="bottom"/>
            <w:gridSpan w:val="3"/>
            <w:vMerge w:val="continue"/>
          </w:tcPr>
          <w:p>
            <w:pPr>
              <w:spacing w:after="0"/>
              <w:rPr>
                <w:sz w:val="15"/>
                <w:szCs w:val="15"/>
                <w:color w:val="auto"/>
              </w:rPr>
            </w:pPr>
          </w:p>
        </w:tc>
        <w:tc>
          <w:tcPr>
            <w:tcW w:w="1480" w:type="dxa"/>
            <w:vAlign w:val="bottom"/>
            <w:gridSpan w:val="3"/>
          </w:tcPr>
          <w:p>
            <w:pPr>
              <w:jc w:val="center"/>
              <w:ind w:right="80"/>
              <w:spacing w:after="0" w:line="176" w:lineRule="exact"/>
              <w:rPr>
                <w:sz w:val="20"/>
                <w:szCs w:val="20"/>
                <w:color w:val="auto"/>
              </w:rPr>
            </w:pPr>
            <w:r>
              <w:rPr>
                <w:rFonts w:ascii="Arial" w:cs="Arial" w:eastAsia="Arial" w:hAnsi="Arial"/>
                <w:sz w:val="18"/>
                <w:szCs w:val="18"/>
                <w:b w:val="1"/>
                <w:bCs w:val="1"/>
                <w:color w:val="auto"/>
              </w:rPr>
              <w:t>Comprehensive</w:t>
            </w:r>
          </w:p>
        </w:tc>
        <w:tc>
          <w:tcPr>
            <w:tcW w:w="1240" w:type="dxa"/>
            <w:vAlign w:val="bottom"/>
            <w:gridSpan w:val="2"/>
          </w:tcPr>
          <w:p>
            <w:pPr>
              <w:ind w:left="20"/>
              <w:spacing w:after="0" w:line="176" w:lineRule="exact"/>
              <w:rPr>
                <w:sz w:val="20"/>
                <w:szCs w:val="20"/>
                <w:color w:val="auto"/>
              </w:rPr>
            </w:pPr>
            <w:r>
              <w:rPr>
                <w:rFonts w:ascii="Arial" w:cs="Arial" w:eastAsia="Arial" w:hAnsi="Arial"/>
                <w:sz w:val="18"/>
                <w:szCs w:val="18"/>
                <w:b w:val="1"/>
                <w:bCs w:val="1"/>
                <w:color w:val="auto"/>
              </w:rPr>
              <w:t>Stockholders’</w:t>
            </w:r>
          </w:p>
        </w:tc>
        <w:tc>
          <w:tcPr>
            <w:tcW w:w="0" w:type="dxa"/>
            <w:vAlign w:val="bottom"/>
          </w:tcPr>
          <w:p>
            <w:pPr>
              <w:spacing w:after="0"/>
              <w:rPr>
                <w:sz w:val="1"/>
                <w:szCs w:val="1"/>
                <w:color w:val="auto"/>
              </w:rPr>
            </w:pPr>
          </w:p>
        </w:tc>
      </w:tr>
      <w:tr>
        <w:trPr>
          <w:trHeight w:val="243"/>
        </w:trPr>
        <w:tc>
          <w:tcPr>
            <w:tcW w:w="1180" w:type="dxa"/>
            <w:vAlign w:val="bottom"/>
          </w:tcPr>
          <w:p>
            <w:pPr>
              <w:spacing w:after="0"/>
              <w:rPr>
                <w:sz w:val="21"/>
                <w:szCs w:val="21"/>
                <w:color w:val="auto"/>
              </w:rPr>
            </w:pPr>
          </w:p>
        </w:tc>
        <w:tc>
          <w:tcPr>
            <w:tcW w:w="740" w:type="dxa"/>
            <w:vAlign w:val="bottom"/>
            <w:gridSpan w:val="2"/>
            <w:vMerge w:val="continue"/>
          </w:tcPr>
          <w:p>
            <w:pPr>
              <w:spacing w:after="0"/>
              <w:rPr>
                <w:sz w:val="21"/>
                <w:szCs w:val="21"/>
                <w:color w:val="auto"/>
              </w:rPr>
            </w:pPr>
          </w:p>
        </w:tc>
        <w:tc>
          <w:tcPr>
            <w:tcW w:w="940" w:type="dxa"/>
            <w:vAlign w:val="bottom"/>
            <w:gridSpan w:val="2"/>
            <w:vMerge w:val="continue"/>
          </w:tcPr>
          <w:p>
            <w:pPr>
              <w:spacing w:after="0"/>
              <w:rPr>
                <w:sz w:val="21"/>
                <w:szCs w:val="21"/>
                <w:color w:val="auto"/>
              </w:rPr>
            </w:pPr>
          </w:p>
        </w:tc>
        <w:tc>
          <w:tcPr>
            <w:tcW w:w="20" w:type="dxa"/>
            <w:vAlign w:val="bottom"/>
            <w:shd w:val="clear" w:color="auto" w:fill="000000"/>
          </w:tcPr>
          <w:p>
            <w:pPr>
              <w:spacing w:after="0"/>
              <w:rPr>
                <w:sz w:val="21"/>
                <w:szCs w:val="21"/>
                <w:color w:val="auto"/>
              </w:rPr>
            </w:pPr>
          </w:p>
        </w:tc>
        <w:tc>
          <w:tcPr>
            <w:tcW w:w="820" w:type="dxa"/>
            <w:vAlign w:val="bottom"/>
            <w:gridSpan w:val="2"/>
            <w:vMerge w:val="continue"/>
          </w:tcPr>
          <w:p>
            <w:pPr>
              <w:spacing w:after="0"/>
              <w:rPr>
                <w:sz w:val="21"/>
                <w:szCs w:val="21"/>
                <w:color w:val="auto"/>
              </w:rPr>
            </w:pPr>
          </w:p>
        </w:tc>
        <w:tc>
          <w:tcPr>
            <w:tcW w:w="840" w:type="dxa"/>
            <w:vAlign w:val="bottom"/>
            <w:gridSpan w:val="3"/>
            <w:vMerge w:val="continue"/>
          </w:tcPr>
          <w:p>
            <w:pPr>
              <w:spacing w:after="0"/>
              <w:rPr>
                <w:sz w:val="21"/>
                <w:szCs w:val="21"/>
                <w:color w:val="auto"/>
              </w:rPr>
            </w:pPr>
          </w:p>
        </w:tc>
        <w:tc>
          <w:tcPr>
            <w:tcW w:w="820" w:type="dxa"/>
            <w:vAlign w:val="bottom"/>
            <w:gridSpan w:val="2"/>
            <w:vMerge w:val="continue"/>
          </w:tcPr>
          <w:p>
            <w:pPr>
              <w:spacing w:after="0"/>
              <w:rPr>
                <w:sz w:val="21"/>
                <w:szCs w:val="21"/>
                <w:color w:val="auto"/>
              </w:rPr>
            </w:pPr>
          </w:p>
        </w:tc>
        <w:tc>
          <w:tcPr>
            <w:tcW w:w="840" w:type="dxa"/>
            <w:vAlign w:val="bottom"/>
            <w:gridSpan w:val="3"/>
            <w:vMerge w:val="continue"/>
          </w:tcPr>
          <w:p>
            <w:pPr>
              <w:spacing w:after="0"/>
              <w:rPr>
                <w:sz w:val="21"/>
                <w:szCs w:val="21"/>
                <w:color w:val="auto"/>
              </w:rPr>
            </w:pPr>
          </w:p>
        </w:tc>
        <w:tc>
          <w:tcPr>
            <w:tcW w:w="120" w:type="dxa"/>
            <w:vAlign w:val="bottom"/>
          </w:tcPr>
          <w:p>
            <w:pPr>
              <w:spacing w:after="0"/>
              <w:rPr>
                <w:sz w:val="21"/>
                <w:szCs w:val="21"/>
                <w:color w:val="auto"/>
              </w:rPr>
            </w:pPr>
          </w:p>
        </w:tc>
        <w:tc>
          <w:tcPr>
            <w:tcW w:w="9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9"/>
              </w:rPr>
              <w:t>Capital</w:t>
            </w:r>
          </w:p>
        </w:tc>
        <w:tc>
          <w:tcPr>
            <w:tcW w:w="220" w:type="dxa"/>
            <w:vAlign w:val="bottom"/>
          </w:tcPr>
          <w:p>
            <w:pPr>
              <w:spacing w:after="0"/>
              <w:rPr>
                <w:sz w:val="21"/>
                <w:szCs w:val="21"/>
                <w:color w:val="auto"/>
              </w:rPr>
            </w:pPr>
          </w:p>
        </w:tc>
        <w:tc>
          <w:tcPr>
            <w:tcW w:w="1040" w:type="dxa"/>
            <w:vAlign w:val="bottom"/>
            <w:gridSpan w:val="2"/>
          </w:tcPr>
          <w:p>
            <w:pPr>
              <w:ind w:left="100"/>
              <w:spacing w:after="0"/>
              <w:rPr>
                <w:sz w:val="20"/>
                <w:szCs w:val="20"/>
                <w:color w:val="auto"/>
              </w:rPr>
            </w:pPr>
            <w:r>
              <w:rPr>
                <w:rFonts w:ascii="Arial" w:cs="Arial" w:eastAsia="Arial" w:hAnsi="Arial"/>
                <w:sz w:val="18"/>
                <w:szCs w:val="18"/>
                <w:b w:val="1"/>
                <w:bCs w:val="1"/>
                <w:color w:val="auto"/>
              </w:rPr>
              <w:t>Deficit</w:t>
            </w:r>
          </w:p>
        </w:tc>
        <w:tc>
          <w:tcPr>
            <w:tcW w:w="140" w:type="dxa"/>
            <w:vAlign w:val="bottom"/>
          </w:tcPr>
          <w:p>
            <w:pPr>
              <w:spacing w:after="0"/>
              <w:rPr>
                <w:sz w:val="21"/>
                <w:szCs w:val="21"/>
                <w:color w:val="auto"/>
              </w:rPr>
            </w:pPr>
          </w:p>
        </w:tc>
        <w:tc>
          <w:tcPr>
            <w:tcW w:w="13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9"/>
              </w:rPr>
              <w:t>Loss</w:t>
            </w:r>
          </w:p>
        </w:tc>
        <w:tc>
          <w:tcPr>
            <w:tcW w:w="240" w:type="dxa"/>
            <w:vAlign w:val="bottom"/>
          </w:tcPr>
          <w:p>
            <w:pPr>
              <w:spacing w:after="0"/>
              <w:rPr>
                <w:sz w:val="21"/>
                <w:szCs w:val="21"/>
                <w:color w:val="auto"/>
              </w:rPr>
            </w:pPr>
          </w:p>
        </w:tc>
        <w:tc>
          <w:tcPr>
            <w:tcW w:w="1000" w:type="dxa"/>
            <w:vAlign w:val="bottom"/>
          </w:tcPr>
          <w:p>
            <w:pPr>
              <w:jc w:val="right"/>
              <w:ind w:right="250"/>
              <w:spacing w:after="0"/>
              <w:rPr>
                <w:sz w:val="20"/>
                <w:szCs w:val="20"/>
                <w:color w:val="auto"/>
              </w:rPr>
            </w:pPr>
            <w:r>
              <w:rPr>
                <w:rFonts w:ascii="Arial" w:cs="Arial" w:eastAsia="Arial" w:hAnsi="Arial"/>
                <w:sz w:val="18"/>
                <w:szCs w:val="18"/>
                <w:b w:val="1"/>
                <w:bCs w:val="1"/>
                <w:color w:val="auto"/>
              </w:rPr>
              <w:t>Equity</w:t>
            </w:r>
          </w:p>
        </w:tc>
        <w:tc>
          <w:tcPr>
            <w:tcW w:w="0" w:type="dxa"/>
            <w:vAlign w:val="bottom"/>
          </w:tcPr>
          <w:p>
            <w:pPr>
              <w:spacing w:after="0"/>
              <w:rPr>
                <w:sz w:val="1"/>
                <w:szCs w:val="1"/>
                <w:color w:val="auto"/>
              </w:rPr>
            </w:pPr>
          </w:p>
        </w:tc>
      </w:tr>
      <w:tr>
        <w:trPr>
          <w:trHeight w:val="156"/>
        </w:trPr>
        <w:tc>
          <w:tcPr>
            <w:tcW w:w="1180" w:type="dxa"/>
            <w:vAlign w:val="bottom"/>
            <w:tcBorders>
              <w:top w:val="single" w:sz="8" w:color="CCEEFF"/>
            </w:tcBorders>
            <w:shd w:val="clear" w:color="auto" w:fill="CCEEFF"/>
          </w:tcPr>
          <w:p>
            <w:pPr>
              <w:ind w:left="20"/>
              <w:spacing w:after="0" w:line="156" w:lineRule="exact"/>
              <w:rPr>
                <w:sz w:val="20"/>
                <w:szCs w:val="20"/>
                <w:color w:val="auto"/>
              </w:rPr>
            </w:pPr>
            <w:r>
              <w:rPr>
                <w:rFonts w:ascii="Arial" w:cs="Arial" w:eastAsia="Arial" w:hAnsi="Arial"/>
                <w:sz w:val="18"/>
                <w:szCs w:val="18"/>
                <w:b w:val="1"/>
                <w:bCs w:val="1"/>
                <w:color w:val="auto"/>
              </w:rPr>
              <w:t>Balance at</w:t>
            </w:r>
          </w:p>
        </w:tc>
        <w:tc>
          <w:tcPr>
            <w:tcW w:w="66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86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auto"/>
            </w:tcBorders>
            <w:shd w:val="clear" w:color="auto" w:fill="000000"/>
          </w:tcPr>
          <w:p>
            <w:pPr>
              <w:spacing w:after="0"/>
              <w:rPr>
                <w:sz w:val="13"/>
                <w:szCs w:val="13"/>
                <w:color w:val="auto"/>
              </w:rPr>
            </w:pPr>
          </w:p>
        </w:tc>
        <w:tc>
          <w:tcPr>
            <w:tcW w:w="740" w:type="dxa"/>
            <w:vAlign w:val="bottom"/>
            <w:tcBorders>
              <w:top w:val="single" w:sz="8" w:color="auto"/>
              <w:left w:val="single" w:sz="8" w:color="CCEE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300" w:type="dxa"/>
            <w:vAlign w:val="bottom"/>
            <w:tcBorders>
              <w:top w:val="single" w:sz="8" w:color="auto"/>
            </w:tcBorders>
            <w:shd w:val="clear" w:color="auto" w:fill="CCEEFF"/>
          </w:tcPr>
          <w:p>
            <w:pPr>
              <w:spacing w:after="0"/>
              <w:rPr>
                <w:sz w:val="13"/>
                <w:szCs w:val="13"/>
                <w:color w:val="auto"/>
              </w:rPr>
            </w:pPr>
          </w:p>
        </w:tc>
        <w:tc>
          <w:tcPr>
            <w:tcW w:w="44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74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40" w:type="dxa"/>
            <w:vAlign w:val="bottom"/>
            <w:tcBorders>
              <w:top w:val="single" w:sz="8" w:color="auto"/>
            </w:tcBorders>
            <w:shd w:val="clear" w:color="auto" w:fill="CCEEFF"/>
          </w:tcPr>
          <w:p>
            <w:pPr>
              <w:spacing w:after="0"/>
              <w:rPr>
                <w:sz w:val="13"/>
                <w:szCs w:val="13"/>
                <w:color w:val="auto"/>
              </w:rPr>
            </w:pPr>
          </w:p>
        </w:tc>
        <w:tc>
          <w:tcPr>
            <w:tcW w:w="50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86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spacing w:after="0"/>
              <w:rPr>
                <w:sz w:val="13"/>
                <w:szCs w:val="13"/>
                <w:color w:val="auto"/>
              </w:rPr>
            </w:pPr>
          </w:p>
        </w:tc>
        <w:tc>
          <w:tcPr>
            <w:tcW w:w="96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126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40" w:type="dxa"/>
            <w:vAlign w:val="bottom"/>
            <w:tcBorders>
              <w:top w:val="single" w:sz="8" w:color="auto"/>
            </w:tcBorders>
            <w:shd w:val="clear" w:color="auto" w:fill="CCEEFF"/>
          </w:tcPr>
          <w:p>
            <w:pPr>
              <w:spacing w:after="0"/>
              <w:rPr>
                <w:sz w:val="13"/>
                <w:szCs w:val="13"/>
                <w:color w:val="auto"/>
              </w:rPr>
            </w:pPr>
          </w:p>
        </w:tc>
        <w:tc>
          <w:tcPr>
            <w:tcW w:w="100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118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b w:val="1"/>
                <w:bCs w:val="1"/>
                <w:color w:val="auto"/>
              </w:rPr>
              <w:t>December</w:t>
            </w: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432</w:t>
            </w:r>
          </w:p>
        </w:tc>
        <w:tc>
          <w:tcPr>
            <w:tcW w:w="80" w:type="dxa"/>
            <w:vAlign w:val="bottom"/>
            <w:shd w:val="clear" w:color="auto" w:fill="CCEEFF"/>
          </w:tcPr>
          <w:p>
            <w:pPr>
              <w:spacing w:after="0"/>
              <w:rPr>
                <w:sz w:val="15"/>
                <w:szCs w:val="15"/>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$351,260</w:t>
            </w:r>
          </w:p>
        </w:tc>
        <w:tc>
          <w:tcPr>
            <w:tcW w:w="80" w:type="dxa"/>
            <w:vAlign w:val="bottom"/>
            <w:shd w:val="clear" w:color="auto" w:fill="CCEEFF"/>
          </w:tcPr>
          <w:p>
            <w:pPr>
              <w:spacing w:after="0"/>
              <w:rPr>
                <w:sz w:val="15"/>
                <w:szCs w:val="15"/>
                <w:color w:val="auto"/>
              </w:rPr>
            </w:pPr>
          </w:p>
        </w:tc>
        <w:tc>
          <w:tcPr>
            <w:tcW w:w="20" w:type="dxa"/>
            <w:vAlign w:val="bottom"/>
            <w:shd w:val="clear" w:color="auto" w:fill="000000"/>
          </w:tcPr>
          <w:p>
            <w:pPr>
              <w:spacing w:after="0"/>
              <w:rPr>
                <w:sz w:val="15"/>
                <w:szCs w:val="15"/>
                <w:color w:val="auto"/>
              </w:rPr>
            </w:pPr>
          </w:p>
        </w:tc>
        <w:tc>
          <w:tcPr>
            <w:tcW w:w="820" w:type="dxa"/>
            <w:vAlign w:val="bottom"/>
            <w:tcBorders>
              <w:left w:val="single" w:sz="8" w:color="CCEEFF"/>
            </w:tcBorders>
            <w:gridSpan w:val="2"/>
            <w:vMerge w:val="restart"/>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300" w:type="dxa"/>
            <w:vAlign w:val="bottom"/>
            <w:vMerge w:val="restart"/>
            <w:shd w:val="clear" w:color="auto" w:fill="CCEEFF"/>
          </w:tcPr>
          <w:p>
            <w:pPr>
              <w:ind w:left="20"/>
              <w:spacing w:after="0"/>
              <w:rPr>
                <w:sz w:val="20"/>
                <w:szCs w:val="20"/>
                <w:color w:val="auto"/>
              </w:rPr>
            </w:pPr>
            <w:r>
              <w:rPr>
                <w:rFonts w:ascii="Arial" w:cs="Arial" w:eastAsia="Arial" w:hAnsi="Arial"/>
                <w:sz w:val="18"/>
                <w:szCs w:val="18"/>
                <w:color w:val="auto"/>
              </w:rPr>
              <w:t>$</w:t>
            </w:r>
          </w:p>
        </w:tc>
        <w:tc>
          <w:tcPr>
            <w:tcW w:w="540" w:type="dxa"/>
            <w:vAlign w:val="bottom"/>
            <w:gridSpan w:val="2"/>
            <w:vMerge w:val="restart"/>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8"/>
              </w:rPr>
              <w:t>151,242</w:t>
            </w:r>
          </w:p>
        </w:tc>
        <w:tc>
          <w:tcPr>
            <w:tcW w:w="80" w:type="dxa"/>
            <w:vAlign w:val="bottom"/>
            <w:shd w:val="clear" w:color="auto" w:fill="CCEEFF"/>
          </w:tcPr>
          <w:p>
            <w:pPr>
              <w:spacing w:after="0"/>
              <w:rPr>
                <w:sz w:val="15"/>
                <w:szCs w:val="15"/>
                <w:color w:val="auto"/>
              </w:rPr>
            </w:pPr>
          </w:p>
        </w:tc>
        <w:tc>
          <w:tcPr>
            <w:tcW w:w="240" w:type="dxa"/>
            <w:vAlign w:val="bottom"/>
            <w:vMerge w:val="restart"/>
            <w:shd w:val="clear" w:color="auto" w:fill="CCEEFF"/>
          </w:tcPr>
          <w:p>
            <w:pPr>
              <w:ind w:left="20"/>
              <w:spacing w:after="0"/>
              <w:rPr>
                <w:sz w:val="20"/>
                <w:szCs w:val="20"/>
                <w:color w:val="auto"/>
              </w:rPr>
            </w:pPr>
            <w:r>
              <w:rPr>
                <w:rFonts w:ascii="Arial" w:cs="Arial" w:eastAsia="Arial" w:hAnsi="Arial"/>
                <w:sz w:val="18"/>
                <w:szCs w:val="18"/>
                <w:color w:val="auto"/>
              </w:rPr>
              <w:t>$</w:t>
            </w:r>
          </w:p>
        </w:tc>
        <w:tc>
          <w:tcPr>
            <w:tcW w:w="5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151</w:t>
            </w:r>
          </w:p>
        </w:tc>
        <w:tc>
          <w:tcPr>
            <w:tcW w:w="100" w:type="dxa"/>
            <w:vAlign w:val="bottom"/>
            <w:shd w:val="clear" w:color="auto" w:fill="CCEEFF"/>
          </w:tcPr>
          <w:p>
            <w:pPr>
              <w:spacing w:after="0"/>
              <w:rPr>
                <w:sz w:val="15"/>
                <w:szCs w:val="15"/>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344,517</w:t>
            </w:r>
          </w:p>
        </w:tc>
        <w:tc>
          <w:tcPr>
            <w:tcW w:w="80" w:type="dxa"/>
            <w:vAlign w:val="bottom"/>
            <w:shd w:val="clear" w:color="auto" w:fill="CCEEFF"/>
          </w:tcPr>
          <w:p>
            <w:pPr>
              <w:spacing w:after="0"/>
              <w:rPr>
                <w:sz w:val="15"/>
                <w:szCs w:val="15"/>
                <w:color w:val="auto"/>
              </w:rPr>
            </w:pPr>
          </w:p>
        </w:tc>
        <w:tc>
          <w:tcPr>
            <w:tcW w:w="220" w:type="dxa"/>
            <w:vAlign w:val="bottom"/>
            <w:vMerge w:val="restart"/>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(130,230)</w:t>
            </w:r>
          </w:p>
        </w:tc>
        <w:tc>
          <w:tcPr>
            <w:tcW w:w="80" w:type="dxa"/>
            <w:vAlign w:val="bottom"/>
            <w:shd w:val="clear" w:color="auto" w:fill="CCEEFF"/>
          </w:tcPr>
          <w:p>
            <w:pPr>
              <w:spacing w:after="0"/>
              <w:rPr>
                <w:sz w:val="15"/>
                <w:szCs w:val="15"/>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44,810</w:t>
            </w:r>
          </w:p>
        </w:tc>
        <w:tc>
          <w:tcPr>
            <w:tcW w:w="80" w:type="dxa"/>
            <w:vAlign w:val="bottom"/>
            <w:shd w:val="clear" w:color="auto" w:fill="CCEEFF"/>
          </w:tcPr>
          <w:p>
            <w:pPr>
              <w:spacing w:after="0"/>
              <w:rPr>
                <w:sz w:val="15"/>
                <w:szCs w:val="15"/>
                <w:color w:val="auto"/>
              </w:rPr>
            </w:pPr>
          </w:p>
        </w:tc>
        <w:tc>
          <w:tcPr>
            <w:tcW w:w="240" w:type="dxa"/>
            <w:vAlign w:val="bottom"/>
            <w:vMerge w:val="restart"/>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259,248</w:t>
            </w:r>
          </w:p>
        </w:tc>
        <w:tc>
          <w:tcPr>
            <w:tcW w:w="0" w:type="dxa"/>
            <w:vAlign w:val="bottom"/>
          </w:tcPr>
          <w:p>
            <w:pPr>
              <w:spacing w:after="0"/>
              <w:rPr>
                <w:sz w:val="1"/>
                <w:szCs w:val="1"/>
                <w:color w:val="auto"/>
              </w:rPr>
            </w:pPr>
          </w:p>
        </w:tc>
      </w:tr>
      <w:tr>
        <w:trPr>
          <w:trHeight w:val="243"/>
        </w:trPr>
        <w:tc>
          <w:tcPr>
            <w:tcW w:w="11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31, 2023</w:t>
            </w:r>
          </w:p>
        </w:tc>
        <w:tc>
          <w:tcPr>
            <w:tcW w:w="660" w:type="dxa"/>
            <w:vAlign w:val="bottom"/>
            <w:vMerge w:val="continue"/>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860" w:type="dxa"/>
            <w:vAlign w:val="bottom"/>
            <w:vMerge w:val="continue"/>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shd w:val="clear" w:color="auto" w:fill="000000"/>
          </w:tcPr>
          <w:p>
            <w:pPr>
              <w:spacing w:after="0"/>
              <w:rPr>
                <w:sz w:val="21"/>
                <w:szCs w:val="21"/>
                <w:color w:val="auto"/>
              </w:rPr>
            </w:pPr>
          </w:p>
        </w:tc>
        <w:tc>
          <w:tcPr>
            <w:tcW w:w="820" w:type="dxa"/>
            <w:vAlign w:val="bottom"/>
            <w:tcBorders>
              <w:left w:val="single" w:sz="8" w:color="CCEEFF"/>
            </w:tcBorders>
            <w:gridSpan w:val="2"/>
            <w:vMerge w:val="continue"/>
            <w:shd w:val="clear" w:color="auto" w:fill="CCEEFF"/>
          </w:tcPr>
          <w:p>
            <w:pPr>
              <w:spacing w:after="0"/>
              <w:rPr>
                <w:sz w:val="21"/>
                <w:szCs w:val="21"/>
                <w:color w:val="auto"/>
              </w:rPr>
            </w:pPr>
          </w:p>
        </w:tc>
        <w:tc>
          <w:tcPr>
            <w:tcW w:w="300" w:type="dxa"/>
            <w:vAlign w:val="bottom"/>
            <w:vMerge w:val="continue"/>
            <w:shd w:val="clear" w:color="auto" w:fill="CCEEFF"/>
          </w:tcPr>
          <w:p>
            <w:pPr>
              <w:spacing w:after="0"/>
              <w:rPr>
                <w:sz w:val="21"/>
                <w:szCs w:val="21"/>
                <w:color w:val="auto"/>
              </w:rPr>
            </w:pPr>
          </w:p>
        </w:tc>
        <w:tc>
          <w:tcPr>
            <w:tcW w:w="540" w:type="dxa"/>
            <w:vAlign w:val="bottom"/>
            <w:gridSpan w:val="2"/>
            <w:vMerge w:val="continue"/>
            <w:shd w:val="clear" w:color="auto" w:fill="CCEEFF"/>
          </w:tcPr>
          <w:p>
            <w:pPr>
              <w:spacing w:after="0"/>
              <w:rPr>
                <w:sz w:val="21"/>
                <w:szCs w:val="21"/>
                <w:color w:val="auto"/>
              </w:rPr>
            </w:pPr>
          </w:p>
        </w:tc>
        <w:tc>
          <w:tcPr>
            <w:tcW w:w="740" w:type="dxa"/>
            <w:vAlign w:val="bottom"/>
            <w:vMerge w:val="continue"/>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40" w:type="dxa"/>
            <w:vAlign w:val="bottom"/>
            <w:vMerge w:val="continue"/>
            <w:shd w:val="clear" w:color="auto" w:fill="CCEEFF"/>
          </w:tcPr>
          <w:p>
            <w:pPr>
              <w:spacing w:after="0"/>
              <w:rPr>
                <w:sz w:val="21"/>
                <w:szCs w:val="21"/>
                <w:color w:val="auto"/>
              </w:rPr>
            </w:pPr>
          </w:p>
        </w:tc>
        <w:tc>
          <w:tcPr>
            <w:tcW w:w="50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vMerge w:val="continue"/>
            <w:shd w:val="clear" w:color="auto" w:fill="CCEEFF"/>
          </w:tcPr>
          <w:p>
            <w:pPr>
              <w:spacing w:after="0"/>
              <w:rPr>
                <w:sz w:val="21"/>
                <w:szCs w:val="21"/>
                <w:color w:val="auto"/>
              </w:rPr>
            </w:pPr>
          </w:p>
        </w:tc>
        <w:tc>
          <w:tcPr>
            <w:tcW w:w="860" w:type="dxa"/>
            <w:vAlign w:val="bottom"/>
            <w:vMerge w:val="continue"/>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20" w:type="dxa"/>
            <w:vAlign w:val="bottom"/>
            <w:vMerge w:val="continue"/>
            <w:shd w:val="clear" w:color="auto" w:fill="CCEEFF"/>
          </w:tcPr>
          <w:p>
            <w:pPr>
              <w:spacing w:after="0"/>
              <w:rPr>
                <w:sz w:val="21"/>
                <w:szCs w:val="21"/>
                <w:color w:val="auto"/>
              </w:rPr>
            </w:pPr>
          </w:p>
        </w:tc>
        <w:tc>
          <w:tcPr>
            <w:tcW w:w="960" w:type="dxa"/>
            <w:vAlign w:val="bottom"/>
            <w:vMerge w:val="continue"/>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40" w:type="dxa"/>
            <w:vAlign w:val="bottom"/>
            <w:vMerge w:val="continue"/>
            <w:shd w:val="clear" w:color="auto" w:fill="CCEEFF"/>
          </w:tcPr>
          <w:p>
            <w:pPr>
              <w:spacing w:after="0"/>
              <w:rPr>
                <w:sz w:val="21"/>
                <w:szCs w:val="21"/>
                <w:color w:val="auto"/>
              </w:rPr>
            </w:pPr>
          </w:p>
        </w:tc>
        <w:tc>
          <w:tcPr>
            <w:tcW w:w="1260" w:type="dxa"/>
            <w:vAlign w:val="bottom"/>
            <w:vMerge w:val="continue"/>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40" w:type="dxa"/>
            <w:vAlign w:val="bottom"/>
            <w:vMerge w:val="continue"/>
            <w:shd w:val="clear" w:color="auto" w:fill="CCEEFF"/>
          </w:tcPr>
          <w:p>
            <w:pPr>
              <w:spacing w:after="0"/>
              <w:rPr>
                <w:sz w:val="21"/>
                <w:szCs w:val="21"/>
                <w:color w:val="auto"/>
              </w:rPr>
            </w:pPr>
          </w:p>
        </w:tc>
        <w:tc>
          <w:tcPr>
            <w:tcW w:w="100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76"/>
        </w:trPr>
        <w:tc>
          <w:tcPr>
            <w:tcW w:w="1180" w:type="dxa"/>
            <w:vAlign w:val="bottom"/>
          </w:tcPr>
          <w:p>
            <w:pPr>
              <w:ind w:left="20"/>
              <w:spacing w:after="0" w:line="176" w:lineRule="exact"/>
              <w:rPr>
                <w:sz w:val="20"/>
                <w:szCs w:val="20"/>
                <w:color w:val="auto"/>
              </w:rPr>
            </w:pPr>
            <w:r>
              <w:rPr>
                <w:rFonts w:ascii="Arial" w:cs="Arial" w:eastAsia="Arial" w:hAnsi="Arial"/>
                <w:sz w:val="18"/>
                <w:szCs w:val="18"/>
                <w:i w:val="1"/>
                <w:iCs w:val="1"/>
                <w:color w:val="auto"/>
              </w:rPr>
              <w:t>Shares</w:t>
            </w: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shd w:val="clear" w:color="auto" w:fill="000000"/>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180" w:type="dxa"/>
            <w:vAlign w:val="bottom"/>
          </w:tcPr>
          <w:p>
            <w:pPr>
              <w:ind w:left="20"/>
              <w:spacing w:after="0" w:line="176" w:lineRule="exact"/>
              <w:rPr>
                <w:sz w:val="20"/>
                <w:szCs w:val="20"/>
                <w:color w:val="auto"/>
              </w:rPr>
            </w:pPr>
            <w:r>
              <w:rPr>
                <w:rFonts w:ascii="Arial" w:cs="Arial" w:eastAsia="Arial" w:hAnsi="Arial"/>
                <w:sz w:val="18"/>
                <w:szCs w:val="18"/>
                <w:i w:val="1"/>
                <w:iCs w:val="1"/>
                <w:color w:val="auto"/>
              </w:rPr>
              <w:t>issued in</w:t>
            </w: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shd w:val="clear" w:color="auto" w:fill="000000"/>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1180" w:type="dxa"/>
            <w:vAlign w:val="bottom"/>
          </w:tcPr>
          <w:p>
            <w:pPr>
              <w:ind w:left="20"/>
              <w:spacing w:after="0" w:line="186" w:lineRule="exact"/>
              <w:rPr>
                <w:sz w:val="20"/>
                <w:szCs w:val="20"/>
                <w:color w:val="auto"/>
              </w:rPr>
            </w:pPr>
            <w:r>
              <w:rPr>
                <w:rFonts w:ascii="Arial" w:cs="Arial" w:eastAsia="Arial" w:hAnsi="Arial"/>
                <w:sz w:val="18"/>
                <w:szCs w:val="18"/>
                <w:i w:val="1"/>
                <w:iCs w:val="1"/>
                <w:color w:val="auto"/>
              </w:rPr>
              <w:t>connection</w:t>
            </w: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shd w:val="clear" w:color="auto" w:fill="000000"/>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3"/>
        </w:trPr>
        <w:tc>
          <w:tcPr>
            <w:tcW w:w="1180" w:type="dxa"/>
            <w:vAlign w:val="bottom"/>
          </w:tcPr>
          <w:p>
            <w:pPr>
              <w:ind w:left="20"/>
              <w:spacing w:after="0"/>
              <w:rPr>
                <w:sz w:val="20"/>
                <w:szCs w:val="20"/>
                <w:color w:val="auto"/>
              </w:rPr>
            </w:pPr>
            <w:r>
              <w:rPr>
                <w:rFonts w:ascii="Arial" w:cs="Arial" w:eastAsia="Arial" w:hAnsi="Arial"/>
                <w:sz w:val="18"/>
                <w:szCs w:val="18"/>
                <w:i w:val="1"/>
                <w:iCs w:val="1"/>
                <w:color w:val="auto"/>
              </w:rPr>
              <w:t>with:</w:t>
            </w:r>
          </w:p>
        </w:tc>
        <w:tc>
          <w:tcPr>
            <w:tcW w:w="6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shd w:val="clear" w:color="auto" w:fill="000000"/>
          </w:tcPr>
          <w:p>
            <w:pPr>
              <w:spacing w:after="0"/>
              <w:rPr>
                <w:sz w:val="20"/>
                <w:szCs w:val="20"/>
                <w:color w:val="auto"/>
              </w:rPr>
            </w:pPr>
          </w:p>
        </w:tc>
        <w:tc>
          <w:tcPr>
            <w:tcW w:w="7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6"/>
        </w:trPr>
        <w:tc>
          <w:tcPr>
            <w:tcW w:w="118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Vesting of</w:t>
            </w:r>
          </w:p>
        </w:tc>
        <w:tc>
          <w:tcPr>
            <w:tcW w:w="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000000"/>
          </w:tcPr>
          <w:p>
            <w:pPr>
              <w:spacing w:after="0"/>
              <w:rPr>
                <w:sz w:val="15"/>
                <w:szCs w:val="15"/>
                <w:color w:val="auto"/>
              </w:rPr>
            </w:pPr>
          </w:p>
        </w:tc>
        <w:tc>
          <w:tcPr>
            <w:tcW w:w="740" w:type="dxa"/>
            <w:vAlign w:val="bottom"/>
            <w:tcBorders>
              <w:left w:val="single" w:sz="8" w:color="CCEEFF"/>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18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restricted</w:t>
            </w:r>
          </w:p>
        </w:tc>
        <w:tc>
          <w:tcPr>
            <w:tcW w:w="7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 w:type="dxa"/>
            <w:vAlign w:val="bottom"/>
            <w:shd w:val="clear" w:color="auto" w:fill="000000"/>
          </w:tcPr>
          <w:p>
            <w:pPr>
              <w:spacing w:after="0"/>
              <w:rPr>
                <w:sz w:val="15"/>
                <w:szCs w:val="15"/>
                <w:color w:val="auto"/>
              </w:rPr>
            </w:pPr>
          </w:p>
        </w:tc>
        <w:tc>
          <w:tcPr>
            <w:tcW w:w="820" w:type="dxa"/>
            <w:vAlign w:val="bottom"/>
            <w:tcBorders>
              <w:left w:val="single" w:sz="8" w:color="CCEEFF"/>
            </w:tcBorders>
            <w:gridSpan w:val="2"/>
            <w:vMerge w:val="restart"/>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5"/>
                <w:szCs w:val="15"/>
                <w:color w:val="auto"/>
              </w:rPr>
            </w:pPr>
          </w:p>
        </w:tc>
        <w:tc>
          <w:tcPr>
            <w:tcW w:w="540" w:type="dxa"/>
            <w:vAlign w:val="bottom"/>
            <w:gridSpan w:val="2"/>
            <w:vMerge w:val="restart"/>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632</w:t>
            </w: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6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5"/>
                <w:szCs w:val="15"/>
                <w:color w:val="auto"/>
              </w:rPr>
            </w:pPr>
          </w:p>
        </w:tc>
        <w:tc>
          <w:tcPr>
            <w:tcW w:w="9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5"/>
                <w:szCs w:val="15"/>
                <w:color w:val="auto"/>
              </w:rPr>
            </w:pPr>
          </w:p>
        </w:tc>
        <w:tc>
          <w:tcPr>
            <w:tcW w:w="1040" w:type="dxa"/>
            <w:vAlign w:val="bottom"/>
            <w:gridSpan w:val="2"/>
            <w:vMerge w:val="restart"/>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5"/>
                <w:szCs w:val="15"/>
                <w:color w:val="auto"/>
              </w:rPr>
            </w:pPr>
          </w:p>
        </w:tc>
        <w:tc>
          <w:tcPr>
            <w:tcW w:w="13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5"/>
                <w:szCs w:val="15"/>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1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 units</w:t>
            </w:r>
          </w:p>
        </w:tc>
        <w:tc>
          <w:tcPr>
            <w:tcW w:w="740" w:type="dxa"/>
            <w:vAlign w:val="bottom"/>
            <w:gridSpan w:val="2"/>
            <w:vMerge w:val="continue"/>
            <w:shd w:val="clear" w:color="auto" w:fill="CCEEFF"/>
          </w:tcPr>
          <w:p>
            <w:pPr>
              <w:spacing w:after="0"/>
              <w:rPr>
                <w:sz w:val="21"/>
                <w:szCs w:val="21"/>
                <w:color w:val="auto"/>
              </w:rPr>
            </w:pPr>
          </w:p>
        </w:tc>
        <w:tc>
          <w:tcPr>
            <w:tcW w:w="940" w:type="dxa"/>
            <w:vAlign w:val="bottom"/>
            <w:gridSpan w:val="2"/>
            <w:vMerge w:val="continue"/>
            <w:shd w:val="clear" w:color="auto" w:fill="CCEEFF"/>
          </w:tcPr>
          <w:p>
            <w:pPr>
              <w:spacing w:after="0"/>
              <w:rPr>
                <w:sz w:val="21"/>
                <w:szCs w:val="21"/>
                <w:color w:val="auto"/>
              </w:rPr>
            </w:pPr>
          </w:p>
        </w:tc>
        <w:tc>
          <w:tcPr>
            <w:tcW w:w="20" w:type="dxa"/>
            <w:vAlign w:val="bottom"/>
            <w:shd w:val="clear" w:color="auto" w:fill="000000"/>
          </w:tcPr>
          <w:p>
            <w:pPr>
              <w:spacing w:after="0"/>
              <w:rPr>
                <w:sz w:val="21"/>
                <w:szCs w:val="21"/>
                <w:color w:val="auto"/>
              </w:rPr>
            </w:pPr>
          </w:p>
        </w:tc>
        <w:tc>
          <w:tcPr>
            <w:tcW w:w="820" w:type="dxa"/>
            <w:vAlign w:val="bottom"/>
            <w:tcBorders>
              <w:left w:val="single" w:sz="8" w:color="CCEEFF"/>
            </w:tcBorders>
            <w:gridSpan w:val="2"/>
            <w:vMerge w:val="continue"/>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540" w:type="dxa"/>
            <w:vAlign w:val="bottom"/>
            <w:gridSpan w:val="2"/>
            <w:vMerge w:val="continue"/>
            <w:shd w:val="clear" w:color="auto" w:fill="CCEEFF"/>
          </w:tcPr>
          <w:p>
            <w:pPr>
              <w:spacing w:after="0"/>
              <w:rPr>
                <w:sz w:val="21"/>
                <w:szCs w:val="21"/>
                <w:color w:val="auto"/>
              </w:rPr>
            </w:pPr>
          </w:p>
        </w:tc>
        <w:tc>
          <w:tcPr>
            <w:tcW w:w="740" w:type="dxa"/>
            <w:vAlign w:val="bottom"/>
            <w:vMerge w:val="continue"/>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600" w:type="dxa"/>
            <w:vAlign w:val="bottom"/>
            <w:gridSpan w:val="2"/>
            <w:vMerge w:val="continue"/>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40" w:type="dxa"/>
            <w:vAlign w:val="bottom"/>
            <w:gridSpan w:val="2"/>
            <w:vMerge w:val="continue"/>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40" w:type="dxa"/>
            <w:vAlign w:val="bottom"/>
            <w:gridSpan w:val="2"/>
            <w:vMerge w:val="continue"/>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340" w:type="dxa"/>
            <w:vAlign w:val="bottom"/>
            <w:gridSpan w:val="2"/>
            <w:vMerge w:val="continue"/>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0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76"/>
        </w:trPr>
        <w:tc>
          <w:tcPr>
            <w:tcW w:w="1180" w:type="dxa"/>
            <w:vAlign w:val="bottom"/>
          </w:tcPr>
          <w:p>
            <w:pPr>
              <w:ind w:left="20"/>
              <w:spacing w:after="0" w:line="176" w:lineRule="exact"/>
              <w:rPr>
                <w:sz w:val="20"/>
                <w:szCs w:val="20"/>
                <w:color w:val="auto"/>
              </w:rPr>
            </w:pPr>
            <w:r>
              <w:rPr>
                <w:rFonts w:ascii="Arial" w:cs="Arial" w:eastAsia="Arial" w:hAnsi="Arial"/>
                <w:sz w:val="18"/>
                <w:szCs w:val="18"/>
                <w:color w:val="auto"/>
              </w:rPr>
              <w:t>Employee</w:t>
            </w:r>
          </w:p>
        </w:tc>
        <w:tc>
          <w:tcPr>
            <w:tcW w:w="74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94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20" w:type="dxa"/>
            <w:vAlign w:val="bottom"/>
            <w:shd w:val="clear" w:color="auto" w:fill="000000"/>
          </w:tcPr>
          <w:p>
            <w:pPr>
              <w:spacing w:after="0"/>
              <w:rPr>
                <w:sz w:val="15"/>
                <w:szCs w:val="15"/>
                <w:color w:val="auto"/>
              </w:rPr>
            </w:pPr>
          </w:p>
        </w:tc>
        <w:tc>
          <w:tcPr>
            <w:tcW w:w="820" w:type="dxa"/>
            <w:vAlign w:val="bottom"/>
            <w:gridSpan w:val="2"/>
            <w:vMerge w:val="restart"/>
          </w:tcPr>
          <w:p>
            <w:pPr>
              <w:ind w:left="4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5"/>
                <w:szCs w:val="15"/>
                <w:color w:val="auto"/>
              </w:rPr>
            </w:pPr>
          </w:p>
        </w:tc>
        <w:tc>
          <w:tcPr>
            <w:tcW w:w="540" w:type="dxa"/>
            <w:vAlign w:val="bottom"/>
            <w:gridSpan w:val="2"/>
            <w:vMerge w:val="restart"/>
          </w:tcPr>
          <w:p>
            <w:pPr>
              <w:ind w:left="200"/>
              <w:spacing w:after="0"/>
              <w:rPr>
                <w:sz w:val="20"/>
                <w:szCs w:val="20"/>
                <w:color w:val="auto"/>
              </w:rPr>
            </w:pPr>
            <w:r>
              <w:rPr>
                <w:rFonts w:ascii="Arial" w:cs="Arial" w:eastAsia="Arial" w:hAnsi="Arial"/>
                <w:sz w:val="18"/>
                <w:szCs w:val="18"/>
                <w:color w:val="auto"/>
              </w:rPr>
              <w:t>—</w:t>
            </w:r>
          </w:p>
        </w:tc>
        <w:tc>
          <w:tcPr>
            <w:tcW w:w="740" w:type="dxa"/>
            <w:vAlign w:val="bottom"/>
            <w:vMerge w:val="restart"/>
          </w:tcPr>
          <w:p>
            <w:pPr>
              <w:jc w:val="right"/>
              <w:spacing w:after="0"/>
              <w:rPr>
                <w:sz w:val="20"/>
                <w:szCs w:val="20"/>
                <w:color w:val="auto"/>
              </w:rPr>
            </w:pPr>
            <w:r>
              <w:rPr>
                <w:rFonts w:ascii="Arial" w:cs="Arial" w:eastAsia="Arial" w:hAnsi="Arial"/>
                <w:sz w:val="18"/>
                <w:szCs w:val="18"/>
                <w:color w:val="auto"/>
              </w:rPr>
              <w:t>60</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5"/>
                <w:szCs w:val="15"/>
                <w:color w:val="auto"/>
              </w:rPr>
            </w:pP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rPr>
              <w:t>853</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gridSpan w:val="2"/>
            <w:vMerge w:val="restart"/>
          </w:tcPr>
          <w:p>
            <w:pPr>
              <w:ind w:left="7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5"/>
                <w:szCs w:val="15"/>
                <w:color w:val="auto"/>
              </w:rPr>
            </w:pPr>
          </w:p>
        </w:tc>
        <w:tc>
          <w:tcPr>
            <w:tcW w:w="134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5"/>
                <w:szCs w:val="15"/>
                <w:color w:val="auto"/>
              </w:rPr>
            </w:pPr>
          </w:p>
        </w:tc>
        <w:tc>
          <w:tcPr>
            <w:tcW w:w="1000" w:type="dxa"/>
            <w:vAlign w:val="bottom"/>
            <w:vMerge w:val="restart"/>
          </w:tcPr>
          <w:p>
            <w:pPr>
              <w:jc w:val="right"/>
              <w:spacing w:after="0"/>
              <w:rPr>
                <w:sz w:val="20"/>
                <w:szCs w:val="20"/>
                <w:color w:val="auto"/>
              </w:rPr>
            </w:pPr>
            <w:r>
              <w:rPr>
                <w:rFonts w:ascii="Arial" w:cs="Arial" w:eastAsia="Arial" w:hAnsi="Arial"/>
                <w:sz w:val="18"/>
                <w:szCs w:val="18"/>
                <w:color w:val="auto"/>
              </w:rPr>
              <w:t>853</w:t>
            </w:r>
          </w:p>
        </w:tc>
        <w:tc>
          <w:tcPr>
            <w:tcW w:w="0" w:type="dxa"/>
            <w:vAlign w:val="bottom"/>
          </w:tcPr>
          <w:p>
            <w:pPr>
              <w:spacing w:after="0"/>
              <w:rPr>
                <w:sz w:val="1"/>
                <w:szCs w:val="1"/>
                <w:color w:val="auto"/>
              </w:rPr>
            </w:pPr>
          </w:p>
        </w:tc>
      </w:tr>
      <w:tr>
        <w:trPr>
          <w:trHeight w:val="243"/>
        </w:trPr>
        <w:tc>
          <w:tcPr>
            <w:tcW w:w="1180" w:type="dxa"/>
            <w:vAlign w:val="bottom"/>
          </w:tcPr>
          <w:p>
            <w:pPr>
              <w:ind w:left="20"/>
              <w:spacing w:after="0"/>
              <w:rPr>
                <w:sz w:val="20"/>
                <w:szCs w:val="20"/>
                <w:color w:val="auto"/>
              </w:rPr>
            </w:pPr>
            <w:r>
              <w:rPr>
                <w:rFonts w:ascii="Arial" w:cs="Arial" w:eastAsia="Arial" w:hAnsi="Arial"/>
                <w:sz w:val="18"/>
                <w:szCs w:val="18"/>
                <w:color w:val="auto"/>
              </w:rPr>
              <w:t>purchase plan</w:t>
            </w:r>
          </w:p>
        </w:tc>
        <w:tc>
          <w:tcPr>
            <w:tcW w:w="740" w:type="dxa"/>
            <w:vAlign w:val="bottom"/>
            <w:gridSpan w:val="2"/>
            <w:vMerge w:val="continue"/>
          </w:tcPr>
          <w:p>
            <w:pPr>
              <w:spacing w:after="0"/>
              <w:rPr>
                <w:sz w:val="21"/>
                <w:szCs w:val="21"/>
                <w:color w:val="auto"/>
              </w:rPr>
            </w:pPr>
          </w:p>
        </w:tc>
        <w:tc>
          <w:tcPr>
            <w:tcW w:w="940" w:type="dxa"/>
            <w:vAlign w:val="bottom"/>
            <w:gridSpan w:val="2"/>
            <w:vMerge w:val="continue"/>
          </w:tcPr>
          <w:p>
            <w:pPr>
              <w:spacing w:after="0"/>
              <w:rPr>
                <w:sz w:val="21"/>
                <w:szCs w:val="21"/>
                <w:color w:val="auto"/>
              </w:rPr>
            </w:pPr>
          </w:p>
        </w:tc>
        <w:tc>
          <w:tcPr>
            <w:tcW w:w="20" w:type="dxa"/>
            <w:vAlign w:val="bottom"/>
            <w:shd w:val="clear" w:color="auto" w:fill="000000"/>
          </w:tcPr>
          <w:p>
            <w:pPr>
              <w:spacing w:after="0"/>
              <w:rPr>
                <w:sz w:val="21"/>
                <w:szCs w:val="21"/>
                <w:color w:val="auto"/>
              </w:rPr>
            </w:pPr>
          </w:p>
        </w:tc>
        <w:tc>
          <w:tcPr>
            <w:tcW w:w="820" w:type="dxa"/>
            <w:vAlign w:val="bottom"/>
            <w:gridSpan w:val="2"/>
            <w:vMerge w:val="continue"/>
          </w:tcPr>
          <w:p>
            <w:pPr>
              <w:spacing w:after="0"/>
              <w:rPr>
                <w:sz w:val="21"/>
                <w:szCs w:val="21"/>
                <w:color w:val="auto"/>
              </w:rPr>
            </w:pPr>
          </w:p>
        </w:tc>
        <w:tc>
          <w:tcPr>
            <w:tcW w:w="300" w:type="dxa"/>
            <w:vAlign w:val="bottom"/>
          </w:tcPr>
          <w:p>
            <w:pPr>
              <w:spacing w:after="0"/>
              <w:rPr>
                <w:sz w:val="21"/>
                <w:szCs w:val="21"/>
                <w:color w:val="auto"/>
              </w:rPr>
            </w:pPr>
          </w:p>
        </w:tc>
        <w:tc>
          <w:tcPr>
            <w:tcW w:w="540" w:type="dxa"/>
            <w:vAlign w:val="bottom"/>
            <w:gridSpan w:val="2"/>
            <w:vMerge w:val="continue"/>
          </w:tcPr>
          <w:p>
            <w:pPr>
              <w:spacing w:after="0"/>
              <w:rPr>
                <w:sz w:val="21"/>
                <w:szCs w:val="21"/>
                <w:color w:val="auto"/>
              </w:rPr>
            </w:pPr>
          </w:p>
        </w:tc>
        <w:tc>
          <w:tcPr>
            <w:tcW w:w="740" w:type="dxa"/>
            <w:vAlign w:val="bottom"/>
            <w:vMerge w:val="continue"/>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00" w:type="dxa"/>
            <w:vAlign w:val="bottom"/>
            <w:gridSpan w:val="2"/>
            <w:vMerge w:val="continue"/>
          </w:tcPr>
          <w:p>
            <w:pPr>
              <w:spacing w:after="0"/>
              <w:rPr>
                <w:sz w:val="21"/>
                <w:szCs w:val="21"/>
                <w:color w:val="auto"/>
              </w:rPr>
            </w:pPr>
          </w:p>
        </w:tc>
        <w:tc>
          <w:tcPr>
            <w:tcW w:w="120" w:type="dxa"/>
            <w:vAlign w:val="bottom"/>
          </w:tcPr>
          <w:p>
            <w:pPr>
              <w:spacing w:after="0"/>
              <w:rPr>
                <w:sz w:val="21"/>
                <w:szCs w:val="21"/>
                <w:color w:val="auto"/>
              </w:rPr>
            </w:pPr>
          </w:p>
        </w:tc>
        <w:tc>
          <w:tcPr>
            <w:tcW w:w="860" w:type="dxa"/>
            <w:vAlign w:val="bottom"/>
            <w:vMerge w:val="continue"/>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gridSpan w:val="2"/>
            <w:vMerge w:val="continue"/>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gridSpan w:val="2"/>
            <w:vMerge w:val="continue"/>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76"/>
        </w:trPr>
        <w:tc>
          <w:tcPr>
            <w:tcW w:w="118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Equity-based</w:t>
            </w:r>
          </w:p>
        </w:tc>
        <w:tc>
          <w:tcPr>
            <w:tcW w:w="7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 w:type="dxa"/>
            <w:vAlign w:val="bottom"/>
            <w:shd w:val="clear" w:color="auto" w:fill="000000"/>
          </w:tcPr>
          <w:p>
            <w:pPr>
              <w:spacing w:after="0"/>
              <w:rPr>
                <w:sz w:val="15"/>
                <w:szCs w:val="15"/>
                <w:color w:val="auto"/>
              </w:rPr>
            </w:pPr>
          </w:p>
        </w:tc>
        <w:tc>
          <w:tcPr>
            <w:tcW w:w="820" w:type="dxa"/>
            <w:vAlign w:val="bottom"/>
            <w:tcBorders>
              <w:left w:val="single" w:sz="8" w:color="CCEEFF"/>
            </w:tcBorders>
            <w:gridSpan w:val="2"/>
            <w:vMerge w:val="restart"/>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5"/>
                <w:szCs w:val="15"/>
                <w:color w:val="auto"/>
              </w:rPr>
            </w:pPr>
          </w:p>
        </w:tc>
        <w:tc>
          <w:tcPr>
            <w:tcW w:w="540" w:type="dxa"/>
            <w:vAlign w:val="bottom"/>
            <w:gridSpan w:val="2"/>
            <w:vMerge w:val="restart"/>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8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5"/>
                <w:szCs w:val="15"/>
                <w:color w:val="auto"/>
              </w:rPr>
            </w:pPr>
          </w:p>
        </w:tc>
        <w:tc>
          <w:tcPr>
            <w:tcW w:w="6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5"/>
                <w:szCs w:val="15"/>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6,043</w:t>
            </w: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40" w:type="dxa"/>
            <w:vAlign w:val="bottom"/>
            <w:gridSpan w:val="2"/>
            <w:vMerge w:val="restart"/>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5"/>
                <w:szCs w:val="15"/>
                <w:color w:val="auto"/>
              </w:rPr>
            </w:pPr>
          </w:p>
        </w:tc>
        <w:tc>
          <w:tcPr>
            <w:tcW w:w="13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5"/>
                <w:szCs w:val="15"/>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6,043</w:t>
            </w:r>
          </w:p>
        </w:tc>
        <w:tc>
          <w:tcPr>
            <w:tcW w:w="0" w:type="dxa"/>
            <w:vAlign w:val="bottom"/>
          </w:tcPr>
          <w:p>
            <w:pPr>
              <w:spacing w:after="0"/>
              <w:rPr>
                <w:sz w:val="1"/>
                <w:szCs w:val="1"/>
                <w:color w:val="auto"/>
              </w:rPr>
            </w:pPr>
          </w:p>
        </w:tc>
      </w:tr>
      <w:tr>
        <w:trPr>
          <w:trHeight w:val="243"/>
        </w:trPr>
        <w:tc>
          <w:tcPr>
            <w:tcW w:w="1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compensation</w:t>
            </w:r>
          </w:p>
        </w:tc>
        <w:tc>
          <w:tcPr>
            <w:tcW w:w="740" w:type="dxa"/>
            <w:vAlign w:val="bottom"/>
            <w:gridSpan w:val="2"/>
            <w:vMerge w:val="continue"/>
            <w:shd w:val="clear" w:color="auto" w:fill="CCEEFF"/>
          </w:tcPr>
          <w:p>
            <w:pPr>
              <w:spacing w:after="0"/>
              <w:rPr>
                <w:sz w:val="21"/>
                <w:szCs w:val="21"/>
                <w:color w:val="auto"/>
              </w:rPr>
            </w:pPr>
          </w:p>
        </w:tc>
        <w:tc>
          <w:tcPr>
            <w:tcW w:w="940" w:type="dxa"/>
            <w:vAlign w:val="bottom"/>
            <w:gridSpan w:val="2"/>
            <w:vMerge w:val="continue"/>
            <w:shd w:val="clear" w:color="auto" w:fill="CCEEFF"/>
          </w:tcPr>
          <w:p>
            <w:pPr>
              <w:spacing w:after="0"/>
              <w:rPr>
                <w:sz w:val="21"/>
                <w:szCs w:val="21"/>
                <w:color w:val="auto"/>
              </w:rPr>
            </w:pPr>
          </w:p>
        </w:tc>
        <w:tc>
          <w:tcPr>
            <w:tcW w:w="20" w:type="dxa"/>
            <w:vAlign w:val="bottom"/>
            <w:shd w:val="clear" w:color="auto" w:fill="000000"/>
          </w:tcPr>
          <w:p>
            <w:pPr>
              <w:spacing w:after="0"/>
              <w:rPr>
                <w:sz w:val="21"/>
                <w:szCs w:val="21"/>
                <w:color w:val="auto"/>
              </w:rPr>
            </w:pPr>
          </w:p>
        </w:tc>
        <w:tc>
          <w:tcPr>
            <w:tcW w:w="820" w:type="dxa"/>
            <w:vAlign w:val="bottom"/>
            <w:tcBorders>
              <w:left w:val="single" w:sz="8" w:color="CCEEFF"/>
            </w:tcBorders>
            <w:gridSpan w:val="2"/>
            <w:vMerge w:val="continue"/>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540" w:type="dxa"/>
            <w:vAlign w:val="bottom"/>
            <w:gridSpan w:val="2"/>
            <w:vMerge w:val="continue"/>
            <w:shd w:val="clear" w:color="auto" w:fill="CCEEFF"/>
          </w:tcPr>
          <w:p>
            <w:pPr>
              <w:spacing w:after="0"/>
              <w:rPr>
                <w:sz w:val="21"/>
                <w:szCs w:val="21"/>
                <w:color w:val="auto"/>
              </w:rPr>
            </w:pPr>
          </w:p>
        </w:tc>
        <w:tc>
          <w:tcPr>
            <w:tcW w:w="820" w:type="dxa"/>
            <w:vAlign w:val="bottom"/>
            <w:gridSpan w:val="2"/>
            <w:vMerge w:val="continue"/>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600" w:type="dxa"/>
            <w:vAlign w:val="bottom"/>
            <w:gridSpan w:val="2"/>
            <w:vMerge w:val="continue"/>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60" w:type="dxa"/>
            <w:vAlign w:val="bottom"/>
            <w:vMerge w:val="continue"/>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40" w:type="dxa"/>
            <w:vAlign w:val="bottom"/>
            <w:gridSpan w:val="2"/>
            <w:vMerge w:val="continue"/>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340" w:type="dxa"/>
            <w:vAlign w:val="bottom"/>
            <w:gridSpan w:val="2"/>
            <w:vMerge w:val="continue"/>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0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75"/>
        </w:trPr>
        <w:tc>
          <w:tcPr>
            <w:tcW w:w="1180" w:type="dxa"/>
            <w:vAlign w:val="bottom"/>
          </w:tcPr>
          <w:p>
            <w:pPr>
              <w:ind w:left="20"/>
              <w:spacing w:after="0" w:line="176" w:lineRule="exact"/>
              <w:rPr>
                <w:sz w:val="20"/>
                <w:szCs w:val="20"/>
                <w:color w:val="auto"/>
              </w:rPr>
            </w:pPr>
            <w:r>
              <w:rPr>
                <w:rFonts w:ascii="Arial" w:cs="Arial" w:eastAsia="Arial" w:hAnsi="Arial"/>
                <w:sz w:val="18"/>
                <w:szCs w:val="18"/>
                <w:color w:val="auto"/>
              </w:rPr>
              <w:t>Tax</w:t>
            </w: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shd w:val="clear" w:color="auto" w:fill="000000"/>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180" w:type="dxa"/>
            <w:vAlign w:val="bottom"/>
          </w:tcPr>
          <w:p>
            <w:pPr>
              <w:ind w:left="20"/>
              <w:spacing w:after="0" w:line="176" w:lineRule="exact"/>
              <w:rPr>
                <w:sz w:val="20"/>
                <w:szCs w:val="20"/>
                <w:color w:val="auto"/>
              </w:rPr>
            </w:pPr>
            <w:r>
              <w:rPr>
                <w:rFonts w:ascii="Arial" w:cs="Arial" w:eastAsia="Arial" w:hAnsi="Arial"/>
                <w:sz w:val="18"/>
                <w:szCs w:val="18"/>
                <w:color w:val="auto"/>
              </w:rPr>
              <w:t>withholding</w:t>
            </w: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shd w:val="clear" w:color="auto" w:fill="000000"/>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1180" w:type="dxa"/>
            <w:vAlign w:val="bottom"/>
          </w:tcPr>
          <w:p>
            <w:pPr>
              <w:ind w:left="20"/>
              <w:spacing w:after="0" w:line="183" w:lineRule="exact"/>
              <w:rPr>
                <w:sz w:val="20"/>
                <w:szCs w:val="20"/>
                <w:color w:val="auto"/>
              </w:rPr>
            </w:pPr>
            <w:r>
              <w:rPr>
                <w:rFonts w:ascii="Arial" w:cs="Arial" w:eastAsia="Arial" w:hAnsi="Arial"/>
                <w:sz w:val="18"/>
                <w:szCs w:val="18"/>
                <w:color w:val="auto"/>
              </w:rPr>
              <w:t>related to</w:t>
            </w: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shd w:val="clear" w:color="auto" w:fill="000000"/>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1180" w:type="dxa"/>
            <w:vAlign w:val="bottom"/>
          </w:tcPr>
          <w:p>
            <w:pPr>
              <w:ind w:left="20"/>
              <w:spacing w:after="0" w:line="181" w:lineRule="exact"/>
              <w:rPr>
                <w:sz w:val="20"/>
                <w:szCs w:val="20"/>
                <w:color w:val="auto"/>
              </w:rPr>
            </w:pPr>
            <w:r>
              <w:rPr>
                <w:rFonts w:ascii="Arial" w:cs="Arial" w:eastAsia="Arial" w:hAnsi="Arial"/>
                <w:sz w:val="18"/>
                <w:szCs w:val="18"/>
                <w:color w:val="auto"/>
              </w:rPr>
              <w:t>vesting of</w:t>
            </w: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shd w:val="clear" w:color="auto" w:fill="000000"/>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180" w:type="dxa"/>
            <w:vAlign w:val="bottom"/>
          </w:tcPr>
          <w:p>
            <w:pPr>
              <w:ind w:left="20"/>
              <w:spacing w:after="0" w:line="176" w:lineRule="exact"/>
              <w:rPr>
                <w:sz w:val="20"/>
                <w:szCs w:val="20"/>
                <w:color w:val="auto"/>
              </w:rPr>
            </w:pPr>
            <w:r>
              <w:rPr>
                <w:rFonts w:ascii="Arial" w:cs="Arial" w:eastAsia="Arial" w:hAnsi="Arial"/>
                <w:sz w:val="18"/>
                <w:szCs w:val="18"/>
                <w:color w:val="auto"/>
              </w:rPr>
              <w:t>equity-based</w:t>
            </w:r>
          </w:p>
        </w:tc>
        <w:tc>
          <w:tcPr>
            <w:tcW w:w="74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94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20" w:type="dxa"/>
            <w:vAlign w:val="bottom"/>
            <w:shd w:val="clear" w:color="auto" w:fill="000000"/>
          </w:tcPr>
          <w:p>
            <w:pPr>
              <w:spacing w:after="0"/>
              <w:rPr>
                <w:sz w:val="15"/>
                <w:szCs w:val="15"/>
                <w:color w:val="auto"/>
              </w:rPr>
            </w:pPr>
          </w:p>
        </w:tc>
        <w:tc>
          <w:tcPr>
            <w:tcW w:w="820" w:type="dxa"/>
            <w:vAlign w:val="bottom"/>
            <w:gridSpan w:val="2"/>
            <w:vMerge w:val="restart"/>
          </w:tcPr>
          <w:p>
            <w:pPr>
              <w:ind w:left="4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5"/>
                <w:szCs w:val="15"/>
                <w:color w:val="auto"/>
              </w:rPr>
            </w:pPr>
          </w:p>
        </w:tc>
        <w:tc>
          <w:tcPr>
            <w:tcW w:w="540" w:type="dxa"/>
            <w:vAlign w:val="bottom"/>
            <w:gridSpan w:val="2"/>
            <w:vMerge w:val="restart"/>
          </w:tcPr>
          <w:p>
            <w:pPr>
              <w:ind w:left="200"/>
              <w:spacing w:after="0"/>
              <w:rPr>
                <w:sz w:val="20"/>
                <w:szCs w:val="20"/>
                <w:color w:val="auto"/>
              </w:rPr>
            </w:pPr>
            <w:r>
              <w:rPr>
                <w:rFonts w:ascii="Arial" w:cs="Arial" w:eastAsia="Arial" w:hAnsi="Arial"/>
                <w:sz w:val="18"/>
                <w:szCs w:val="18"/>
                <w:color w:val="auto"/>
              </w:rPr>
              <w:t>—</w:t>
            </w:r>
          </w:p>
        </w:tc>
        <w:tc>
          <w:tcPr>
            <w:tcW w:w="82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5"/>
                <w:szCs w:val="15"/>
                <w:color w:val="auto"/>
              </w:rPr>
            </w:pPr>
          </w:p>
        </w:tc>
        <w:tc>
          <w:tcPr>
            <w:tcW w:w="60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5"/>
                <w:szCs w:val="15"/>
                <w:color w:val="auto"/>
              </w:rPr>
            </w:pP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rPr>
              <w:t>(1,734)</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gridSpan w:val="2"/>
            <w:vMerge w:val="restart"/>
          </w:tcPr>
          <w:p>
            <w:pPr>
              <w:ind w:left="7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5"/>
                <w:szCs w:val="15"/>
                <w:color w:val="auto"/>
              </w:rPr>
            </w:pPr>
          </w:p>
        </w:tc>
        <w:tc>
          <w:tcPr>
            <w:tcW w:w="134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5"/>
                <w:szCs w:val="15"/>
                <w:color w:val="auto"/>
              </w:rPr>
            </w:pPr>
          </w:p>
        </w:tc>
        <w:tc>
          <w:tcPr>
            <w:tcW w:w="1000" w:type="dxa"/>
            <w:vAlign w:val="bottom"/>
            <w:vMerge w:val="restart"/>
          </w:tcPr>
          <w:p>
            <w:pPr>
              <w:jc w:val="right"/>
              <w:spacing w:after="0"/>
              <w:rPr>
                <w:sz w:val="20"/>
                <w:szCs w:val="20"/>
                <w:color w:val="auto"/>
              </w:rPr>
            </w:pPr>
            <w:r>
              <w:rPr>
                <w:rFonts w:ascii="Arial" w:cs="Arial" w:eastAsia="Arial" w:hAnsi="Arial"/>
                <w:sz w:val="18"/>
                <w:szCs w:val="18"/>
                <w:color w:val="auto"/>
              </w:rPr>
              <w:t>(1,734)</w:t>
            </w:r>
          </w:p>
        </w:tc>
        <w:tc>
          <w:tcPr>
            <w:tcW w:w="0" w:type="dxa"/>
            <w:vAlign w:val="bottom"/>
          </w:tcPr>
          <w:p>
            <w:pPr>
              <w:spacing w:after="0"/>
              <w:rPr>
                <w:sz w:val="1"/>
                <w:szCs w:val="1"/>
                <w:color w:val="auto"/>
              </w:rPr>
            </w:pPr>
          </w:p>
        </w:tc>
      </w:tr>
      <w:tr>
        <w:trPr>
          <w:trHeight w:val="243"/>
        </w:trPr>
        <w:tc>
          <w:tcPr>
            <w:tcW w:w="1180" w:type="dxa"/>
            <w:vAlign w:val="bottom"/>
          </w:tcPr>
          <w:p>
            <w:pPr>
              <w:ind w:left="20"/>
              <w:spacing w:after="0"/>
              <w:rPr>
                <w:sz w:val="20"/>
                <w:szCs w:val="20"/>
                <w:color w:val="auto"/>
              </w:rPr>
            </w:pPr>
            <w:r>
              <w:rPr>
                <w:rFonts w:ascii="Arial" w:cs="Arial" w:eastAsia="Arial" w:hAnsi="Arial"/>
                <w:sz w:val="18"/>
                <w:szCs w:val="18"/>
                <w:color w:val="auto"/>
              </w:rPr>
              <w:t>compensation</w:t>
            </w:r>
          </w:p>
        </w:tc>
        <w:tc>
          <w:tcPr>
            <w:tcW w:w="740" w:type="dxa"/>
            <w:vAlign w:val="bottom"/>
            <w:gridSpan w:val="2"/>
            <w:vMerge w:val="continue"/>
          </w:tcPr>
          <w:p>
            <w:pPr>
              <w:spacing w:after="0"/>
              <w:rPr>
                <w:sz w:val="21"/>
                <w:szCs w:val="21"/>
                <w:color w:val="auto"/>
              </w:rPr>
            </w:pPr>
          </w:p>
        </w:tc>
        <w:tc>
          <w:tcPr>
            <w:tcW w:w="940" w:type="dxa"/>
            <w:vAlign w:val="bottom"/>
            <w:gridSpan w:val="2"/>
            <w:vMerge w:val="continue"/>
          </w:tcPr>
          <w:p>
            <w:pPr>
              <w:spacing w:after="0"/>
              <w:rPr>
                <w:sz w:val="21"/>
                <w:szCs w:val="21"/>
                <w:color w:val="auto"/>
              </w:rPr>
            </w:pPr>
          </w:p>
        </w:tc>
        <w:tc>
          <w:tcPr>
            <w:tcW w:w="20" w:type="dxa"/>
            <w:vAlign w:val="bottom"/>
            <w:shd w:val="clear" w:color="auto" w:fill="000000"/>
          </w:tcPr>
          <w:p>
            <w:pPr>
              <w:spacing w:after="0"/>
              <w:rPr>
                <w:sz w:val="21"/>
                <w:szCs w:val="21"/>
                <w:color w:val="auto"/>
              </w:rPr>
            </w:pPr>
          </w:p>
        </w:tc>
        <w:tc>
          <w:tcPr>
            <w:tcW w:w="820" w:type="dxa"/>
            <w:vAlign w:val="bottom"/>
            <w:gridSpan w:val="2"/>
            <w:vMerge w:val="continue"/>
          </w:tcPr>
          <w:p>
            <w:pPr>
              <w:spacing w:after="0"/>
              <w:rPr>
                <w:sz w:val="21"/>
                <w:szCs w:val="21"/>
                <w:color w:val="auto"/>
              </w:rPr>
            </w:pPr>
          </w:p>
        </w:tc>
        <w:tc>
          <w:tcPr>
            <w:tcW w:w="300" w:type="dxa"/>
            <w:vAlign w:val="bottom"/>
          </w:tcPr>
          <w:p>
            <w:pPr>
              <w:spacing w:after="0"/>
              <w:rPr>
                <w:sz w:val="21"/>
                <w:szCs w:val="21"/>
                <w:color w:val="auto"/>
              </w:rPr>
            </w:pPr>
          </w:p>
        </w:tc>
        <w:tc>
          <w:tcPr>
            <w:tcW w:w="540" w:type="dxa"/>
            <w:vAlign w:val="bottom"/>
            <w:gridSpan w:val="2"/>
            <w:vMerge w:val="continue"/>
          </w:tcPr>
          <w:p>
            <w:pPr>
              <w:spacing w:after="0"/>
              <w:rPr>
                <w:sz w:val="21"/>
                <w:szCs w:val="21"/>
                <w:color w:val="auto"/>
              </w:rPr>
            </w:pPr>
          </w:p>
        </w:tc>
        <w:tc>
          <w:tcPr>
            <w:tcW w:w="820" w:type="dxa"/>
            <w:vAlign w:val="bottom"/>
            <w:gridSpan w:val="2"/>
            <w:vMerge w:val="continue"/>
          </w:tcPr>
          <w:p>
            <w:pPr>
              <w:spacing w:after="0"/>
              <w:rPr>
                <w:sz w:val="21"/>
                <w:szCs w:val="21"/>
                <w:color w:val="auto"/>
              </w:rPr>
            </w:pPr>
          </w:p>
        </w:tc>
        <w:tc>
          <w:tcPr>
            <w:tcW w:w="240" w:type="dxa"/>
            <w:vAlign w:val="bottom"/>
          </w:tcPr>
          <w:p>
            <w:pPr>
              <w:spacing w:after="0"/>
              <w:rPr>
                <w:sz w:val="21"/>
                <w:szCs w:val="21"/>
                <w:color w:val="auto"/>
              </w:rPr>
            </w:pPr>
          </w:p>
        </w:tc>
        <w:tc>
          <w:tcPr>
            <w:tcW w:w="600" w:type="dxa"/>
            <w:vAlign w:val="bottom"/>
            <w:gridSpan w:val="2"/>
            <w:vMerge w:val="continue"/>
          </w:tcPr>
          <w:p>
            <w:pPr>
              <w:spacing w:after="0"/>
              <w:rPr>
                <w:sz w:val="21"/>
                <w:szCs w:val="21"/>
                <w:color w:val="auto"/>
              </w:rPr>
            </w:pPr>
          </w:p>
        </w:tc>
        <w:tc>
          <w:tcPr>
            <w:tcW w:w="120" w:type="dxa"/>
            <w:vAlign w:val="bottom"/>
          </w:tcPr>
          <w:p>
            <w:pPr>
              <w:spacing w:after="0"/>
              <w:rPr>
                <w:sz w:val="21"/>
                <w:szCs w:val="21"/>
                <w:color w:val="auto"/>
              </w:rPr>
            </w:pPr>
          </w:p>
        </w:tc>
        <w:tc>
          <w:tcPr>
            <w:tcW w:w="860" w:type="dxa"/>
            <w:vAlign w:val="bottom"/>
            <w:vMerge w:val="continue"/>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gridSpan w:val="2"/>
            <w:vMerge w:val="continue"/>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gridSpan w:val="2"/>
            <w:vMerge w:val="continue"/>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75"/>
        </w:trPr>
        <w:tc>
          <w:tcPr>
            <w:tcW w:w="118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Preferred</w:t>
            </w:r>
          </w:p>
        </w:tc>
        <w:tc>
          <w:tcPr>
            <w:tcW w:w="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000000"/>
          </w:tcPr>
          <w:p>
            <w:pPr>
              <w:spacing w:after="0"/>
              <w:rPr>
                <w:sz w:val="15"/>
                <w:szCs w:val="15"/>
                <w:color w:val="auto"/>
              </w:rPr>
            </w:pPr>
          </w:p>
        </w:tc>
        <w:tc>
          <w:tcPr>
            <w:tcW w:w="740" w:type="dxa"/>
            <w:vAlign w:val="bottom"/>
            <w:tcBorders>
              <w:left w:val="single" w:sz="8" w:color="CCEEFF"/>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18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cumulative</w:t>
            </w:r>
          </w:p>
        </w:tc>
        <w:tc>
          <w:tcPr>
            <w:tcW w:w="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000000"/>
          </w:tcPr>
          <w:p>
            <w:pPr>
              <w:spacing w:after="0"/>
              <w:rPr>
                <w:sz w:val="15"/>
                <w:szCs w:val="15"/>
                <w:color w:val="auto"/>
              </w:rPr>
            </w:pPr>
          </w:p>
        </w:tc>
        <w:tc>
          <w:tcPr>
            <w:tcW w:w="740" w:type="dxa"/>
            <w:vAlign w:val="bottom"/>
            <w:tcBorders>
              <w:left w:val="single" w:sz="8" w:color="CCEEFF"/>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1180" w:type="dxa"/>
            <w:vAlign w:val="bottom"/>
            <w:shd w:val="clear" w:color="auto" w:fill="CCEEFF"/>
          </w:tcPr>
          <w:p>
            <w:pPr>
              <w:ind w:left="20"/>
              <w:spacing w:after="0" w:line="183" w:lineRule="exact"/>
              <w:rPr>
                <w:sz w:val="20"/>
                <w:szCs w:val="20"/>
                <w:color w:val="auto"/>
              </w:rPr>
            </w:pPr>
            <w:r>
              <w:rPr>
                <w:rFonts w:ascii="Arial" w:cs="Arial" w:eastAsia="Arial" w:hAnsi="Arial"/>
                <w:sz w:val="18"/>
                <w:szCs w:val="18"/>
                <w:color w:val="auto"/>
              </w:rPr>
              <w:t>dividends</w:t>
            </w: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80" w:type="dxa"/>
            <w:vAlign w:val="bottom"/>
            <w:shd w:val="clear" w:color="auto" w:fill="CCEEFF"/>
          </w:tcPr>
          <w:p>
            <w:pPr>
              <w:spacing w:after="0"/>
              <w:rPr>
                <w:sz w:val="15"/>
                <w:szCs w:val="15"/>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41,332</w:t>
            </w:r>
          </w:p>
        </w:tc>
        <w:tc>
          <w:tcPr>
            <w:tcW w:w="80" w:type="dxa"/>
            <w:vAlign w:val="bottom"/>
            <w:shd w:val="clear" w:color="auto" w:fill="CCEEFF"/>
          </w:tcPr>
          <w:p>
            <w:pPr>
              <w:spacing w:after="0"/>
              <w:rPr>
                <w:sz w:val="15"/>
                <w:szCs w:val="15"/>
                <w:color w:val="auto"/>
              </w:rPr>
            </w:pPr>
          </w:p>
        </w:tc>
        <w:tc>
          <w:tcPr>
            <w:tcW w:w="20" w:type="dxa"/>
            <w:vAlign w:val="bottom"/>
            <w:shd w:val="clear" w:color="auto" w:fill="000000"/>
          </w:tcPr>
          <w:p>
            <w:pPr>
              <w:spacing w:after="0"/>
              <w:rPr>
                <w:sz w:val="15"/>
                <w:szCs w:val="15"/>
                <w:color w:val="auto"/>
              </w:rPr>
            </w:pPr>
          </w:p>
        </w:tc>
        <w:tc>
          <w:tcPr>
            <w:tcW w:w="820" w:type="dxa"/>
            <w:vAlign w:val="bottom"/>
            <w:tcBorders>
              <w:left w:val="single" w:sz="8" w:color="CCEEFF"/>
            </w:tcBorders>
            <w:gridSpan w:val="2"/>
            <w:vMerge w:val="restart"/>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5"/>
                <w:szCs w:val="15"/>
                <w:color w:val="auto"/>
              </w:rPr>
            </w:pPr>
          </w:p>
        </w:tc>
        <w:tc>
          <w:tcPr>
            <w:tcW w:w="540" w:type="dxa"/>
            <w:vAlign w:val="bottom"/>
            <w:gridSpan w:val="2"/>
            <w:vMerge w:val="restart"/>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8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5"/>
                <w:szCs w:val="15"/>
                <w:color w:val="auto"/>
              </w:rPr>
            </w:pPr>
          </w:p>
        </w:tc>
        <w:tc>
          <w:tcPr>
            <w:tcW w:w="6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5"/>
                <w:szCs w:val="15"/>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(41,332)</w:t>
            </w: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40" w:type="dxa"/>
            <w:vAlign w:val="bottom"/>
            <w:gridSpan w:val="2"/>
            <w:vMerge w:val="restart"/>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5"/>
                <w:szCs w:val="15"/>
                <w:color w:val="auto"/>
              </w:rPr>
            </w:pPr>
          </w:p>
        </w:tc>
        <w:tc>
          <w:tcPr>
            <w:tcW w:w="13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5"/>
                <w:szCs w:val="15"/>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(41,332)</w:t>
            </w:r>
          </w:p>
        </w:tc>
        <w:tc>
          <w:tcPr>
            <w:tcW w:w="0" w:type="dxa"/>
            <w:vAlign w:val="bottom"/>
          </w:tcPr>
          <w:p>
            <w:pPr>
              <w:spacing w:after="0"/>
              <w:rPr>
                <w:sz w:val="1"/>
                <w:szCs w:val="1"/>
                <w:color w:val="auto"/>
              </w:rPr>
            </w:pPr>
          </w:p>
        </w:tc>
      </w:tr>
      <w:tr>
        <w:trPr>
          <w:trHeight w:val="235"/>
        </w:trPr>
        <w:tc>
          <w:tcPr>
            <w:tcW w:w="1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plus accretion</w:t>
            </w:r>
          </w:p>
        </w:tc>
        <w:tc>
          <w:tcPr>
            <w:tcW w:w="660" w:type="dxa"/>
            <w:vAlign w:val="bottom"/>
            <w:vMerge w:val="continue"/>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60" w:type="dxa"/>
            <w:vAlign w:val="bottom"/>
            <w:vMerge w:val="continue"/>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000000"/>
          </w:tcPr>
          <w:p>
            <w:pPr>
              <w:spacing w:after="0"/>
              <w:rPr>
                <w:sz w:val="20"/>
                <w:szCs w:val="20"/>
                <w:color w:val="auto"/>
              </w:rPr>
            </w:pPr>
          </w:p>
        </w:tc>
        <w:tc>
          <w:tcPr>
            <w:tcW w:w="820" w:type="dxa"/>
            <w:vAlign w:val="bottom"/>
            <w:tcBorders>
              <w:left w:val="single" w:sz="8" w:color="CCEEFF"/>
            </w:tcBorders>
            <w:gridSpan w:val="2"/>
            <w:vMerge w:val="continue"/>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540" w:type="dxa"/>
            <w:vAlign w:val="bottom"/>
            <w:gridSpan w:val="2"/>
            <w:vMerge w:val="continue"/>
            <w:shd w:val="clear" w:color="auto" w:fill="CCEEFF"/>
          </w:tcPr>
          <w:p>
            <w:pPr>
              <w:spacing w:after="0"/>
              <w:rPr>
                <w:sz w:val="20"/>
                <w:szCs w:val="20"/>
                <w:color w:val="auto"/>
              </w:rPr>
            </w:pPr>
          </w:p>
        </w:tc>
        <w:tc>
          <w:tcPr>
            <w:tcW w:w="820" w:type="dxa"/>
            <w:vAlign w:val="bottom"/>
            <w:gridSpan w:val="2"/>
            <w:vMerge w:val="continue"/>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600" w:type="dxa"/>
            <w:vAlign w:val="bottom"/>
            <w:gridSpan w:val="2"/>
            <w:vMerge w:val="continue"/>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60" w:type="dxa"/>
            <w:vAlign w:val="bottom"/>
            <w:vMerge w:val="continue"/>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40" w:type="dxa"/>
            <w:vAlign w:val="bottom"/>
            <w:gridSpan w:val="2"/>
            <w:vMerge w:val="continue"/>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340" w:type="dxa"/>
            <w:vAlign w:val="bottom"/>
            <w:gridSpan w:val="2"/>
            <w:vMerge w:val="continue"/>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00" w:type="dxa"/>
            <w:vAlign w:val="bottom"/>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118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 w:type="dxa"/>
            <w:vAlign w:val="bottom"/>
            <w:shd w:val="clear" w:color="auto" w:fill="000000"/>
          </w:tcPr>
          <w:p>
            <w:pPr>
              <w:spacing w:after="0"/>
              <w:rPr>
                <w:sz w:val="19"/>
                <w:szCs w:val="19"/>
                <w:color w:val="auto"/>
              </w:rPr>
            </w:pPr>
          </w:p>
        </w:tc>
        <w:tc>
          <w:tcPr>
            <w:tcW w:w="82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54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(113,491)</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(113,491)</w:t>
            </w:r>
          </w:p>
        </w:tc>
        <w:tc>
          <w:tcPr>
            <w:tcW w:w="0" w:type="dxa"/>
            <w:vAlign w:val="bottom"/>
          </w:tcPr>
          <w:p>
            <w:pPr>
              <w:spacing w:after="0"/>
              <w:rPr>
                <w:sz w:val="1"/>
                <w:szCs w:val="1"/>
                <w:color w:val="auto"/>
              </w:rPr>
            </w:pPr>
          </w:p>
        </w:tc>
      </w:tr>
      <w:tr>
        <w:trPr>
          <w:trHeight w:val="175"/>
        </w:trPr>
        <w:tc>
          <w:tcPr>
            <w:tcW w:w="118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Foreign</w:t>
            </w:r>
          </w:p>
        </w:tc>
        <w:tc>
          <w:tcPr>
            <w:tcW w:w="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000000"/>
          </w:tcPr>
          <w:p>
            <w:pPr>
              <w:spacing w:after="0"/>
              <w:rPr>
                <w:sz w:val="15"/>
                <w:szCs w:val="15"/>
                <w:color w:val="auto"/>
              </w:rPr>
            </w:pPr>
          </w:p>
        </w:tc>
        <w:tc>
          <w:tcPr>
            <w:tcW w:w="740" w:type="dxa"/>
            <w:vAlign w:val="bottom"/>
            <w:tcBorders>
              <w:left w:val="single" w:sz="8" w:color="CCEEFF"/>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18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currency</w:t>
            </w:r>
          </w:p>
        </w:tc>
        <w:tc>
          <w:tcPr>
            <w:tcW w:w="7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 w:type="dxa"/>
            <w:vAlign w:val="bottom"/>
            <w:shd w:val="clear" w:color="auto" w:fill="000000"/>
          </w:tcPr>
          <w:p>
            <w:pPr>
              <w:spacing w:after="0"/>
              <w:rPr>
                <w:sz w:val="15"/>
                <w:szCs w:val="15"/>
                <w:color w:val="auto"/>
              </w:rPr>
            </w:pPr>
          </w:p>
        </w:tc>
        <w:tc>
          <w:tcPr>
            <w:tcW w:w="820" w:type="dxa"/>
            <w:vAlign w:val="bottom"/>
            <w:tcBorders>
              <w:left w:val="single" w:sz="8" w:color="CCEEFF"/>
            </w:tcBorders>
            <w:gridSpan w:val="2"/>
            <w:vMerge w:val="restart"/>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5"/>
                <w:szCs w:val="15"/>
                <w:color w:val="auto"/>
              </w:rPr>
            </w:pPr>
          </w:p>
        </w:tc>
        <w:tc>
          <w:tcPr>
            <w:tcW w:w="540" w:type="dxa"/>
            <w:vAlign w:val="bottom"/>
            <w:gridSpan w:val="2"/>
            <w:vMerge w:val="restart"/>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8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5"/>
                <w:szCs w:val="15"/>
                <w:color w:val="auto"/>
              </w:rPr>
            </w:pPr>
          </w:p>
        </w:tc>
        <w:tc>
          <w:tcPr>
            <w:tcW w:w="6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5"/>
                <w:szCs w:val="15"/>
                <w:color w:val="auto"/>
              </w:rPr>
            </w:pPr>
          </w:p>
        </w:tc>
        <w:tc>
          <w:tcPr>
            <w:tcW w:w="9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5"/>
                <w:szCs w:val="15"/>
                <w:color w:val="auto"/>
              </w:rPr>
            </w:pPr>
          </w:p>
        </w:tc>
        <w:tc>
          <w:tcPr>
            <w:tcW w:w="1040" w:type="dxa"/>
            <w:vAlign w:val="bottom"/>
            <w:gridSpan w:val="2"/>
            <w:vMerge w:val="restart"/>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5"/>
                <w:szCs w:val="15"/>
                <w:color w:val="auto"/>
              </w:rPr>
            </w:pPr>
          </w:p>
        </w:tc>
        <w:tc>
          <w:tcPr>
            <w:tcW w:w="12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(45,100)</w:t>
            </w: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(45,100)</w:t>
            </w:r>
          </w:p>
        </w:tc>
        <w:tc>
          <w:tcPr>
            <w:tcW w:w="0" w:type="dxa"/>
            <w:vAlign w:val="bottom"/>
          </w:tcPr>
          <w:p>
            <w:pPr>
              <w:spacing w:after="0"/>
              <w:rPr>
                <w:sz w:val="1"/>
                <w:szCs w:val="1"/>
                <w:color w:val="auto"/>
              </w:rPr>
            </w:pPr>
          </w:p>
        </w:tc>
      </w:tr>
      <w:tr>
        <w:trPr>
          <w:trHeight w:val="243"/>
        </w:trPr>
        <w:tc>
          <w:tcPr>
            <w:tcW w:w="1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translation</w:t>
            </w:r>
          </w:p>
        </w:tc>
        <w:tc>
          <w:tcPr>
            <w:tcW w:w="740" w:type="dxa"/>
            <w:vAlign w:val="bottom"/>
            <w:gridSpan w:val="2"/>
            <w:vMerge w:val="continue"/>
            <w:shd w:val="clear" w:color="auto" w:fill="CCEEFF"/>
          </w:tcPr>
          <w:p>
            <w:pPr>
              <w:spacing w:after="0"/>
              <w:rPr>
                <w:sz w:val="21"/>
                <w:szCs w:val="21"/>
                <w:color w:val="auto"/>
              </w:rPr>
            </w:pPr>
          </w:p>
        </w:tc>
        <w:tc>
          <w:tcPr>
            <w:tcW w:w="940" w:type="dxa"/>
            <w:vAlign w:val="bottom"/>
            <w:gridSpan w:val="2"/>
            <w:vMerge w:val="continue"/>
            <w:shd w:val="clear" w:color="auto" w:fill="CCEEFF"/>
          </w:tcPr>
          <w:p>
            <w:pPr>
              <w:spacing w:after="0"/>
              <w:rPr>
                <w:sz w:val="21"/>
                <w:szCs w:val="21"/>
                <w:color w:val="auto"/>
              </w:rPr>
            </w:pPr>
          </w:p>
        </w:tc>
        <w:tc>
          <w:tcPr>
            <w:tcW w:w="20" w:type="dxa"/>
            <w:vAlign w:val="bottom"/>
            <w:shd w:val="clear" w:color="auto" w:fill="000000"/>
          </w:tcPr>
          <w:p>
            <w:pPr>
              <w:spacing w:after="0"/>
              <w:rPr>
                <w:sz w:val="21"/>
                <w:szCs w:val="21"/>
                <w:color w:val="auto"/>
              </w:rPr>
            </w:pPr>
          </w:p>
        </w:tc>
        <w:tc>
          <w:tcPr>
            <w:tcW w:w="820" w:type="dxa"/>
            <w:vAlign w:val="bottom"/>
            <w:tcBorders>
              <w:left w:val="single" w:sz="8" w:color="CCEEFF"/>
            </w:tcBorders>
            <w:gridSpan w:val="2"/>
            <w:vMerge w:val="continue"/>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540" w:type="dxa"/>
            <w:vAlign w:val="bottom"/>
            <w:gridSpan w:val="2"/>
            <w:vMerge w:val="continue"/>
            <w:shd w:val="clear" w:color="auto" w:fill="CCEEFF"/>
          </w:tcPr>
          <w:p>
            <w:pPr>
              <w:spacing w:after="0"/>
              <w:rPr>
                <w:sz w:val="21"/>
                <w:szCs w:val="21"/>
                <w:color w:val="auto"/>
              </w:rPr>
            </w:pPr>
          </w:p>
        </w:tc>
        <w:tc>
          <w:tcPr>
            <w:tcW w:w="820" w:type="dxa"/>
            <w:vAlign w:val="bottom"/>
            <w:gridSpan w:val="2"/>
            <w:vMerge w:val="continue"/>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600" w:type="dxa"/>
            <w:vAlign w:val="bottom"/>
            <w:gridSpan w:val="2"/>
            <w:vMerge w:val="continue"/>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40" w:type="dxa"/>
            <w:vAlign w:val="bottom"/>
            <w:gridSpan w:val="2"/>
            <w:vMerge w:val="continue"/>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40" w:type="dxa"/>
            <w:vAlign w:val="bottom"/>
            <w:gridSpan w:val="2"/>
            <w:vMerge w:val="continue"/>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60" w:type="dxa"/>
            <w:vAlign w:val="bottom"/>
            <w:vMerge w:val="continue"/>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0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56"/>
        </w:trPr>
        <w:tc>
          <w:tcPr>
            <w:tcW w:w="1180" w:type="dxa"/>
            <w:vAlign w:val="bottom"/>
          </w:tcPr>
          <w:p>
            <w:pPr>
              <w:ind w:left="20"/>
              <w:spacing w:after="0" w:line="156" w:lineRule="exact"/>
              <w:rPr>
                <w:sz w:val="20"/>
                <w:szCs w:val="20"/>
                <w:color w:val="auto"/>
              </w:rPr>
            </w:pPr>
            <w:r>
              <w:rPr>
                <w:rFonts w:ascii="Arial" w:cs="Arial" w:eastAsia="Arial" w:hAnsi="Arial"/>
                <w:sz w:val="18"/>
                <w:szCs w:val="18"/>
                <w:b w:val="1"/>
                <w:bCs w:val="1"/>
                <w:color w:val="auto"/>
              </w:rPr>
              <w:t>Balance at</w:t>
            </w:r>
          </w:p>
        </w:tc>
        <w:tc>
          <w:tcPr>
            <w:tcW w:w="66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Borders>
              <w:top w:val="single" w:sz="8" w:color="auto"/>
            </w:tcBorders>
            <w:shd w:val="clear" w:color="auto" w:fill="000000"/>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4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5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26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1180" w:type="dxa"/>
            <w:vAlign w:val="bottom"/>
          </w:tcPr>
          <w:p>
            <w:pPr>
              <w:ind w:left="20"/>
              <w:spacing w:after="0" w:line="176" w:lineRule="exact"/>
              <w:rPr>
                <w:sz w:val="20"/>
                <w:szCs w:val="20"/>
                <w:color w:val="auto"/>
              </w:rPr>
            </w:pPr>
            <w:r>
              <w:rPr>
                <w:rFonts w:ascii="Arial" w:cs="Arial" w:eastAsia="Arial" w:hAnsi="Arial"/>
                <w:sz w:val="18"/>
                <w:szCs w:val="18"/>
                <w:b w:val="1"/>
                <w:bCs w:val="1"/>
                <w:color w:val="auto"/>
              </w:rPr>
              <w:t>September</w:t>
            </w:r>
          </w:p>
        </w:tc>
        <w:tc>
          <w:tcPr>
            <w:tcW w:w="660" w:type="dxa"/>
            <w:vAlign w:val="bottom"/>
            <w:vMerge w:val="restart"/>
          </w:tcPr>
          <w:p>
            <w:pPr>
              <w:jc w:val="right"/>
              <w:spacing w:after="0"/>
              <w:rPr>
                <w:sz w:val="20"/>
                <w:szCs w:val="20"/>
                <w:color w:val="auto"/>
              </w:rPr>
            </w:pPr>
            <w:r>
              <w:rPr>
                <w:rFonts w:ascii="Arial" w:cs="Arial" w:eastAsia="Arial" w:hAnsi="Arial"/>
                <w:sz w:val="18"/>
                <w:szCs w:val="18"/>
                <w:color w:val="auto"/>
              </w:rPr>
              <w:t>453</w:t>
            </w:r>
          </w:p>
        </w:tc>
        <w:tc>
          <w:tcPr>
            <w:tcW w:w="80" w:type="dxa"/>
            <w:vAlign w:val="bottom"/>
          </w:tcPr>
          <w:p>
            <w:pPr>
              <w:spacing w:after="0"/>
              <w:rPr>
                <w:sz w:val="15"/>
                <w:szCs w:val="15"/>
                <w:color w:val="auto"/>
              </w:rPr>
            </w:pPr>
          </w:p>
        </w:tc>
        <w:tc>
          <w:tcPr>
            <w:tcW w:w="860" w:type="dxa"/>
            <w:vAlign w:val="bottom"/>
            <w:vMerge w:val="restart"/>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392,592</w:t>
            </w:r>
          </w:p>
        </w:tc>
        <w:tc>
          <w:tcPr>
            <w:tcW w:w="80" w:type="dxa"/>
            <w:vAlign w:val="bottom"/>
          </w:tcPr>
          <w:p>
            <w:pPr>
              <w:spacing w:after="0"/>
              <w:rPr>
                <w:sz w:val="15"/>
                <w:szCs w:val="15"/>
                <w:color w:val="auto"/>
              </w:rPr>
            </w:pPr>
          </w:p>
        </w:tc>
        <w:tc>
          <w:tcPr>
            <w:tcW w:w="20" w:type="dxa"/>
            <w:vAlign w:val="bottom"/>
            <w:shd w:val="clear" w:color="auto" w:fill="000000"/>
          </w:tcPr>
          <w:p>
            <w:pPr>
              <w:spacing w:after="0"/>
              <w:rPr>
                <w:sz w:val="15"/>
                <w:szCs w:val="15"/>
                <w:color w:val="auto"/>
              </w:rPr>
            </w:pPr>
          </w:p>
        </w:tc>
        <w:tc>
          <w:tcPr>
            <w:tcW w:w="740" w:type="dxa"/>
            <w:vAlign w:val="bottom"/>
            <w:vMerge w:val="restart"/>
          </w:tcPr>
          <w:p>
            <w:pPr>
              <w:ind w:left="480"/>
              <w:spacing w:after="0"/>
              <w:rPr>
                <w:sz w:val="20"/>
                <w:szCs w:val="20"/>
                <w:color w:val="auto"/>
              </w:rPr>
            </w:pPr>
            <w:r>
              <w:rPr>
                <w:rFonts w:ascii="Arial" w:cs="Arial" w:eastAsia="Arial" w:hAnsi="Arial"/>
                <w:sz w:val="18"/>
                <w:szCs w:val="18"/>
                <w:color w:val="auto"/>
              </w:rPr>
              <w:t>—</w:t>
            </w:r>
          </w:p>
        </w:tc>
        <w:tc>
          <w:tcPr>
            <w:tcW w:w="80" w:type="dxa"/>
            <w:vAlign w:val="bottom"/>
            <w:vMerge w:val="restart"/>
          </w:tcPr>
          <w:p>
            <w:pPr>
              <w:spacing w:after="0"/>
              <w:rPr>
                <w:sz w:val="15"/>
                <w:szCs w:val="15"/>
                <w:color w:val="auto"/>
              </w:rPr>
            </w:pPr>
          </w:p>
        </w:tc>
        <w:tc>
          <w:tcPr>
            <w:tcW w:w="300" w:type="dxa"/>
            <w:vAlign w:val="bottom"/>
            <w:vMerge w:val="restart"/>
          </w:tcPr>
          <w:p>
            <w:pPr>
              <w:ind w:left="20"/>
              <w:spacing w:after="0"/>
              <w:rPr>
                <w:sz w:val="20"/>
                <w:szCs w:val="20"/>
                <w:color w:val="auto"/>
              </w:rPr>
            </w:pPr>
            <w:r>
              <w:rPr>
                <w:rFonts w:ascii="Arial" w:cs="Arial" w:eastAsia="Arial" w:hAnsi="Arial"/>
                <w:sz w:val="18"/>
                <w:szCs w:val="18"/>
                <w:color w:val="auto"/>
              </w:rPr>
              <w:t>$</w:t>
            </w:r>
          </w:p>
        </w:tc>
        <w:tc>
          <w:tcPr>
            <w:tcW w:w="440" w:type="dxa"/>
            <w:vAlign w:val="bottom"/>
            <w:vMerge w:val="restart"/>
          </w:tcPr>
          <w:p>
            <w:pPr>
              <w:ind w:left="200"/>
              <w:spacing w:after="0"/>
              <w:rPr>
                <w:sz w:val="20"/>
                <w:szCs w:val="20"/>
                <w:color w:val="auto"/>
              </w:rPr>
            </w:pPr>
            <w:r>
              <w:rPr>
                <w:rFonts w:ascii="Arial" w:cs="Arial" w:eastAsia="Arial" w:hAnsi="Arial"/>
                <w:sz w:val="18"/>
                <w:szCs w:val="18"/>
                <w:color w:val="auto"/>
              </w:rPr>
              <w:t>—</w:t>
            </w:r>
          </w:p>
        </w:tc>
        <w:tc>
          <w:tcPr>
            <w:tcW w:w="100" w:type="dxa"/>
            <w:vAlign w:val="bottom"/>
            <w:vMerge w:val="restart"/>
          </w:tcPr>
          <w:p>
            <w:pPr>
              <w:spacing w:after="0"/>
              <w:rPr>
                <w:sz w:val="15"/>
                <w:szCs w:val="15"/>
                <w:color w:val="auto"/>
              </w:rPr>
            </w:pPr>
          </w:p>
        </w:tc>
        <w:tc>
          <w:tcPr>
            <w:tcW w:w="740" w:type="dxa"/>
            <w:vAlign w:val="bottom"/>
            <w:vMerge w:val="restart"/>
          </w:tcPr>
          <w:p>
            <w:pPr>
              <w:jc w:val="right"/>
              <w:spacing w:after="0"/>
              <w:rPr>
                <w:sz w:val="20"/>
                <w:szCs w:val="20"/>
                <w:color w:val="auto"/>
              </w:rPr>
            </w:pPr>
            <w:r>
              <w:rPr>
                <w:rFonts w:ascii="Arial" w:cs="Arial" w:eastAsia="Arial" w:hAnsi="Arial"/>
                <w:sz w:val="18"/>
                <w:szCs w:val="18"/>
                <w:color w:val="auto"/>
                <w:w w:val="98"/>
              </w:rPr>
              <w:t>151,934</w:t>
            </w:r>
          </w:p>
        </w:tc>
        <w:tc>
          <w:tcPr>
            <w:tcW w:w="80" w:type="dxa"/>
            <w:vAlign w:val="bottom"/>
          </w:tcPr>
          <w:p>
            <w:pPr>
              <w:spacing w:after="0"/>
              <w:rPr>
                <w:sz w:val="15"/>
                <w:szCs w:val="15"/>
                <w:color w:val="auto"/>
              </w:rPr>
            </w:pPr>
          </w:p>
        </w:tc>
        <w:tc>
          <w:tcPr>
            <w:tcW w:w="240" w:type="dxa"/>
            <w:vAlign w:val="bottom"/>
            <w:vMerge w:val="restart"/>
          </w:tcPr>
          <w:p>
            <w:pPr>
              <w:ind w:left="20"/>
              <w:spacing w:after="0"/>
              <w:rPr>
                <w:sz w:val="20"/>
                <w:szCs w:val="20"/>
                <w:color w:val="auto"/>
              </w:rPr>
            </w:pPr>
            <w:r>
              <w:rPr>
                <w:rFonts w:ascii="Arial" w:cs="Arial" w:eastAsia="Arial" w:hAnsi="Arial"/>
                <w:sz w:val="18"/>
                <w:szCs w:val="18"/>
                <w:color w:val="auto"/>
              </w:rPr>
              <w:t>$</w:t>
            </w:r>
          </w:p>
        </w:tc>
        <w:tc>
          <w:tcPr>
            <w:tcW w:w="500" w:type="dxa"/>
            <w:vAlign w:val="bottom"/>
            <w:vMerge w:val="restart"/>
          </w:tcPr>
          <w:p>
            <w:pPr>
              <w:jc w:val="right"/>
              <w:spacing w:after="0"/>
              <w:rPr>
                <w:sz w:val="20"/>
                <w:szCs w:val="20"/>
                <w:color w:val="auto"/>
              </w:rPr>
            </w:pPr>
            <w:r>
              <w:rPr>
                <w:rFonts w:ascii="Arial" w:cs="Arial" w:eastAsia="Arial" w:hAnsi="Arial"/>
                <w:sz w:val="18"/>
                <w:szCs w:val="18"/>
                <w:color w:val="auto"/>
              </w:rPr>
              <w:t>151</w:t>
            </w:r>
          </w:p>
        </w:tc>
        <w:tc>
          <w:tcPr>
            <w:tcW w:w="100" w:type="dxa"/>
            <w:vAlign w:val="bottom"/>
          </w:tcPr>
          <w:p>
            <w:pPr>
              <w:spacing w:after="0"/>
              <w:rPr>
                <w:sz w:val="15"/>
                <w:szCs w:val="15"/>
                <w:color w:val="auto"/>
              </w:rPr>
            </w:pPr>
          </w:p>
        </w:tc>
        <w:tc>
          <w:tcPr>
            <w:tcW w:w="12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rPr>
              <w:t>308,347</w:t>
            </w:r>
          </w:p>
        </w:tc>
        <w:tc>
          <w:tcPr>
            <w:tcW w:w="80" w:type="dxa"/>
            <w:vAlign w:val="bottom"/>
          </w:tcPr>
          <w:p>
            <w:pPr>
              <w:spacing w:after="0"/>
              <w:rPr>
                <w:sz w:val="15"/>
                <w:szCs w:val="15"/>
                <w:color w:val="auto"/>
              </w:rPr>
            </w:pPr>
          </w:p>
        </w:tc>
        <w:tc>
          <w:tcPr>
            <w:tcW w:w="220" w:type="dxa"/>
            <w:vAlign w:val="bottom"/>
            <w:vMerge w:val="restart"/>
          </w:tcPr>
          <w:p>
            <w:pPr>
              <w:ind w:left="20"/>
              <w:spacing w:after="0"/>
              <w:rPr>
                <w:sz w:val="20"/>
                <w:szCs w:val="20"/>
                <w:color w:val="auto"/>
              </w:rPr>
            </w:pPr>
            <w:r>
              <w:rPr>
                <w:rFonts w:ascii="Arial" w:cs="Arial" w:eastAsia="Arial" w:hAnsi="Arial"/>
                <w:sz w:val="18"/>
                <w:szCs w:val="18"/>
                <w:color w:val="auto"/>
              </w:rPr>
              <w:t>$</w:t>
            </w:r>
          </w:p>
        </w:tc>
        <w:tc>
          <w:tcPr>
            <w:tcW w:w="960" w:type="dxa"/>
            <w:vAlign w:val="bottom"/>
            <w:vMerge w:val="restart"/>
          </w:tcPr>
          <w:p>
            <w:pPr>
              <w:jc w:val="right"/>
              <w:spacing w:after="0"/>
              <w:rPr>
                <w:sz w:val="20"/>
                <w:szCs w:val="20"/>
                <w:color w:val="auto"/>
              </w:rPr>
            </w:pPr>
            <w:r>
              <w:rPr>
                <w:rFonts w:ascii="Arial" w:cs="Arial" w:eastAsia="Arial" w:hAnsi="Arial"/>
                <w:sz w:val="18"/>
                <w:szCs w:val="18"/>
                <w:color w:val="auto"/>
              </w:rPr>
              <w:t>(243,721)</w:t>
            </w:r>
          </w:p>
        </w:tc>
        <w:tc>
          <w:tcPr>
            <w:tcW w:w="80" w:type="dxa"/>
            <w:vAlign w:val="bottom"/>
          </w:tcPr>
          <w:p>
            <w:pPr>
              <w:spacing w:after="0"/>
              <w:rPr>
                <w:sz w:val="15"/>
                <w:szCs w:val="15"/>
                <w:color w:val="auto"/>
              </w:rPr>
            </w:pPr>
          </w:p>
        </w:tc>
        <w:tc>
          <w:tcPr>
            <w:tcW w:w="14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vMerge w:val="restart"/>
          </w:tcPr>
          <w:p>
            <w:pPr>
              <w:jc w:val="right"/>
              <w:spacing w:after="0"/>
              <w:rPr>
                <w:sz w:val="20"/>
                <w:szCs w:val="20"/>
                <w:color w:val="auto"/>
              </w:rPr>
            </w:pPr>
            <w:r>
              <w:rPr>
                <w:rFonts w:ascii="Arial" w:cs="Arial" w:eastAsia="Arial" w:hAnsi="Arial"/>
                <w:sz w:val="18"/>
                <w:szCs w:val="18"/>
                <w:color w:val="auto"/>
              </w:rPr>
              <w:t>(290)</w:t>
            </w:r>
          </w:p>
        </w:tc>
        <w:tc>
          <w:tcPr>
            <w:tcW w:w="80" w:type="dxa"/>
            <w:vAlign w:val="bottom"/>
          </w:tcPr>
          <w:p>
            <w:pPr>
              <w:spacing w:after="0"/>
              <w:rPr>
                <w:sz w:val="15"/>
                <w:szCs w:val="15"/>
                <w:color w:val="auto"/>
              </w:rPr>
            </w:pPr>
          </w:p>
        </w:tc>
        <w:tc>
          <w:tcPr>
            <w:tcW w:w="240" w:type="dxa"/>
            <w:vAlign w:val="bottom"/>
            <w:vMerge w:val="restart"/>
          </w:tcPr>
          <w:p>
            <w:pPr>
              <w:ind w:left="20"/>
              <w:spacing w:after="0"/>
              <w:rPr>
                <w:sz w:val="20"/>
                <w:szCs w:val="20"/>
                <w:color w:val="auto"/>
              </w:rPr>
            </w:pPr>
            <w:r>
              <w:rPr>
                <w:rFonts w:ascii="Arial" w:cs="Arial" w:eastAsia="Arial" w:hAnsi="Arial"/>
                <w:sz w:val="18"/>
                <w:szCs w:val="18"/>
                <w:color w:val="auto"/>
              </w:rPr>
              <w:t>$</w:t>
            </w:r>
          </w:p>
        </w:tc>
        <w:tc>
          <w:tcPr>
            <w:tcW w:w="1000" w:type="dxa"/>
            <w:vAlign w:val="bottom"/>
            <w:vMerge w:val="restart"/>
          </w:tcPr>
          <w:p>
            <w:pPr>
              <w:jc w:val="right"/>
              <w:spacing w:after="0"/>
              <w:rPr>
                <w:sz w:val="20"/>
                <w:szCs w:val="20"/>
                <w:color w:val="auto"/>
              </w:rPr>
            </w:pPr>
            <w:r>
              <w:rPr>
                <w:rFonts w:ascii="Arial" w:cs="Arial" w:eastAsia="Arial" w:hAnsi="Arial"/>
                <w:sz w:val="18"/>
                <w:szCs w:val="18"/>
                <w:color w:val="auto"/>
              </w:rPr>
              <w:t>64,487</w:t>
            </w:r>
          </w:p>
        </w:tc>
        <w:tc>
          <w:tcPr>
            <w:tcW w:w="0" w:type="dxa"/>
            <w:vAlign w:val="bottom"/>
          </w:tcPr>
          <w:p>
            <w:pPr>
              <w:spacing w:after="0"/>
              <w:rPr>
                <w:sz w:val="1"/>
                <w:szCs w:val="1"/>
                <w:color w:val="auto"/>
              </w:rPr>
            </w:pPr>
          </w:p>
        </w:tc>
      </w:tr>
      <w:tr>
        <w:trPr>
          <w:trHeight w:val="256"/>
        </w:trPr>
        <w:tc>
          <w:tcPr>
            <w:tcW w:w="1180" w:type="dxa"/>
            <w:vAlign w:val="bottom"/>
          </w:tcPr>
          <w:p>
            <w:pPr>
              <w:ind w:left="20"/>
              <w:spacing w:after="0"/>
              <w:rPr>
                <w:sz w:val="20"/>
                <w:szCs w:val="20"/>
                <w:color w:val="auto"/>
              </w:rPr>
            </w:pPr>
            <w:r>
              <w:rPr>
                <w:rFonts w:ascii="Arial" w:cs="Arial" w:eastAsia="Arial" w:hAnsi="Arial"/>
                <w:sz w:val="18"/>
                <w:szCs w:val="18"/>
                <w:b w:val="1"/>
                <w:bCs w:val="1"/>
                <w:color w:val="auto"/>
              </w:rPr>
              <w:t>30, 2024</w:t>
            </w:r>
          </w:p>
        </w:tc>
        <w:tc>
          <w:tcPr>
            <w:tcW w:w="660" w:type="dxa"/>
            <w:vAlign w:val="bottom"/>
            <w:tcBorders>
              <w:bottom w:val="single" w:sz="8" w:color="auto"/>
            </w:tcBorders>
            <w:vMerge w:val="continue"/>
          </w:tcPr>
          <w:p>
            <w:pPr>
              <w:spacing w:after="0"/>
              <w:rPr>
                <w:sz w:val="22"/>
                <w:szCs w:val="22"/>
                <w:color w:val="auto"/>
              </w:rPr>
            </w:pPr>
          </w:p>
        </w:tc>
        <w:tc>
          <w:tcPr>
            <w:tcW w:w="80" w:type="dxa"/>
            <w:vAlign w:val="bottom"/>
          </w:tcPr>
          <w:p>
            <w:pPr>
              <w:spacing w:after="0"/>
              <w:rPr>
                <w:sz w:val="22"/>
                <w:szCs w:val="22"/>
                <w:color w:val="auto"/>
              </w:rPr>
            </w:pPr>
          </w:p>
        </w:tc>
        <w:tc>
          <w:tcPr>
            <w:tcW w:w="860" w:type="dxa"/>
            <w:vAlign w:val="bottom"/>
            <w:tcBorders>
              <w:bottom w:val="single" w:sz="8" w:color="auto"/>
            </w:tcBorders>
            <w:vMerge w:val="continue"/>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Borders>
              <w:bottom w:val="single" w:sz="8" w:color="auto"/>
            </w:tcBorders>
            <w:shd w:val="clear" w:color="auto" w:fill="000000"/>
          </w:tcPr>
          <w:p>
            <w:pPr>
              <w:spacing w:after="0"/>
              <w:rPr>
                <w:sz w:val="22"/>
                <w:szCs w:val="22"/>
                <w:color w:val="auto"/>
              </w:rPr>
            </w:pPr>
          </w:p>
        </w:tc>
        <w:tc>
          <w:tcPr>
            <w:tcW w:w="740" w:type="dxa"/>
            <w:vAlign w:val="bottom"/>
            <w:tcBorders>
              <w:bottom w:val="single" w:sz="8" w:color="auto"/>
            </w:tcBorders>
            <w:vMerge w:val="continue"/>
          </w:tcPr>
          <w:p>
            <w:pPr>
              <w:spacing w:after="0"/>
              <w:rPr>
                <w:sz w:val="22"/>
                <w:szCs w:val="22"/>
                <w:color w:val="auto"/>
              </w:rPr>
            </w:pPr>
          </w:p>
        </w:tc>
        <w:tc>
          <w:tcPr>
            <w:tcW w:w="80" w:type="dxa"/>
            <w:vAlign w:val="bottom"/>
            <w:vMerge w:val="continue"/>
          </w:tcPr>
          <w:p>
            <w:pPr>
              <w:spacing w:after="0"/>
              <w:rPr>
                <w:sz w:val="22"/>
                <w:szCs w:val="22"/>
                <w:color w:val="auto"/>
              </w:rPr>
            </w:pPr>
          </w:p>
        </w:tc>
        <w:tc>
          <w:tcPr>
            <w:tcW w:w="300" w:type="dxa"/>
            <w:vAlign w:val="bottom"/>
            <w:tcBorders>
              <w:bottom w:val="single" w:sz="8" w:color="auto"/>
            </w:tcBorders>
            <w:vMerge w:val="continue"/>
          </w:tcPr>
          <w:p>
            <w:pPr>
              <w:spacing w:after="0"/>
              <w:rPr>
                <w:sz w:val="22"/>
                <w:szCs w:val="22"/>
                <w:color w:val="auto"/>
              </w:rPr>
            </w:pPr>
          </w:p>
        </w:tc>
        <w:tc>
          <w:tcPr>
            <w:tcW w:w="440" w:type="dxa"/>
            <w:vAlign w:val="bottom"/>
            <w:tcBorders>
              <w:bottom w:val="single" w:sz="8" w:color="auto"/>
            </w:tcBorders>
            <w:vMerge w:val="continue"/>
          </w:tcPr>
          <w:p>
            <w:pPr>
              <w:spacing w:after="0"/>
              <w:rPr>
                <w:sz w:val="22"/>
                <w:szCs w:val="22"/>
                <w:color w:val="auto"/>
              </w:rPr>
            </w:pPr>
          </w:p>
        </w:tc>
        <w:tc>
          <w:tcPr>
            <w:tcW w:w="100" w:type="dxa"/>
            <w:vAlign w:val="bottom"/>
            <w:vMerge w:val="continue"/>
          </w:tcPr>
          <w:p>
            <w:pPr>
              <w:spacing w:after="0"/>
              <w:rPr>
                <w:sz w:val="22"/>
                <w:szCs w:val="22"/>
                <w:color w:val="auto"/>
              </w:rPr>
            </w:pPr>
          </w:p>
        </w:tc>
        <w:tc>
          <w:tcPr>
            <w:tcW w:w="740" w:type="dxa"/>
            <w:vAlign w:val="bottom"/>
            <w:tcBorders>
              <w:bottom w:val="single" w:sz="8" w:color="auto"/>
            </w:tcBorders>
            <w:vMerge w:val="continue"/>
          </w:tcPr>
          <w:p>
            <w:pPr>
              <w:spacing w:after="0"/>
              <w:rPr>
                <w:sz w:val="22"/>
                <w:szCs w:val="22"/>
                <w:color w:val="auto"/>
              </w:rPr>
            </w:pPr>
          </w:p>
        </w:tc>
        <w:tc>
          <w:tcPr>
            <w:tcW w:w="80" w:type="dxa"/>
            <w:vAlign w:val="bottom"/>
          </w:tcPr>
          <w:p>
            <w:pPr>
              <w:spacing w:after="0"/>
              <w:rPr>
                <w:sz w:val="22"/>
                <w:szCs w:val="22"/>
                <w:color w:val="auto"/>
              </w:rPr>
            </w:pPr>
          </w:p>
        </w:tc>
        <w:tc>
          <w:tcPr>
            <w:tcW w:w="240" w:type="dxa"/>
            <w:vAlign w:val="bottom"/>
            <w:tcBorders>
              <w:bottom w:val="single" w:sz="8" w:color="auto"/>
            </w:tcBorders>
            <w:vMerge w:val="continue"/>
          </w:tcPr>
          <w:p>
            <w:pPr>
              <w:spacing w:after="0"/>
              <w:rPr>
                <w:sz w:val="22"/>
                <w:szCs w:val="22"/>
                <w:color w:val="auto"/>
              </w:rPr>
            </w:pPr>
          </w:p>
        </w:tc>
        <w:tc>
          <w:tcPr>
            <w:tcW w:w="500" w:type="dxa"/>
            <w:vAlign w:val="bottom"/>
            <w:tcBorders>
              <w:bottom w:val="single" w:sz="8" w:color="auto"/>
            </w:tcBorders>
            <w:vMerge w:val="continue"/>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Borders>
              <w:bottom w:val="single" w:sz="8" w:color="auto"/>
            </w:tcBorders>
            <w:vMerge w:val="continue"/>
          </w:tcPr>
          <w:p>
            <w:pPr>
              <w:spacing w:after="0"/>
              <w:rPr>
                <w:sz w:val="22"/>
                <w:szCs w:val="22"/>
                <w:color w:val="auto"/>
              </w:rPr>
            </w:pPr>
          </w:p>
        </w:tc>
        <w:tc>
          <w:tcPr>
            <w:tcW w:w="860" w:type="dxa"/>
            <w:vAlign w:val="bottom"/>
            <w:tcBorders>
              <w:bottom w:val="single" w:sz="8" w:color="auto"/>
            </w:tcBorders>
            <w:vMerge w:val="continue"/>
          </w:tcPr>
          <w:p>
            <w:pPr>
              <w:spacing w:after="0"/>
              <w:rPr>
                <w:sz w:val="22"/>
                <w:szCs w:val="22"/>
                <w:color w:val="auto"/>
              </w:rPr>
            </w:pPr>
          </w:p>
        </w:tc>
        <w:tc>
          <w:tcPr>
            <w:tcW w:w="80" w:type="dxa"/>
            <w:vAlign w:val="bottom"/>
          </w:tcPr>
          <w:p>
            <w:pPr>
              <w:spacing w:after="0"/>
              <w:rPr>
                <w:sz w:val="22"/>
                <w:szCs w:val="22"/>
                <w:color w:val="auto"/>
              </w:rPr>
            </w:pPr>
          </w:p>
        </w:tc>
        <w:tc>
          <w:tcPr>
            <w:tcW w:w="220" w:type="dxa"/>
            <w:vAlign w:val="bottom"/>
            <w:tcBorders>
              <w:bottom w:val="single" w:sz="8" w:color="auto"/>
            </w:tcBorders>
            <w:vMerge w:val="continue"/>
          </w:tcPr>
          <w:p>
            <w:pPr>
              <w:spacing w:after="0"/>
              <w:rPr>
                <w:sz w:val="22"/>
                <w:szCs w:val="22"/>
                <w:color w:val="auto"/>
              </w:rPr>
            </w:pPr>
          </w:p>
        </w:tc>
        <w:tc>
          <w:tcPr>
            <w:tcW w:w="960" w:type="dxa"/>
            <w:vAlign w:val="bottom"/>
            <w:tcBorders>
              <w:bottom w:val="single" w:sz="8" w:color="auto"/>
            </w:tcBorders>
            <w:vMerge w:val="continue"/>
          </w:tcPr>
          <w:p>
            <w:pPr>
              <w:spacing w:after="0"/>
              <w:rPr>
                <w:sz w:val="22"/>
                <w:szCs w:val="22"/>
                <w:color w:val="auto"/>
              </w:rPr>
            </w:pPr>
          </w:p>
        </w:tc>
        <w:tc>
          <w:tcPr>
            <w:tcW w:w="80" w:type="dxa"/>
            <w:vAlign w:val="bottom"/>
          </w:tcPr>
          <w:p>
            <w:pPr>
              <w:spacing w:after="0"/>
              <w:rPr>
                <w:sz w:val="22"/>
                <w:szCs w:val="22"/>
                <w:color w:val="auto"/>
              </w:rPr>
            </w:pPr>
          </w:p>
        </w:tc>
        <w:tc>
          <w:tcPr>
            <w:tcW w:w="140" w:type="dxa"/>
            <w:vAlign w:val="bottom"/>
            <w:tcBorders>
              <w:bottom w:val="single" w:sz="8" w:color="auto"/>
            </w:tcBorders>
            <w:vMerge w:val="continue"/>
          </w:tcPr>
          <w:p>
            <w:pPr>
              <w:spacing w:after="0"/>
              <w:rPr>
                <w:sz w:val="22"/>
                <w:szCs w:val="22"/>
                <w:color w:val="auto"/>
              </w:rPr>
            </w:pPr>
          </w:p>
        </w:tc>
        <w:tc>
          <w:tcPr>
            <w:tcW w:w="1260" w:type="dxa"/>
            <w:vAlign w:val="bottom"/>
            <w:tcBorders>
              <w:bottom w:val="single" w:sz="8" w:color="auto"/>
            </w:tcBorders>
            <w:vMerge w:val="continue"/>
          </w:tcPr>
          <w:p>
            <w:pPr>
              <w:spacing w:after="0"/>
              <w:rPr>
                <w:sz w:val="22"/>
                <w:szCs w:val="22"/>
                <w:color w:val="auto"/>
              </w:rPr>
            </w:pPr>
          </w:p>
        </w:tc>
        <w:tc>
          <w:tcPr>
            <w:tcW w:w="80" w:type="dxa"/>
            <w:vAlign w:val="bottom"/>
          </w:tcPr>
          <w:p>
            <w:pPr>
              <w:spacing w:after="0"/>
              <w:rPr>
                <w:sz w:val="22"/>
                <w:szCs w:val="22"/>
                <w:color w:val="auto"/>
              </w:rPr>
            </w:pPr>
          </w:p>
        </w:tc>
        <w:tc>
          <w:tcPr>
            <w:tcW w:w="240" w:type="dxa"/>
            <w:vAlign w:val="bottom"/>
            <w:tcBorders>
              <w:bottom w:val="single" w:sz="8" w:color="auto"/>
            </w:tcBorders>
            <w:vMerge w:val="continue"/>
          </w:tcPr>
          <w:p>
            <w:pPr>
              <w:spacing w:after="0"/>
              <w:rPr>
                <w:sz w:val="22"/>
                <w:szCs w:val="22"/>
                <w:color w:val="auto"/>
              </w:rPr>
            </w:pPr>
          </w:p>
        </w:tc>
        <w:tc>
          <w:tcPr>
            <w:tcW w:w="1000" w:type="dxa"/>
            <w:vAlign w:val="bottom"/>
            <w:tcBorders>
              <w:bottom w:val="single" w:sz="8" w:color="auto"/>
            </w:tcBorders>
            <w:vMerge w:val="continue"/>
          </w:tcPr>
          <w:p>
            <w:pPr>
              <w:spacing w:after="0"/>
              <w:rPr>
                <w:sz w:val="22"/>
                <w:szCs w:val="2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78105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02" w:right="339" w:bottom="1440" w:gutter="0" w:footer="0" w:header="0"/>
        </w:sectPr>
      </w:pPr>
    </w:p>
    <w:bookmarkStart w:id="11" w:name="page12"/>
    <w:bookmarkEnd w:id="11"/>
    <w:p>
      <w:pPr>
        <w:ind w:left="4460"/>
        <w:spacing w:after="0"/>
        <w:rPr>
          <w:sz w:val="20"/>
          <w:szCs w:val="20"/>
          <w:color w:val="auto"/>
        </w:rPr>
      </w:pPr>
      <w:r>
        <w:rPr>
          <w:rFonts w:ascii="Arial" w:cs="Arial" w:eastAsia="Arial" w:hAnsi="Arial"/>
          <w:sz w:val="20"/>
          <w:szCs w:val="20"/>
          <w:b w:val="1"/>
          <w:bCs w:val="1"/>
          <w:color w:val="auto"/>
        </w:rPr>
        <w:t>Array Technologies, Inc.</w:t>
      </w:r>
    </w:p>
    <w:p>
      <w:pPr>
        <w:spacing w:after="0" w:line="33" w:lineRule="exact"/>
        <w:rPr>
          <w:sz w:val="20"/>
          <w:szCs w:val="20"/>
          <w:color w:val="auto"/>
        </w:rPr>
      </w:pPr>
    </w:p>
    <w:p>
      <w:pPr>
        <w:ind w:left="2580"/>
        <w:spacing w:after="0"/>
        <w:rPr>
          <w:sz w:val="20"/>
          <w:szCs w:val="20"/>
          <w:color w:val="auto"/>
        </w:rPr>
      </w:pPr>
      <w:r>
        <w:rPr>
          <w:rFonts w:ascii="Arial" w:cs="Arial" w:eastAsia="Arial" w:hAnsi="Arial"/>
          <w:sz w:val="20"/>
          <w:szCs w:val="20"/>
          <w:b w:val="1"/>
          <w:bCs w:val="1"/>
          <w:color w:val="auto"/>
        </w:rPr>
        <w:t xml:space="preserve">Condensed Consolidated Statements of Cash Flows </w:t>
      </w:r>
      <w:r>
        <w:rPr>
          <w:rFonts w:ascii="Arial" w:cs="Arial" w:eastAsia="Arial" w:hAnsi="Arial"/>
          <w:sz w:val="20"/>
          <w:szCs w:val="20"/>
          <w:b w:val="1"/>
          <w:bCs w:val="1"/>
          <w:i w:val="1"/>
          <w:iCs w:val="1"/>
          <w:color w:val="auto"/>
        </w:rPr>
        <w:t>(unaudited)</w:t>
      </w:r>
    </w:p>
    <w:p>
      <w:pPr>
        <w:jc w:val="center"/>
        <w:spacing w:after="0"/>
        <w:rPr>
          <w:sz w:val="20"/>
          <w:szCs w:val="20"/>
          <w:color w:val="auto"/>
        </w:rPr>
      </w:pPr>
      <w:r>
        <w:rPr>
          <w:rFonts w:ascii="Arial" w:cs="Arial" w:eastAsia="Arial" w:hAnsi="Arial"/>
          <w:sz w:val="20"/>
          <w:szCs w:val="20"/>
          <w:i w:val="1"/>
          <w:iCs w:val="1"/>
          <w:color w:val="auto"/>
        </w:rPr>
        <w:t>(in thousands)</w:t>
      </w:r>
    </w:p>
    <w:p>
      <w:pPr>
        <w:spacing w:after="0" w:line="200" w:lineRule="exact"/>
        <w:rPr>
          <w:sz w:val="20"/>
          <w:szCs w:val="20"/>
          <w:color w:val="auto"/>
        </w:rPr>
      </w:pP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67"/>
        </w:trPr>
        <w:tc>
          <w:tcPr>
            <w:tcW w:w="6500" w:type="dxa"/>
            <w:vAlign w:val="bottom"/>
          </w:tcPr>
          <w:p>
            <w:pPr>
              <w:spacing w:after="0"/>
              <w:rPr>
                <w:sz w:val="23"/>
                <w:szCs w:val="23"/>
                <w:color w:val="auto"/>
              </w:rPr>
            </w:pPr>
          </w:p>
        </w:tc>
        <w:tc>
          <w:tcPr>
            <w:tcW w:w="4700" w:type="dxa"/>
            <w:vAlign w:val="bottom"/>
            <w:tcBorders>
              <w:bottom w:val="single" w:sz="8" w:color="auto"/>
            </w:tcBorders>
            <w:gridSpan w:val="5"/>
          </w:tcPr>
          <w:p>
            <w:pPr>
              <w:jc w:val="right"/>
              <w:ind w:right="621"/>
              <w:spacing w:after="0"/>
              <w:rPr>
                <w:sz w:val="20"/>
                <w:szCs w:val="20"/>
                <w:color w:val="auto"/>
              </w:rPr>
            </w:pPr>
            <w:r>
              <w:rPr>
                <w:rFonts w:ascii="Arial" w:cs="Arial" w:eastAsia="Arial" w:hAnsi="Arial"/>
                <w:sz w:val="20"/>
                <w:szCs w:val="20"/>
                <w:b w:val="1"/>
                <w:bCs w:val="1"/>
                <w:color w:val="auto"/>
              </w:rPr>
              <w:t>Nine Months Ended September 30,</w:t>
            </w:r>
          </w:p>
        </w:tc>
      </w:tr>
      <w:tr>
        <w:trPr>
          <w:trHeight w:val="250"/>
        </w:trPr>
        <w:tc>
          <w:tcPr>
            <w:tcW w:w="6500" w:type="dxa"/>
            <w:vAlign w:val="bottom"/>
            <w:tcBorders>
              <w:bottom w:val="single" w:sz="8" w:color="CCEEFF"/>
            </w:tcBorders>
          </w:tcPr>
          <w:p>
            <w:pPr>
              <w:spacing w:after="0"/>
              <w:rPr>
                <w:sz w:val="21"/>
                <w:szCs w:val="21"/>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2025</w:t>
            </w:r>
          </w:p>
        </w:tc>
        <w:tc>
          <w:tcPr>
            <w:tcW w:w="900" w:type="dxa"/>
            <w:vAlign w:val="bottom"/>
            <w:tcBorders>
              <w:bottom w:val="single" w:sz="8" w:color="auto"/>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520" w:type="dxa"/>
            <w:vAlign w:val="bottom"/>
            <w:tcBorders>
              <w:bottom w:val="single" w:sz="8" w:color="auto"/>
            </w:tcBorders>
          </w:tcPr>
          <w:p>
            <w:pPr>
              <w:spacing w:after="0"/>
              <w:rPr>
                <w:sz w:val="21"/>
                <w:szCs w:val="21"/>
                <w:color w:val="auto"/>
              </w:rPr>
            </w:pPr>
          </w:p>
        </w:tc>
        <w:tc>
          <w:tcPr>
            <w:tcW w:w="1780" w:type="dxa"/>
            <w:vAlign w:val="bottom"/>
            <w:tcBorders>
              <w:bottom w:val="single" w:sz="8" w:color="auto"/>
            </w:tcBorders>
          </w:tcPr>
          <w:p>
            <w:pPr>
              <w:jc w:val="right"/>
              <w:ind w:right="821"/>
              <w:spacing w:after="0"/>
              <w:rPr>
                <w:sz w:val="20"/>
                <w:szCs w:val="20"/>
                <w:color w:val="auto"/>
              </w:rPr>
            </w:pPr>
            <w:r>
              <w:rPr>
                <w:rFonts w:ascii="Arial" w:cs="Arial" w:eastAsia="Arial" w:hAnsi="Arial"/>
                <w:sz w:val="20"/>
                <w:szCs w:val="20"/>
                <w:b w:val="1"/>
                <w:bCs w:val="1"/>
                <w:color w:val="auto"/>
              </w:rPr>
              <w:t>2024</w:t>
            </w:r>
          </w:p>
        </w:tc>
      </w:tr>
      <w:tr>
        <w:trPr>
          <w:trHeight w:val="264"/>
        </w:trPr>
        <w:tc>
          <w:tcPr>
            <w:tcW w:w="6500" w:type="dxa"/>
            <w:vAlign w:val="bottom"/>
            <w:shd w:val="clear" w:color="auto" w:fill="CCEEFF"/>
          </w:tcPr>
          <w:p>
            <w:pPr>
              <w:ind w:left="20"/>
              <w:spacing w:after="0"/>
              <w:rPr>
                <w:sz w:val="20"/>
                <w:szCs w:val="20"/>
                <w:color w:val="auto"/>
              </w:rPr>
            </w:pPr>
            <w:r>
              <w:rPr>
                <w:rFonts w:ascii="Arial" w:cs="Arial" w:eastAsia="Arial" w:hAnsi="Arial"/>
                <w:sz w:val="20"/>
                <w:szCs w:val="20"/>
                <w:b w:val="1"/>
                <w:bCs w:val="1"/>
                <w:color w:val="auto"/>
              </w:rPr>
              <w:t>Operating activities</w:t>
            </w:r>
          </w:p>
        </w:tc>
        <w:tc>
          <w:tcPr>
            <w:tcW w:w="142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520" w:type="dxa"/>
            <w:vAlign w:val="bottom"/>
            <w:shd w:val="clear" w:color="auto" w:fill="CCEEFF"/>
          </w:tcPr>
          <w:p>
            <w:pPr>
              <w:spacing w:after="0"/>
              <w:rPr>
                <w:sz w:val="22"/>
                <w:szCs w:val="22"/>
                <w:color w:val="auto"/>
              </w:rPr>
            </w:pPr>
          </w:p>
        </w:tc>
        <w:tc>
          <w:tcPr>
            <w:tcW w:w="1780" w:type="dxa"/>
            <w:vAlign w:val="bottom"/>
            <w:shd w:val="clear" w:color="auto" w:fill="CCEEFF"/>
          </w:tcPr>
          <w:p>
            <w:pPr>
              <w:spacing w:after="0"/>
              <w:rPr>
                <w:sz w:val="22"/>
                <w:szCs w:val="22"/>
                <w:color w:val="auto"/>
              </w:rPr>
            </w:pPr>
          </w:p>
        </w:tc>
      </w:tr>
      <w:tr>
        <w:trPr>
          <w:trHeight w:val="256"/>
        </w:trPr>
        <w:tc>
          <w:tcPr>
            <w:tcW w:w="6500" w:type="dxa"/>
            <w:vAlign w:val="bottom"/>
          </w:tcPr>
          <w:p>
            <w:pPr>
              <w:ind w:left="20"/>
              <w:spacing w:after="0"/>
              <w:rPr>
                <w:sz w:val="20"/>
                <w:szCs w:val="20"/>
                <w:color w:val="auto"/>
              </w:rPr>
            </w:pPr>
            <w:r>
              <w:rPr>
                <w:rFonts w:ascii="Arial" w:cs="Arial" w:eastAsia="Arial" w:hAnsi="Arial"/>
                <w:sz w:val="20"/>
                <w:szCs w:val="20"/>
                <w:color w:val="auto"/>
              </w:rPr>
              <w:t>Net income (loss)</w:t>
            </w:r>
          </w:p>
        </w:tc>
        <w:tc>
          <w:tcPr>
            <w:tcW w:w="1420" w:type="dxa"/>
            <w:vAlign w:val="bottom"/>
          </w:tcPr>
          <w:p>
            <w:pPr>
              <w:jc w:val="right"/>
              <w:ind w:right="1181"/>
              <w:spacing w:after="0"/>
              <w:rPr>
                <w:sz w:val="20"/>
                <w:szCs w:val="20"/>
                <w:color w:val="auto"/>
              </w:rPr>
            </w:pPr>
            <w:r>
              <w:rPr>
                <w:rFonts w:ascii="Arial" w:cs="Arial" w:eastAsia="Arial" w:hAnsi="Arial"/>
                <w:sz w:val="20"/>
                <w:szCs w:val="20"/>
                <w:color w:val="auto"/>
              </w:rPr>
              <w:t>$</w:t>
            </w:r>
          </w:p>
        </w:tc>
        <w:tc>
          <w:tcPr>
            <w:tcW w:w="900" w:type="dxa"/>
            <w:vAlign w:val="bottom"/>
          </w:tcPr>
          <w:p>
            <w:pPr>
              <w:jc w:val="right"/>
              <w:spacing w:after="0"/>
              <w:rPr>
                <w:sz w:val="20"/>
                <w:szCs w:val="20"/>
                <w:color w:val="auto"/>
              </w:rPr>
            </w:pPr>
            <w:r>
              <w:rPr>
                <w:rFonts w:ascii="Arial" w:cs="Arial" w:eastAsia="Arial" w:hAnsi="Arial"/>
                <w:sz w:val="20"/>
                <w:szCs w:val="20"/>
                <w:color w:val="auto"/>
              </w:rPr>
              <w:t>93,511</w:t>
            </w:r>
          </w:p>
        </w:tc>
        <w:tc>
          <w:tcPr>
            <w:tcW w:w="80" w:type="dxa"/>
            <w:vAlign w:val="bottom"/>
          </w:tcPr>
          <w:p>
            <w:pPr>
              <w:spacing w:after="0"/>
              <w:rPr>
                <w:sz w:val="22"/>
                <w:szCs w:val="22"/>
                <w:color w:val="auto"/>
              </w:rPr>
            </w:pPr>
          </w:p>
        </w:tc>
        <w:tc>
          <w:tcPr>
            <w:tcW w:w="520" w:type="dxa"/>
            <w:vAlign w:val="bottom"/>
          </w:tcPr>
          <w:p>
            <w:pPr>
              <w:jc w:val="right"/>
              <w:ind w:right="301"/>
              <w:spacing w:after="0"/>
              <w:rPr>
                <w:sz w:val="20"/>
                <w:szCs w:val="20"/>
                <w:color w:val="auto"/>
              </w:rPr>
            </w:pPr>
            <w:r>
              <w:rPr>
                <w:rFonts w:ascii="Arial" w:cs="Arial" w:eastAsia="Arial" w:hAnsi="Arial"/>
                <w:sz w:val="20"/>
                <w:szCs w:val="20"/>
                <w:color w:val="auto"/>
                <w:w w:val="89"/>
              </w:rPr>
              <w:t>$</w:t>
            </w:r>
          </w:p>
        </w:tc>
        <w:tc>
          <w:tcPr>
            <w:tcW w:w="1780" w:type="dxa"/>
            <w:vAlign w:val="bottom"/>
          </w:tcPr>
          <w:p>
            <w:pPr>
              <w:jc w:val="right"/>
              <w:spacing w:after="0"/>
              <w:rPr>
                <w:sz w:val="20"/>
                <w:szCs w:val="20"/>
                <w:color w:val="auto"/>
              </w:rPr>
            </w:pPr>
            <w:r>
              <w:rPr>
                <w:rFonts w:ascii="Arial" w:cs="Arial" w:eastAsia="Arial" w:hAnsi="Arial"/>
                <w:sz w:val="20"/>
                <w:szCs w:val="20"/>
                <w:color w:val="auto"/>
              </w:rPr>
              <w:t>(113,491)</w:t>
            </w:r>
          </w:p>
        </w:tc>
      </w:tr>
      <w:tr>
        <w:trPr>
          <w:trHeight w:val="194"/>
        </w:trPr>
        <w:tc>
          <w:tcPr>
            <w:tcW w:w="6500" w:type="dxa"/>
            <w:vAlign w:val="bottom"/>
            <w:shd w:val="clear" w:color="auto" w:fill="CCEEFF"/>
          </w:tcPr>
          <w:p>
            <w:pPr>
              <w:ind w:left="20"/>
              <w:spacing w:after="0" w:line="194" w:lineRule="exact"/>
              <w:rPr>
                <w:sz w:val="20"/>
                <w:szCs w:val="20"/>
                <w:color w:val="auto"/>
              </w:rPr>
            </w:pPr>
            <w:r>
              <w:rPr>
                <w:rFonts w:ascii="Arial" w:cs="Arial" w:eastAsia="Arial" w:hAnsi="Arial"/>
                <w:sz w:val="20"/>
                <w:szCs w:val="20"/>
                <w:color w:val="auto"/>
              </w:rPr>
              <w:t>Adjustments to reconcile net income to cash provided by operating</w:t>
            </w:r>
          </w:p>
        </w:tc>
        <w:tc>
          <w:tcPr>
            <w:tcW w:w="14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780" w:type="dxa"/>
            <w:vAlign w:val="bottom"/>
            <w:shd w:val="clear" w:color="auto" w:fill="CCEEFF"/>
          </w:tcPr>
          <w:p>
            <w:pPr>
              <w:spacing w:after="0"/>
              <w:rPr>
                <w:sz w:val="16"/>
                <w:szCs w:val="16"/>
                <w:color w:val="auto"/>
              </w:rPr>
            </w:pPr>
          </w:p>
        </w:tc>
      </w:tr>
      <w:tr>
        <w:trPr>
          <w:trHeight w:val="251"/>
        </w:trPr>
        <w:tc>
          <w:tcPr>
            <w:tcW w:w="6500" w:type="dxa"/>
            <w:vAlign w:val="bottom"/>
            <w:shd w:val="clear" w:color="auto" w:fill="CCEEFF"/>
          </w:tcPr>
          <w:p>
            <w:pPr>
              <w:ind w:left="20"/>
              <w:spacing w:after="0"/>
              <w:rPr>
                <w:sz w:val="20"/>
                <w:szCs w:val="20"/>
                <w:color w:val="auto"/>
              </w:rPr>
            </w:pPr>
            <w:r>
              <w:rPr>
                <w:rFonts w:ascii="Arial" w:cs="Arial" w:eastAsia="Arial" w:hAnsi="Arial"/>
                <w:sz w:val="20"/>
                <w:szCs w:val="20"/>
                <w:color w:val="auto"/>
              </w:rPr>
              <w:t>activities:</w:t>
            </w:r>
          </w:p>
        </w:tc>
        <w:tc>
          <w:tcPr>
            <w:tcW w:w="142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1780" w:type="dxa"/>
            <w:vAlign w:val="bottom"/>
            <w:shd w:val="clear" w:color="auto" w:fill="CCEEFF"/>
          </w:tcPr>
          <w:p>
            <w:pPr>
              <w:spacing w:after="0"/>
              <w:rPr>
                <w:sz w:val="21"/>
                <w:szCs w:val="21"/>
                <w:color w:val="auto"/>
              </w:rPr>
            </w:pPr>
          </w:p>
        </w:tc>
      </w:tr>
      <w:tr>
        <w:trPr>
          <w:trHeight w:val="282"/>
        </w:trPr>
        <w:tc>
          <w:tcPr>
            <w:tcW w:w="6500" w:type="dxa"/>
            <w:vAlign w:val="bottom"/>
          </w:tcPr>
          <w:p>
            <w:pPr>
              <w:ind w:left="460"/>
              <w:spacing w:after="0"/>
              <w:rPr>
                <w:sz w:val="20"/>
                <w:szCs w:val="20"/>
                <w:color w:val="auto"/>
              </w:rPr>
            </w:pPr>
            <w:r>
              <w:rPr>
                <w:rFonts w:ascii="Arial" w:cs="Arial" w:eastAsia="Arial" w:hAnsi="Arial"/>
                <w:sz w:val="20"/>
                <w:szCs w:val="20"/>
                <w:color w:val="auto"/>
              </w:rPr>
              <w:t>Goodwill impairment</w:t>
            </w:r>
          </w:p>
        </w:tc>
        <w:tc>
          <w:tcPr>
            <w:tcW w:w="1420" w:type="dxa"/>
            <w:vAlign w:val="bottom"/>
          </w:tcPr>
          <w:p>
            <w:pPr>
              <w:spacing w:after="0"/>
              <w:rPr>
                <w:sz w:val="24"/>
                <w:szCs w:val="24"/>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20"/>
                <w:szCs w:val="20"/>
                <w:color w:val="auto"/>
              </w:rPr>
              <w:t>—</w:t>
            </w:r>
          </w:p>
        </w:tc>
        <w:tc>
          <w:tcPr>
            <w:tcW w:w="520" w:type="dxa"/>
            <w:vAlign w:val="bottom"/>
          </w:tcPr>
          <w:p>
            <w:pPr>
              <w:spacing w:after="0"/>
              <w:rPr>
                <w:sz w:val="24"/>
                <w:szCs w:val="24"/>
                <w:color w:val="auto"/>
              </w:rPr>
            </w:pPr>
          </w:p>
        </w:tc>
        <w:tc>
          <w:tcPr>
            <w:tcW w:w="1780" w:type="dxa"/>
            <w:vAlign w:val="bottom"/>
          </w:tcPr>
          <w:p>
            <w:pPr>
              <w:jc w:val="right"/>
              <w:spacing w:after="0"/>
              <w:rPr>
                <w:sz w:val="20"/>
                <w:szCs w:val="20"/>
                <w:color w:val="auto"/>
              </w:rPr>
            </w:pPr>
            <w:r>
              <w:rPr>
                <w:rFonts w:ascii="Arial" w:cs="Arial" w:eastAsia="Arial" w:hAnsi="Arial"/>
                <w:sz w:val="20"/>
                <w:szCs w:val="20"/>
                <w:color w:val="auto"/>
              </w:rPr>
              <w:t>162,000</w:t>
            </w:r>
          </w:p>
        </w:tc>
      </w:tr>
      <w:tr>
        <w:trPr>
          <w:trHeight w:val="285"/>
        </w:trPr>
        <w:tc>
          <w:tcPr>
            <w:tcW w:w="6500" w:type="dxa"/>
            <w:vAlign w:val="bottom"/>
            <w:shd w:val="clear" w:color="auto" w:fill="CCEEFF"/>
          </w:tcPr>
          <w:p>
            <w:pPr>
              <w:ind w:left="460"/>
              <w:spacing w:after="0"/>
              <w:rPr>
                <w:sz w:val="20"/>
                <w:szCs w:val="20"/>
                <w:color w:val="auto"/>
              </w:rPr>
            </w:pPr>
            <w:r>
              <w:rPr>
                <w:rFonts w:ascii="Arial" w:cs="Arial" w:eastAsia="Arial" w:hAnsi="Arial"/>
                <w:sz w:val="20"/>
                <w:szCs w:val="20"/>
                <w:color w:val="auto"/>
              </w:rPr>
              <w:t>Provision for bad debts</w:t>
            </w:r>
          </w:p>
        </w:tc>
        <w:tc>
          <w:tcPr>
            <w:tcW w:w="1420" w:type="dxa"/>
            <w:vAlign w:val="bottom"/>
            <w:shd w:val="clear" w:color="auto" w:fill="CCEEFF"/>
          </w:tcPr>
          <w:p>
            <w:pPr>
              <w:spacing w:after="0"/>
              <w:rPr>
                <w:sz w:val="24"/>
                <w:szCs w:val="2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1,001</w:t>
            </w:r>
          </w:p>
        </w:tc>
        <w:tc>
          <w:tcPr>
            <w:tcW w:w="8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3,415</w:t>
            </w:r>
          </w:p>
        </w:tc>
      </w:tr>
      <w:tr>
        <w:trPr>
          <w:trHeight w:val="282"/>
        </w:trPr>
        <w:tc>
          <w:tcPr>
            <w:tcW w:w="6500" w:type="dxa"/>
            <w:vAlign w:val="bottom"/>
          </w:tcPr>
          <w:p>
            <w:pPr>
              <w:ind w:left="460"/>
              <w:spacing w:after="0"/>
              <w:rPr>
                <w:sz w:val="20"/>
                <w:szCs w:val="20"/>
                <w:color w:val="auto"/>
              </w:rPr>
            </w:pPr>
            <w:r>
              <w:rPr>
                <w:rFonts w:ascii="Arial" w:cs="Arial" w:eastAsia="Arial" w:hAnsi="Arial"/>
                <w:sz w:val="20"/>
                <w:szCs w:val="20"/>
                <w:color w:val="auto"/>
              </w:rPr>
              <w:t>Deferred tax expense (benefit)</w:t>
            </w:r>
          </w:p>
        </w:tc>
        <w:tc>
          <w:tcPr>
            <w:tcW w:w="142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20"/>
                <w:szCs w:val="20"/>
                <w:color w:val="auto"/>
              </w:rPr>
              <w:t>6,748</w:t>
            </w: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780" w:type="dxa"/>
            <w:vAlign w:val="bottom"/>
          </w:tcPr>
          <w:p>
            <w:pPr>
              <w:jc w:val="right"/>
              <w:spacing w:after="0"/>
              <w:rPr>
                <w:sz w:val="20"/>
                <w:szCs w:val="20"/>
                <w:color w:val="auto"/>
              </w:rPr>
            </w:pPr>
            <w:r>
              <w:rPr>
                <w:rFonts w:ascii="Arial" w:cs="Arial" w:eastAsia="Arial" w:hAnsi="Arial"/>
                <w:sz w:val="20"/>
                <w:szCs w:val="20"/>
                <w:color w:val="auto"/>
              </w:rPr>
              <w:t>(7,279)</w:t>
            </w:r>
          </w:p>
        </w:tc>
      </w:tr>
      <w:tr>
        <w:trPr>
          <w:trHeight w:val="285"/>
        </w:trPr>
        <w:tc>
          <w:tcPr>
            <w:tcW w:w="6500" w:type="dxa"/>
            <w:vAlign w:val="bottom"/>
            <w:shd w:val="clear" w:color="auto" w:fill="CCEEFF"/>
          </w:tcPr>
          <w:p>
            <w:pPr>
              <w:ind w:left="460"/>
              <w:spacing w:after="0"/>
              <w:rPr>
                <w:sz w:val="20"/>
                <w:szCs w:val="20"/>
                <w:color w:val="auto"/>
              </w:rPr>
            </w:pPr>
            <w:r>
              <w:rPr>
                <w:rFonts w:ascii="Arial" w:cs="Arial" w:eastAsia="Arial" w:hAnsi="Arial"/>
                <w:sz w:val="20"/>
                <w:szCs w:val="20"/>
                <w:color w:val="auto"/>
              </w:rPr>
              <w:t>Depreciation and amortization</w:t>
            </w:r>
          </w:p>
        </w:tc>
        <w:tc>
          <w:tcPr>
            <w:tcW w:w="1420" w:type="dxa"/>
            <w:vAlign w:val="bottom"/>
            <w:shd w:val="clear" w:color="auto" w:fill="CCEEFF"/>
          </w:tcPr>
          <w:p>
            <w:pPr>
              <w:spacing w:after="0"/>
              <w:rPr>
                <w:sz w:val="24"/>
                <w:szCs w:val="2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19,923</w:t>
            </w:r>
          </w:p>
        </w:tc>
        <w:tc>
          <w:tcPr>
            <w:tcW w:w="8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29,015</w:t>
            </w:r>
          </w:p>
        </w:tc>
      </w:tr>
      <w:tr>
        <w:trPr>
          <w:trHeight w:val="282"/>
        </w:trPr>
        <w:tc>
          <w:tcPr>
            <w:tcW w:w="6500" w:type="dxa"/>
            <w:vAlign w:val="bottom"/>
          </w:tcPr>
          <w:p>
            <w:pPr>
              <w:ind w:left="460"/>
              <w:spacing w:after="0"/>
              <w:rPr>
                <w:sz w:val="20"/>
                <w:szCs w:val="20"/>
                <w:color w:val="auto"/>
              </w:rPr>
            </w:pPr>
            <w:r>
              <w:rPr>
                <w:rFonts w:ascii="Arial" w:cs="Arial" w:eastAsia="Arial" w:hAnsi="Arial"/>
                <w:sz w:val="20"/>
                <w:szCs w:val="20"/>
                <w:color w:val="auto"/>
              </w:rPr>
              <w:t>Amortization of developed technology and backlog</w:t>
            </w:r>
          </w:p>
        </w:tc>
        <w:tc>
          <w:tcPr>
            <w:tcW w:w="142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20"/>
                <w:szCs w:val="20"/>
                <w:color w:val="auto"/>
              </w:rPr>
              <w:t>11,713</w:t>
            </w: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780" w:type="dxa"/>
            <w:vAlign w:val="bottom"/>
          </w:tcPr>
          <w:p>
            <w:pPr>
              <w:jc w:val="right"/>
              <w:spacing w:after="0"/>
              <w:rPr>
                <w:sz w:val="20"/>
                <w:szCs w:val="20"/>
                <w:color w:val="auto"/>
              </w:rPr>
            </w:pPr>
            <w:r>
              <w:rPr>
                <w:rFonts w:ascii="Arial" w:cs="Arial" w:eastAsia="Arial" w:hAnsi="Arial"/>
                <w:sz w:val="20"/>
                <w:szCs w:val="20"/>
                <w:color w:val="auto"/>
              </w:rPr>
              <w:t>10,918</w:t>
            </w:r>
          </w:p>
        </w:tc>
      </w:tr>
      <w:tr>
        <w:trPr>
          <w:trHeight w:val="285"/>
        </w:trPr>
        <w:tc>
          <w:tcPr>
            <w:tcW w:w="6500" w:type="dxa"/>
            <w:vAlign w:val="bottom"/>
            <w:shd w:val="clear" w:color="auto" w:fill="CCEEFF"/>
          </w:tcPr>
          <w:p>
            <w:pPr>
              <w:ind w:left="460"/>
              <w:spacing w:after="0"/>
              <w:rPr>
                <w:sz w:val="20"/>
                <w:szCs w:val="20"/>
                <w:color w:val="auto"/>
              </w:rPr>
            </w:pPr>
            <w:r>
              <w:rPr>
                <w:rFonts w:ascii="Arial" w:cs="Arial" w:eastAsia="Arial" w:hAnsi="Arial"/>
                <w:sz w:val="20"/>
                <w:szCs w:val="20"/>
                <w:color w:val="auto"/>
              </w:rPr>
              <w:t>Amortization of debt discount and issuance costs</w:t>
            </w:r>
          </w:p>
        </w:tc>
        <w:tc>
          <w:tcPr>
            <w:tcW w:w="1420" w:type="dxa"/>
            <w:vAlign w:val="bottom"/>
            <w:shd w:val="clear" w:color="auto" w:fill="CCEEFF"/>
          </w:tcPr>
          <w:p>
            <w:pPr>
              <w:spacing w:after="0"/>
              <w:rPr>
                <w:sz w:val="24"/>
                <w:szCs w:val="2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4,407</w:t>
            </w:r>
          </w:p>
        </w:tc>
        <w:tc>
          <w:tcPr>
            <w:tcW w:w="8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4,652</w:t>
            </w:r>
          </w:p>
        </w:tc>
      </w:tr>
      <w:tr>
        <w:trPr>
          <w:trHeight w:val="282"/>
        </w:trPr>
        <w:tc>
          <w:tcPr>
            <w:tcW w:w="6500" w:type="dxa"/>
            <w:vAlign w:val="bottom"/>
          </w:tcPr>
          <w:p>
            <w:pPr>
              <w:ind w:left="460"/>
              <w:spacing w:after="0"/>
              <w:rPr>
                <w:sz w:val="20"/>
                <w:szCs w:val="20"/>
                <w:color w:val="auto"/>
              </w:rPr>
            </w:pPr>
            <w:r>
              <w:rPr>
                <w:rFonts w:ascii="Arial" w:cs="Arial" w:eastAsia="Arial" w:hAnsi="Arial"/>
                <w:sz w:val="20"/>
                <w:szCs w:val="20"/>
                <w:color w:val="auto"/>
              </w:rPr>
              <w:t>Gain on extinguishment of debts, net</w:t>
            </w:r>
          </w:p>
        </w:tc>
        <w:tc>
          <w:tcPr>
            <w:tcW w:w="142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20"/>
                <w:szCs w:val="20"/>
                <w:color w:val="auto"/>
              </w:rPr>
              <w:t>(14,207)</w:t>
            </w: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780" w:type="dxa"/>
            <w:vAlign w:val="bottom"/>
          </w:tcPr>
          <w:p>
            <w:pPr>
              <w:jc w:val="right"/>
              <w:spacing w:after="0"/>
              <w:rPr>
                <w:sz w:val="20"/>
                <w:szCs w:val="20"/>
                <w:color w:val="auto"/>
              </w:rPr>
            </w:pPr>
            <w:r>
              <w:rPr>
                <w:rFonts w:ascii="Arial" w:cs="Arial" w:eastAsia="Arial" w:hAnsi="Arial"/>
                <w:sz w:val="20"/>
                <w:szCs w:val="20"/>
                <w:color w:val="auto"/>
              </w:rPr>
              <w:t>—</w:t>
            </w:r>
          </w:p>
        </w:tc>
      </w:tr>
      <w:tr>
        <w:trPr>
          <w:trHeight w:val="258"/>
        </w:trPr>
        <w:tc>
          <w:tcPr>
            <w:tcW w:w="6500" w:type="dxa"/>
            <w:vAlign w:val="bottom"/>
            <w:shd w:val="clear" w:color="auto" w:fill="CCEEFF"/>
          </w:tcPr>
          <w:p>
            <w:pPr>
              <w:ind w:left="460"/>
              <w:spacing w:after="0"/>
              <w:rPr>
                <w:sz w:val="20"/>
                <w:szCs w:val="20"/>
                <w:color w:val="auto"/>
              </w:rPr>
            </w:pPr>
            <w:r>
              <w:rPr>
                <w:rFonts w:ascii="Arial" w:cs="Arial" w:eastAsia="Arial" w:hAnsi="Arial"/>
                <w:sz w:val="20"/>
                <w:szCs w:val="20"/>
                <w:color w:val="auto"/>
              </w:rPr>
              <w:t>Equity-based compensation</w:t>
            </w:r>
          </w:p>
        </w:tc>
        <w:tc>
          <w:tcPr>
            <w:tcW w:w="1420" w:type="dxa"/>
            <w:vAlign w:val="bottom"/>
            <w:shd w:val="clear" w:color="auto" w:fill="CCEEFF"/>
          </w:tcPr>
          <w:p>
            <w:pPr>
              <w:spacing w:after="0"/>
              <w:rPr>
                <w:sz w:val="22"/>
                <w:szCs w:val="22"/>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11,343</w:t>
            </w:r>
          </w:p>
        </w:tc>
        <w:tc>
          <w:tcPr>
            <w:tcW w:w="80" w:type="dxa"/>
            <w:vAlign w:val="bottom"/>
            <w:shd w:val="clear" w:color="auto" w:fill="CCEEFF"/>
          </w:tcPr>
          <w:p>
            <w:pPr>
              <w:spacing w:after="0"/>
              <w:rPr>
                <w:sz w:val="22"/>
                <w:szCs w:val="22"/>
                <w:color w:val="auto"/>
              </w:rPr>
            </w:pPr>
          </w:p>
        </w:tc>
        <w:tc>
          <w:tcPr>
            <w:tcW w:w="520" w:type="dxa"/>
            <w:vAlign w:val="bottom"/>
            <w:shd w:val="clear" w:color="auto" w:fill="CCEEFF"/>
          </w:tcPr>
          <w:p>
            <w:pPr>
              <w:spacing w:after="0"/>
              <w:rPr>
                <w:sz w:val="22"/>
                <w:szCs w:val="22"/>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6,851</w:t>
            </w:r>
          </w:p>
        </w:tc>
      </w:tr>
      <w:tr>
        <w:trPr>
          <w:trHeight w:val="257"/>
        </w:trPr>
        <w:tc>
          <w:tcPr>
            <w:tcW w:w="6500" w:type="dxa"/>
            <w:vAlign w:val="bottom"/>
          </w:tcPr>
          <w:p>
            <w:pPr>
              <w:ind w:left="460"/>
              <w:spacing w:after="0"/>
              <w:rPr>
                <w:sz w:val="20"/>
                <w:szCs w:val="20"/>
                <w:color w:val="auto"/>
              </w:rPr>
            </w:pPr>
            <w:r>
              <w:rPr>
                <w:rFonts w:ascii="Arial" w:cs="Arial" w:eastAsia="Arial" w:hAnsi="Arial"/>
                <w:sz w:val="20"/>
                <w:szCs w:val="20"/>
                <w:color w:val="auto"/>
              </w:rPr>
              <w:t>Change in fair value of contingent consideration</w:t>
            </w:r>
          </w:p>
        </w:tc>
        <w:tc>
          <w:tcPr>
            <w:tcW w:w="142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20"/>
                <w:szCs w:val="20"/>
                <w:color w:val="auto"/>
              </w:rPr>
              <w:t>1,014</w:t>
            </w:r>
          </w:p>
        </w:tc>
        <w:tc>
          <w:tcPr>
            <w:tcW w:w="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780" w:type="dxa"/>
            <w:vAlign w:val="bottom"/>
          </w:tcPr>
          <w:p>
            <w:pPr>
              <w:jc w:val="right"/>
              <w:spacing w:after="0"/>
              <w:rPr>
                <w:sz w:val="20"/>
                <w:szCs w:val="20"/>
                <w:color w:val="auto"/>
              </w:rPr>
            </w:pPr>
            <w:r>
              <w:rPr>
                <w:rFonts w:ascii="Arial" w:cs="Arial" w:eastAsia="Arial" w:hAnsi="Arial"/>
                <w:sz w:val="20"/>
                <w:szCs w:val="20"/>
                <w:color w:val="auto"/>
              </w:rPr>
              <w:t>(271)</w:t>
            </w:r>
          </w:p>
        </w:tc>
      </w:tr>
      <w:tr>
        <w:trPr>
          <w:trHeight w:val="283"/>
        </w:trPr>
        <w:tc>
          <w:tcPr>
            <w:tcW w:w="6500" w:type="dxa"/>
            <w:vAlign w:val="bottom"/>
            <w:shd w:val="clear" w:color="auto" w:fill="CCEEFF"/>
          </w:tcPr>
          <w:p>
            <w:pPr>
              <w:ind w:left="460"/>
              <w:spacing w:after="0"/>
              <w:rPr>
                <w:sz w:val="20"/>
                <w:szCs w:val="20"/>
                <w:color w:val="auto"/>
              </w:rPr>
            </w:pPr>
            <w:r>
              <w:rPr>
                <w:rFonts w:ascii="Arial" w:cs="Arial" w:eastAsia="Arial" w:hAnsi="Arial"/>
                <w:sz w:val="20"/>
                <w:szCs w:val="20"/>
                <w:color w:val="auto"/>
              </w:rPr>
              <w:t>Warranty provision</w:t>
            </w:r>
          </w:p>
        </w:tc>
        <w:tc>
          <w:tcPr>
            <w:tcW w:w="1420" w:type="dxa"/>
            <w:vAlign w:val="bottom"/>
            <w:shd w:val="clear" w:color="auto" w:fill="CCEEFF"/>
          </w:tcPr>
          <w:p>
            <w:pPr>
              <w:spacing w:after="0"/>
              <w:rPr>
                <w:sz w:val="24"/>
                <w:szCs w:val="2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10,290</w:t>
            </w:r>
          </w:p>
        </w:tc>
        <w:tc>
          <w:tcPr>
            <w:tcW w:w="8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36</w:t>
            </w:r>
          </w:p>
        </w:tc>
      </w:tr>
      <w:tr>
        <w:trPr>
          <w:trHeight w:val="282"/>
        </w:trPr>
        <w:tc>
          <w:tcPr>
            <w:tcW w:w="6500" w:type="dxa"/>
            <w:vAlign w:val="bottom"/>
          </w:tcPr>
          <w:p>
            <w:pPr>
              <w:ind w:left="460"/>
              <w:spacing w:after="0"/>
              <w:rPr>
                <w:sz w:val="20"/>
                <w:szCs w:val="20"/>
                <w:color w:val="auto"/>
              </w:rPr>
            </w:pPr>
            <w:r>
              <w:rPr>
                <w:rFonts w:ascii="Arial" w:cs="Arial" w:eastAsia="Arial" w:hAnsi="Arial"/>
                <w:sz w:val="20"/>
                <w:szCs w:val="20"/>
                <w:color w:val="auto"/>
              </w:rPr>
              <w:t>Inventory reserve</w:t>
            </w:r>
          </w:p>
        </w:tc>
        <w:tc>
          <w:tcPr>
            <w:tcW w:w="142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20"/>
                <w:szCs w:val="20"/>
                <w:color w:val="auto"/>
              </w:rPr>
              <w:t>3,360</w:t>
            </w: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780" w:type="dxa"/>
            <w:vAlign w:val="bottom"/>
          </w:tcPr>
          <w:p>
            <w:pPr>
              <w:jc w:val="right"/>
              <w:spacing w:after="0"/>
              <w:rPr>
                <w:sz w:val="20"/>
                <w:szCs w:val="20"/>
                <w:color w:val="auto"/>
              </w:rPr>
            </w:pPr>
            <w:r>
              <w:rPr>
                <w:rFonts w:ascii="Arial" w:cs="Arial" w:eastAsia="Arial" w:hAnsi="Arial"/>
                <w:sz w:val="20"/>
                <w:szCs w:val="20"/>
                <w:color w:val="auto"/>
              </w:rPr>
              <w:t>2,481</w:t>
            </w:r>
          </w:p>
        </w:tc>
      </w:tr>
      <w:tr>
        <w:trPr>
          <w:trHeight w:val="285"/>
        </w:trPr>
        <w:tc>
          <w:tcPr>
            <w:tcW w:w="6500" w:type="dxa"/>
            <w:vAlign w:val="bottom"/>
            <w:shd w:val="clear" w:color="auto" w:fill="CCEEFF"/>
          </w:tcPr>
          <w:p>
            <w:pPr>
              <w:ind w:left="460"/>
              <w:spacing w:after="0"/>
              <w:rPr>
                <w:sz w:val="20"/>
                <w:szCs w:val="20"/>
                <w:color w:val="auto"/>
              </w:rPr>
            </w:pPr>
            <w:r>
              <w:rPr>
                <w:rFonts w:ascii="Arial" w:cs="Arial" w:eastAsia="Arial" w:hAnsi="Arial"/>
                <w:sz w:val="20"/>
                <w:szCs w:val="20"/>
                <w:color w:val="auto"/>
              </w:rPr>
              <w:t>Other non-cash</w:t>
            </w:r>
          </w:p>
        </w:tc>
        <w:tc>
          <w:tcPr>
            <w:tcW w:w="1420" w:type="dxa"/>
            <w:vAlign w:val="bottom"/>
            <w:shd w:val="clear" w:color="auto" w:fill="CCEEFF"/>
          </w:tcPr>
          <w:p>
            <w:pPr>
              <w:spacing w:after="0"/>
              <w:rPr>
                <w:sz w:val="24"/>
                <w:szCs w:val="2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(2,017)</w:t>
            </w:r>
          </w:p>
        </w:tc>
        <w:tc>
          <w:tcPr>
            <w:tcW w:w="8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w:t>
            </w:r>
          </w:p>
        </w:tc>
      </w:tr>
      <w:tr>
        <w:trPr>
          <w:trHeight w:val="282"/>
        </w:trPr>
        <w:tc>
          <w:tcPr>
            <w:tcW w:w="6500" w:type="dxa"/>
            <w:vAlign w:val="bottom"/>
            <w:tcBorders>
              <w:bottom w:val="single" w:sz="8" w:color="CCEEFF"/>
            </w:tcBorders>
          </w:tcPr>
          <w:p>
            <w:pPr>
              <w:ind w:left="240"/>
              <w:spacing w:after="0"/>
              <w:rPr>
                <w:sz w:val="20"/>
                <w:szCs w:val="20"/>
                <w:color w:val="auto"/>
              </w:rPr>
            </w:pPr>
            <w:r>
              <w:rPr>
                <w:rFonts w:ascii="Arial" w:cs="Arial" w:eastAsia="Arial" w:hAnsi="Arial"/>
                <w:sz w:val="20"/>
                <w:szCs w:val="20"/>
                <w:color w:val="auto"/>
              </w:rPr>
              <w:t>Changes in working capital, net</w:t>
            </w:r>
          </w:p>
        </w:tc>
        <w:tc>
          <w:tcPr>
            <w:tcW w:w="14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(88,941)</w:t>
            </w:r>
          </w:p>
        </w:tc>
        <w:tc>
          <w:tcPr>
            <w:tcW w:w="80" w:type="dxa"/>
            <w:vAlign w:val="bottom"/>
            <w:tcBorders>
              <w:bottom w:val="single" w:sz="8" w:color="CCEEFF"/>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(1,933)</w:t>
            </w:r>
          </w:p>
        </w:tc>
      </w:tr>
      <w:tr>
        <w:trPr>
          <w:trHeight w:val="265"/>
        </w:trPr>
        <w:tc>
          <w:tcPr>
            <w:tcW w:w="6500" w:type="dxa"/>
            <w:vAlign w:val="bottom"/>
            <w:shd w:val="clear" w:color="auto" w:fill="CCEEFF"/>
          </w:tcPr>
          <w:p>
            <w:pPr>
              <w:ind w:left="660"/>
              <w:spacing w:after="0"/>
              <w:rPr>
                <w:sz w:val="20"/>
                <w:szCs w:val="20"/>
                <w:color w:val="auto"/>
              </w:rPr>
            </w:pPr>
            <w:r>
              <w:rPr>
                <w:rFonts w:ascii="Arial" w:cs="Arial" w:eastAsia="Arial" w:hAnsi="Arial"/>
                <w:sz w:val="20"/>
                <w:szCs w:val="20"/>
                <w:color w:val="auto"/>
              </w:rPr>
              <w:t>Net cash provided by operating activities</w:t>
            </w:r>
          </w:p>
        </w:tc>
        <w:tc>
          <w:tcPr>
            <w:tcW w:w="142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58,145</w:t>
            </w:r>
          </w:p>
        </w:tc>
        <w:tc>
          <w:tcPr>
            <w:tcW w:w="80" w:type="dxa"/>
            <w:vAlign w:val="bottom"/>
            <w:shd w:val="clear" w:color="auto" w:fill="CCEEFF"/>
          </w:tcPr>
          <w:p>
            <w:pPr>
              <w:spacing w:after="0"/>
              <w:rPr>
                <w:sz w:val="23"/>
                <w:szCs w:val="23"/>
                <w:color w:val="auto"/>
              </w:rPr>
            </w:pPr>
          </w:p>
        </w:tc>
        <w:tc>
          <w:tcPr>
            <w:tcW w:w="520" w:type="dxa"/>
            <w:vAlign w:val="bottom"/>
            <w:tcBorders>
              <w:bottom w:val="single" w:sz="8" w:color="auto"/>
            </w:tcBorders>
            <w:shd w:val="clear" w:color="auto" w:fill="CCEEFF"/>
          </w:tcPr>
          <w:p>
            <w:pPr>
              <w:spacing w:after="0"/>
              <w:rPr>
                <w:sz w:val="23"/>
                <w:szCs w:val="23"/>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96,394</w:t>
            </w:r>
          </w:p>
        </w:tc>
      </w:tr>
      <w:tr>
        <w:trPr>
          <w:trHeight w:val="260"/>
        </w:trPr>
        <w:tc>
          <w:tcPr>
            <w:tcW w:w="6500" w:type="dxa"/>
            <w:vAlign w:val="bottom"/>
          </w:tcPr>
          <w:p>
            <w:pPr>
              <w:ind w:left="20"/>
              <w:spacing w:after="0"/>
              <w:rPr>
                <w:sz w:val="20"/>
                <w:szCs w:val="20"/>
                <w:color w:val="auto"/>
              </w:rPr>
            </w:pPr>
            <w:r>
              <w:rPr>
                <w:rFonts w:ascii="Arial" w:cs="Arial" w:eastAsia="Arial" w:hAnsi="Arial"/>
                <w:sz w:val="20"/>
                <w:szCs w:val="20"/>
                <w:b w:val="1"/>
                <w:bCs w:val="1"/>
                <w:color w:val="auto"/>
              </w:rPr>
              <w:t>Investing activities</w:t>
            </w:r>
          </w:p>
        </w:tc>
        <w:tc>
          <w:tcPr>
            <w:tcW w:w="14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780" w:type="dxa"/>
            <w:vAlign w:val="bottom"/>
          </w:tcPr>
          <w:p>
            <w:pPr>
              <w:spacing w:after="0"/>
              <w:rPr>
                <w:sz w:val="22"/>
                <w:szCs w:val="22"/>
                <w:color w:val="auto"/>
              </w:rPr>
            </w:pPr>
          </w:p>
        </w:tc>
      </w:tr>
      <w:tr>
        <w:trPr>
          <w:trHeight w:val="287"/>
        </w:trPr>
        <w:tc>
          <w:tcPr>
            <w:tcW w:w="6500" w:type="dxa"/>
            <w:vAlign w:val="bottom"/>
            <w:shd w:val="clear" w:color="auto" w:fill="CCEEFF"/>
          </w:tcPr>
          <w:p>
            <w:pPr>
              <w:ind w:left="240"/>
              <w:spacing w:after="0"/>
              <w:rPr>
                <w:sz w:val="20"/>
                <w:szCs w:val="20"/>
                <w:color w:val="auto"/>
              </w:rPr>
            </w:pPr>
            <w:r>
              <w:rPr>
                <w:rFonts w:ascii="Arial" w:cs="Arial" w:eastAsia="Arial" w:hAnsi="Arial"/>
                <w:sz w:val="20"/>
                <w:szCs w:val="20"/>
                <w:color w:val="auto"/>
              </w:rPr>
              <w:t>Purchase of property, plant and equipment</w:t>
            </w:r>
          </w:p>
        </w:tc>
        <w:tc>
          <w:tcPr>
            <w:tcW w:w="1420" w:type="dxa"/>
            <w:vAlign w:val="bottom"/>
            <w:shd w:val="clear" w:color="auto" w:fill="CCEEFF"/>
          </w:tcPr>
          <w:p>
            <w:pPr>
              <w:spacing w:after="0"/>
              <w:rPr>
                <w:sz w:val="24"/>
                <w:szCs w:val="2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(14,496)</w:t>
            </w:r>
          </w:p>
        </w:tc>
        <w:tc>
          <w:tcPr>
            <w:tcW w:w="8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(5,604)</w:t>
            </w:r>
          </w:p>
        </w:tc>
      </w:tr>
      <w:tr>
        <w:trPr>
          <w:trHeight w:val="282"/>
        </w:trPr>
        <w:tc>
          <w:tcPr>
            <w:tcW w:w="6500" w:type="dxa"/>
            <w:vAlign w:val="bottom"/>
          </w:tcPr>
          <w:p>
            <w:pPr>
              <w:ind w:left="240"/>
              <w:spacing w:after="0"/>
              <w:rPr>
                <w:sz w:val="20"/>
                <w:szCs w:val="20"/>
                <w:color w:val="auto"/>
              </w:rPr>
            </w:pPr>
            <w:r>
              <w:rPr>
                <w:rFonts w:ascii="Arial" w:cs="Arial" w:eastAsia="Arial" w:hAnsi="Arial"/>
                <w:sz w:val="20"/>
                <w:szCs w:val="20"/>
                <w:color w:val="auto"/>
              </w:rPr>
              <w:t>Acquisition, net of cash acquired</w:t>
            </w:r>
          </w:p>
        </w:tc>
        <w:tc>
          <w:tcPr>
            <w:tcW w:w="142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20"/>
                <w:szCs w:val="20"/>
                <w:color w:val="auto"/>
              </w:rPr>
              <w:t>(164,916)</w:t>
            </w: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780" w:type="dxa"/>
            <w:vAlign w:val="bottom"/>
          </w:tcPr>
          <w:p>
            <w:pPr>
              <w:jc w:val="right"/>
              <w:spacing w:after="0"/>
              <w:rPr>
                <w:sz w:val="20"/>
                <w:szCs w:val="20"/>
                <w:color w:val="auto"/>
              </w:rPr>
            </w:pPr>
            <w:r>
              <w:rPr>
                <w:rFonts w:ascii="Arial" w:cs="Arial" w:eastAsia="Arial" w:hAnsi="Arial"/>
                <w:sz w:val="20"/>
                <w:szCs w:val="20"/>
                <w:color w:val="auto"/>
              </w:rPr>
              <w:t>—</w:t>
            </w:r>
          </w:p>
        </w:tc>
      </w:tr>
      <w:tr>
        <w:trPr>
          <w:trHeight w:val="285"/>
        </w:trPr>
        <w:tc>
          <w:tcPr>
            <w:tcW w:w="6500" w:type="dxa"/>
            <w:vAlign w:val="bottom"/>
            <w:shd w:val="clear" w:color="auto" w:fill="CCEEFF"/>
          </w:tcPr>
          <w:p>
            <w:pPr>
              <w:ind w:left="240"/>
              <w:spacing w:after="0"/>
              <w:rPr>
                <w:sz w:val="20"/>
                <w:szCs w:val="20"/>
                <w:color w:val="auto"/>
              </w:rPr>
            </w:pPr>
            <w:r>
              <w:rPr>
                <w:rFonts w:ascii="Arial" w:cs="Arial" w:eastAsia="Arial" w:hAnsi="Arial"/>
                <w:sz w:val="20"/>
                <w:szCs w:val="20"/>
                <w:color w:val="auto"/>
              </w:rPr>
              <w:t>Retirement/disposal of property, plant and equipment</w:t>
            </w:r>
          </w:p>
        </w:tc>
        <w:tc>
          <w:tcPr>
            <w:tcW w:w="1420" w:type="dxa"/>
            <w:vAlign w:val="bottom"/>
            <w:shd w:val="clear" w:color="auto" w:fill="CCEEFF"/>
          </w:tcPr>
          <w:p>
            <w:pPr>
              <w:spacing w:after="0"/>
              <w:rPr>
                <w:sz w:val="24"/>
                <w:szCs w:val="24"/>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20"/>
                <w:szCs w:val="20"/>
                <w:color w:val="auto"/>
              </w:rPr>
              <w:t>—</w:t>
            </w:r>
          </w:p>
        </w:tc>
        <w:tc>
          <w:tcPr>
            <w:tcW w:w="520" w:type="dxa"/>
            <w:vAlign w:val="bottom"/>
            <w:shd w:val="clear" w:color="auto" w:fill="CCEEFF"/>
          </w:tcPr>
          <w:p>
            <w:pPr>
              <w:spacing w:after="0"/>
              <w:rPr>
                <w:sz w:val="24"/>
                <w:szCs w:val="24"/>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38</w:t>
            </w:r>
          </w:p>
        </w:tc>
      </w:tr>
      <w:tr>
        <w:trPr>
          <w:trHeight w:val="282"/>
        </w:trPr>
        <w:tc>
          <w:tcPr>
            <w:tcW w:w="6500" w:type="dxa"/>
            <w:vAlign w:val="bottom"/>
          </w:tcPr>
          <w:p>
            <w:pPr>
              <w:ind w:left="240"/>
              <w:spacing w:after="0"/>
              <w:rPr>
                <w:sz w:val="20"/>
                <w:szCs w:val="20"/>
                <w:color w:val="auto"/>
              </w:rPr>
            </w:pPr>
            <w:r>
              <w:rPr>
                <w:rFonts w:ascii="Arial" w:cs="Arial" w:eastAsia="Arial" w:hAnsi="Arial"/>
                <w:sz w:val="20"/>
                <w:szCs w:val="20"/>
                <w:color w:val="auto"/>
              </w:rPr>
              <w:t>Sale of equity investment</w:t>
            </w:r>
          </w:p>
        </w:tc>
        <w:tc>
          <w:tcPr>
            <w:tcW w:w="1420" w:type="dxa"/>
            <w:vAlign w:val="bottom"/>
          </w:tcPr>
          <w:p>
            <w:pPr>
              <w:spacing w:after="0"/>
              <w:rPr>
                <w:sz w:val="24"/>
                <w:szCs w:val="24"/>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20"/>
                <w:szCs w:val="20"/>
                <w:color w:val="auto"/>
              </w:rPr>
              <w:t>—</w:t>
            </w:r>
          </w:p>
        </w:tc>
        <w:tc>
          <w:tcPr>
            <w:tcW w:w="520" w:type="dxa"/>
            <w:vAlign w:val="bottom"/>
          </w:tcPr>
          <w:p>
            <w:pPr>
              <w:spacing w:after="0"/>
              <w:rPr>
                <w:sz w:val="24"/>
                <w:szCs w:val="24"/>
                <w:color w:val="auto"/>
              </w:rPr>
            </w:pPr>
          </w:p>
        </w:tc>
        <w:tc>
          <w:tcPr>
            <w:tcW w:w="1780" w:type="dxa"/>
            <w:vAlign w:val="bottom"/>
          </w:tcPr>
          <w:p>
            <w:pPr>
              <w:jc w:val="right"/>
              <w:spacing w:after="0"/>
              <w:rPr>
                <w:sz w:val="20"/>
                <w:szCs w:val="20"/>
                <w:color w:val="auto"/>
              </w:rPr>
            </w:pPr>
            <w:r>
              <w:rPr>
                <w:rFonts w:ascii="Arial" w:cs="Arial" w:eastAsia="Arial" w:hAnsi="Arial"/>
                <w:sz w:val="20"/>
                <w:szCs w:val="20"/>
                <w:color w:val="auto"/>
              </w:rPr>
              <w:t>11,975</w:t>
            </w:r>
          </w:p>
        </w:tc>
      </w:tr>
      <w:tr>
        <w:trPr>
          <w:trHeight w:val="265"/>
        </w:trPr>
        <w:tc>
          <w:tcPr>
            <w:tcW w:w="6500" w:type="dxa"/>
            <w:vAlign w:val="bottom"/>
            <w:tcBorders>
              <w:top w:val="single" w:sz="8" w:color="CCEEFF"/>
            </w:tcBorders>
            <w:shd w:val="clear" w:color="auto" w:fill="CCEEFF"/>
          </w:tcPr>
          <w:p>
            <w:pPr>
              <w:ind w:left="660"/>
              <w:spacing w:after="0"/>
              <w:rPr>
                <w:sz w:val="20"/>
                <w:szCs w:val="20"/>
                <w:color w:val="auto"/>
              </w:rPr>
            </w:pPr>
            <w:r>
              <w:rPr>
                <w:rFonts w:ascii="Arial" w:cs="Arial" w:eastAsia="Arial" w:hAnsi="Arial"/>
                <w:sz w:val="20"/>
                <w:szCs w:val="20"/>
                <w:color w:val="auto"/>
              </w:rPr>
              <w:t>Net cash (used in) provided by investing activities</w:t>
            </w:r>
          </w:p>
        </w:tc>
        <w:tc>
          <w:tcPr>
            <w:tcW w:w="1420" w:type="dxa"/>
            <w:vAlign w:val="bottom"/>
            <w:tcBorders>
              <w:top w:val="single" w:sz="8" w:color="auto"/>
              <w:bottom w:val="single" w:sz="8" w:color="auto"/>
            </w:tcBorders>
            <w:shd w:val="clear" w:color="auto" w:fill="CCEEFF"/>
          </w:tcPr>
          <w:p>
            <w:pPr>
              <w:spacing w:after="0"/>
              <w:rPr>
                <w:sz w:val="23"/>
                <w:szCs w:val="23"/>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(179,412)</w:t>
            </w:r>
          </w:p>
        </w:tc>
        <w:tc>
          <w:tcPr>
            <w:tcW w:w="80" w:type="dxa"/>
            <w:vAlign w:val="bottom"/>
            <w:tcBorders>
              <w:top w:val="single" w:sz="8" w:color="CCEEFF"/>
            </w:tcBorders>
            <w:shd w:val="clear" w:color="auto" w:fill="CCEEFF"/>
          </w:tcPr>
          <w:p>
            <w:pPr>
              <w:spacing w:after="0"/>
              <w:rPr>
                <w:sz w:val="23"/>
                <w:szCs w:val="23"/>
                <w:color w:val="auto"/>
              </w:rPr>
            </w:pPr>
          </w:p>
        </w:tc>
        <w:tc>
          <w:tcPr>
            <w:tcW w:w="520" w:type="dxa"/>
            <w:vAlign w:val="bottom"/>
            <w:tcBorders>
              <w:top w:val="single" w:sz="8" w:color="auto"/>
              <w:bottom w:val="single" w:sz="8" w:color="auto"/>
            </w:tcBorders>
            <w:shd w:val="clear" w:color="auto" w:fill="CCEEFF"/>
          </w:tcPr>
          <w:p>
            <w:pPr>
              <w:spacing w:after="0"/>
              <w:rPr>
                <w:sz w:val="23"/>
                <w:szCs w:val="23"/>
                <w:color w:val="auto"/>
              </w:rPr>
            </w:pPr>
          </w:p>
        </w:tc>
        <w:tc>
          <w:tcPr>
            <w:tcW w:w="1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6,409</w:t>
            </w:r>
          </w:p>
        </w:tc>
      </w:tr>
      <w:tr>
        <w:trPr>
          <w:trHeight w:val="260"/>
        </w:trPr>
        <w:tc>
          <w:tcPr>
            <w:tcW w:w="6500" w:type="dxa"/>
            <w:vAlign w:val="bottom"/>
          </w:tcPr>
          <w:p>
            <w:pPr>
              <w:ind w:left="20"/>
              <w:spacing w:after="0"/>
              <w:rPr>
                <w:sz w:val="20"/>
                <w:szCs w:val="20"/>
                <w:color w:val="auto"/>
              </w:rPr>
            </w:pPr>
            <w:r>
              <w:rPr>
                <w:rFonts w:ascii="Arial" w:cs="Arial" w:eastAsia="Arial" w:hAnsi="Arial"/>
                <w:sz w:val="20"/>
                <w:szCs w:val="20"/>
                <w:b w:val="1"/>
                <w:bCs w:val="1"/>
                <w:color w:val="auto"/>
              </w:rPr>
              <w:t>Financing activities</w:t>
            </w:r>
          </w:p>
        </w:tc>
        <w:tc>
          <w:tcPr>
            <w:tcW w:w="14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780" w:type="dxa"/>
            <w:vAlign w:val="bottom"/>
          </w:tcPr>
          <w:p>
            <w:pPr>
              <w:spacing w:after="0"/>
              <w:rPr>
                <w:sz w:val="22"/>
                <w:szCs w:val="22"/>
                <w:color w:val="auto"/>
              </w:rPr>
            </w:pPr>
          </w:p>
        </w:tc>
      </w:tr>
      <w:tr>
        <w:trPr>
          <w:trHeight w:val="287"/>
        </w:trPr>
        <w:tc>
          <w:tcPr>
            <w:tcW w:w="6500" w:type="dxa"/>
            <w:vAlign w:val="bottom"/>
            <w:shd w:val="clear" w:color="auto" w:fill="CCEEFF"/>
          </w:tcPr>
          <w:p>
            <w:pPr>
              <w:ind w:left="240"/>
              <w:spacing w:after="0"/>
              <w:rPr>
                <w:sz w:val="20"/>
                <w:szCs w:val="20"/>
                <w:color w:val="auto"/>
              </w:rPr>
            </w:pPr>
            <w:r>
              <w:rPr>
                <w:rFonts w:ascii="Arial" w:cs="Arial" w:eastAsia="Arial" w:hAnsi="Arial"/>
                <w:sz w:val="20"/>
                <w:szCs w:val="20"/>
                <w:color w:val="auto"/>
              </w:rPr>
              <w:t>Proceeds from issuance of other debt</w:t>
            </w:r>
          </w:p>
        </w:tc>
        <w:tc>
          <w:tcPr>
            <w:tcW w:w="1420" w:type="dxa"/>
            <w:vAlign w:val="bottom"/>
            <w:shd w:val="clear" w:color="auto" w:fill="CCEEFF"/>
          </w:tcPr>
          <w:p>
            <w:pPr>
              <w:spacing w:after="0"/>
              <w:rPr>
                <w:sz w:val="24"/>
                <w:szCs w:val="2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108,659</w:t>
            </w:r>
          </w:p>
        </w:tc>
        <w:tc>
          <w:tcPr>
            <w:tcW w:w="8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19,024</w:t>
            </w:r>
          </w:p>
        </w:tc>
      </w:tr>
      <w:tr>
        <w:trPr>
          <w:trHeight w:val="282"/>
        </w:trPr>
        <w:tc>
          <w:tcPr>
            <w:tcW w:w="6500" w:type="dxa"/>
            <w:vAlign w:val="bottom"/>
          </w:tcPr>
          <w:p>
            <w:pPr>
              <w:ind w:left="240"/>
              <w:spacing w:after="0"/>
              <w:rPr>
                <w:sz w:val="20"/>
                <w:szCs w:val="20"/>
                <w:color w:val="auto"/>
              </w:rPr>
            </w:pPr>
            <w:r>
              <w:rPr>
                <w:rFonts w:ascii="Arial" w:cs="Arial" w:eastAsia="Arial" w:hAnsi="Arial"/>
                <w:sz w:val="20"/>
                <w:szCs w:val="20"/>
                <w:color w:val="auto"/>
              </w:rPr>
              <w:t>Proceeds from issuance of convertible notes</w:t>
            </w:r>
          </w:p>
        </w:tc>
        <w:tc>
          <w:tcPr>
            <w:tcW w:w="142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20"/>
                <w:szCs w:val="20"/>
                <w:color w:val="auto"/>
              </w:rPr>
              <w:t>345,000</w:t>
            </w: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780" w:type="dxa"/>
            <w:vAlign w:val="bottom"/>
          </w:tcPr>
          <w:p>
            <w:pPr>
              <w:jc w:val="right"/>
              <w:spacing w:after="0"/>
              <w:rPr>
                <w:sz w:val="20"/>
                <w:szCs w:val="20"/>
                <w:color w:val="auto"/>
              </w:rPr>
            </w:pPr>
            <w:r>
              <w:rPr>
                <w:rFonts w:ascii="Arial" w:cs="Arial" w:eastAsia="Arial" w:hAnsi="Arial"/>
                <w:sz w:val="20"/>
                <w:szCs w:val="20"/>
                <w:color w:val="auto"/>
              </w:rPr>
              <w:t>—</w:t>
            </w:r>
          </w:p>
        </w:tc>
      </w:tr>
      <w:tr>
        <w:trPr>
          <w:trHeight w:val="285"/>
        </w:trPr>
        <w:tc>
          <w:tcPr>
            <w:tcW w:w="6500" w:type="dxa"/>
            <w:vAlign w:val="bottom"/>
            <w:shd w:val="clear" w:color="auto" w:fill="CCEEFF"/>
          </w:tcPr>
          <w:p>
            <w:pPr>
              <w:ind w:left="240"/>
              <w:spacing w:after="0"/>
              <w:rPr>
                <w:sz w:val="20"/>
                <w:szCs w:val="20"/>
                <w:color w:val="auto"/>
              </w:rPr>
            </w:pPr>
            <w:r>
              <w:rPr>
                <w:rFonts w:ascii="Arial" w:cs="Arial" w:eastAsia="Arial" w:hAnsi="Arial"/>
                <w:sz w:val="20"/>
                <w:szCs w:val="20"/>
                <w:color w:val="auto"/>
              </w:rPr>
              <w:t>Premium paid on capped call</w:t>
            </w:r>
          </w:p>
        </w:tc>
        <w:tc>
          <w:tcPr>
            <w:tcW w:w="1420" w:type="dxa"/>
            <w:vAlign w:val="bottom"/>
            <w:shd w:val="clear" w:color="auto" w:fill="CCEEFF"/>
          </w:tcPr>
          <w:p>
            <w:pPr>
              <w:spacing w:after="0"/>
              <w:rPr>
                <w:sz w:val="24"/>
                <w:szCs w:val="2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(35,087)</w:t>
            </w:r>
          </w:p>
        </w:tc>
        <w:tc>
          <w:tcPr>
            <w:tcW w:w="8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w:t>
            </w:r>
          </w:p>
        </w:tc>
      </w:tr>
      <w:tr>
        <w:trPr>
          <w:trHeight w:val="282"/>
        </w:trPr>
        <w:tc>
          <w:tcPr>
            <w:tcW w:w="6500" w:type="dxa"/>
            <w:vAlign w:val="bottom"/>
          </w:tcPr>
          <w:p>
            <w:pPr>
              <w:ind w:left="240"/>
              <w:spacing w:after="0"/>
              <w:rPr>
                <w:sz w:val="20"/>
                <w:szCs w:val="20"/>
                <w:color w:val="auto"/>
              </w:rPr>
            </w:pPr>
            <w:r>
              <w:rPr>
                <w:rFonts w:ascii="Arial" w:cs="Arial" w:eastAsia="Arial" w:hAnsi="Arial"/>
                <w:sz w:val="20"/>
                <w:szCs w:val="20"/>
                <w:color w:val="auto"/>
              </w:rPr>
              <w:t>Fees paid on issuance of convertible notes</w:t>
            </w:r>
          </w:p>
        </w:tc>
        <w:tc>
          <w:tcPr>
            <w:tcW w:w="142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20"/>
                <w:szCs w:val="20"/>
                <w:color w:val="auto"/>
              </w:rPr>
              <w:t>(10,434)</w:t>
            </w: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780" w:type="dxa"/>
            <w:vAlign w:val="bottom"/>
          </w:tcPr>
          <w:p>
            <w:pPr>
              <w:jc w:val="right"/>
              <w:spacing w:after="0"/>
              <w:rPr>
                <w:sz w:val="20"/>
                <w:szCs w:val="20"/>
                <w:color w:val="auto"/>
              </w:rPr>
            </w:pPr>
            <w:r>
              <w:rPr>
                <w:rFonts w:ascii="Arial" w:cs="Arial" w:eastAsia="Arial" w:hAnsi="Arial"/>
                <w:sz w:val="20"/>
                <w:szCs w:val="20"/>
                <w:color w:val="auto"/>
              </w:rPr>
              <w:t>—</w:t>
            </w:r>
          </w:p>
        </w:tc>
      </w:tr>
      <w:tr>
        <w:trPr>
          <w:trHeight w:val="285"/>
        </w:trPr>
        <w:tc>
          <w:tcPr>
            <w:tcW w:w="6500" w:type="dxa"/>
            <w:vAlign w:val="bottom"/>
            <w:shd w:val="clear" w:color="auto" w:fill="CCEEFF"/>
          </w:tcPr>
          <w:p>
            <w:pPr>
              <w:ind w:left="240"/>
              <w:spacing w:after="0"/>
              <w:rPr>
                <w:sz w:val="20"/>
                <w:szCs w:val="20"/>
                <w:color w:val="auto"/>
              </w:rPr>
            </w:pPr>
            <w:r>
              <w:rPr>
                <w:rFonts w:ascii="Arial" w:cs="Arial" w:eastAsia="Arial" w:hAnsi="Arial"/>
                <w:sz w:val="20"/>
                <w:szCs w:val="20"/>
                <w:color w:val="auto"/>
              </w:rPr>
              <w:t>Repayments of other debt</w:t>
            </w:r>
          </w:p>
        </w:tc>
        <w:tc>
          <w:tcPr>
            <w:tcW w:w="1420" w:type="dxa"/>
            <w:vAlign w:val="bottom"/>
            <w:shd w:val="clear" w:color="auto" w:fill="CCEEFF"/>
          </w:tcPr>
          <w:p>
            <w:pPr>
              <w:spacing w:after="0"/>
              <w:rPr>
                <w:sz w:val="24"/>
                <w:szCs w:val="2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(119,181)</w:t>
            </w:r>
          </w:p>
        </w:tc>
        <w:tc>
          <w:tcPr>
            <w:tcW w:w="8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(24,879)</w:t>
            </w:r>
          </w:p>
        </w:tc>
      </w:tr>
      <w:tr>
        <w:trPr>
          <w:trHeight w:val="282"/>
        </w:trPr>
        <w:tc>
          <w:tcPr>
            <w:tcW w:w="6500" w:type="dxa"/>
            <w:vAlign w:val="bottom"/>
          </w:tcPr>
          <w:p>
            <w:pPr>
              <w:ind w:left="240"/>
              <w:spacing w:after="0"/>
              <w:rPr>
                <w:sz w:val="20"/>
                <w:szCs w:val="20"/>
                <w:color w:val="auto"/>
              </w:rPr>
            </w:pPr>
            <w:r>
              <w:rPr>
                <w:rFonts w:ascii="Arial" w:cs="Arial" w:eastAsia="Arial" w:hAnsi="Arial"/>
                <w:sz w:val="20"/>
                <w:szCs w:val="20"/>
                <w:color w:val="auto"/>
              </w:rPr>
              <w:t>Repayments of term loan facility</w:t>
            </w:r>
          </w:p>
        </w:tc>
        <w:tc>
          <w:tcPr>
            <w:tcW w:w="142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20"/>
                <w:szCs w:val="20"/>
                <w:color w:val="auto"/>
              </w:rPr>
              <w:t>(233,875)</w:t>
            </w: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780" w:type="dxa"/>
            <w:vAlign w:val="bottom"/>
          </w:tcPr>
          <w:p>
            <w:pPr>
              <w:jc w:val="right"/>
              <w:spacing w:after="0"/>
              <w:rPr>
                <w:sz w:val="20"/>
                <w:szCs w:val="20"/>
                <w:color w:val="auto"/>
              </w:rPr>
            </w:pPr>
            <w:r>
              <w:rPr>
                <w:rFonts w:ascii="Arial" w:cs="Arial" w:eastAsia="Arial" w:hAnsi="Arial"/>
                <w:sz w:val="20"/>
                <w:szCs w:val="20"/>
                <w:color w:val="auto"/>
              </w:rPr>
              <w:t>(3,225)</w:t>
            </w:r>
          </w:p>
        </w:tc>
      </w:tr>
      <w:tr>
        <w:trPr>
          <w:trHeight w:val="285"/>
        </w:trPr>
        <w:tc>
          <w:tcPr>
            <w:tcW w:w="6500" w:type="dxa"/>
            <w:vAlign w:val="bottom"/>
            <w:shd w:val="clear" w:color="auto" w:fill="CCEEFF"/>
          </w:tcPr>
          <w:p>
            <w:pPr>
              <w:ind w:left="240"/>
              <w:spacing w:after="0"/>
              <w:rPr>
                <w:sz w:val="20"/>
                <w:szCs w:val="20"/>
                <w:color w:val="auto"/>
              </w:rPr>
            </w:pPr>
            <w:r>
              <w:rPr>
                <w:rFonts w:ascii="Arial" w:cs="Arial" w:eastAsia="Arial" w:hAnsi="Arial"/>
                <w:sz w:val="20"/>
                <w:szCs w:val="20"/>
                <w:color w:val="auto"/>
              </w:rPr>
              <w:t>Repayments of convertible notes</w:t>
            </w:r>
          </w:p>
        </w:tc>
        <w:tc>
          <w:tcPr>
            <w:tcW w:w="1420" w:type="dxa"/>
            <w:vAlign w:val="bottom"/>
            <w:shd w:val="clear" w:color="auto" w:fill="CCEEFF"/>
          </w:tcPr>
          <w:p>
            <w:pPr>
              <w:spacing w:after="0"/>
              <w:rPr>
                <w:sz w:val="24"/>
                <w:szCs w:val="2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(78,363)</w:t>
            </w:r>
          </w:p>
        </w:tc>
        <w:tc>
          <w:tcPr>
            <w:tcW w:w="8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w:t>
            </w:r>
          </w:p>
        </w:tc>
      </w:tr>
      <w:tr>
        <w:trPr>
          <w:trHeight w:val="282"/>
        </w:trPr>
        <w:tc>
          <w:tcPr>
            <w:tcW w:w="6500" w:type="dxa"/>
            <w:vAlign w:val="bottom"/>
          </w:tcPr>
          <w:p>
            <w:pPr>
              <w:ind w:left="240"/>
              <w:spacing w:after="0"/>
              <w:rPr>
                <w:sz w:val="20"/>
                <w:szCs w:val="20"/>
                <w:color w:val="auto"/>
              </w:rPr>
            </w:pPr>
            <w:r>
              <w:rPr>
                <w:rFonts w:ascii="Arial" w:cs="Arial" w:eastAsia="Arial" w:hAnsi="Arial"/>
                <w:sz w:val="20"/>
                <w:szCs w:val="20"/>
                <w:color w:val="auto"/>
              </w:rPr>
              <w:t>Contingent consideration payments</w:t>
            </w:r>
          </w:p>
        </w:tc>
        <w:tc>
          <w:tcPr>
            <w:tcW w:w="142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20"/>
                <w:szCs w:val="20"/>
                <w:color w:val="auto"/>
              </w:rPr>
              <w:t>(1,204)</w:t>
            </w: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780" w:type="dxa"/>
            <w:vAlign w:val="bottom"/>
          </w:tcPr>
          <w:p>
            <w:pPr>
              <w:jc w:val="right"/>
              <w:spacing w:after="0"/>
              <w:rPr>
                <w:sz w:val="20"/>
                <w:szCs w:val="20"/>
                <w:color w:val="auto"/>
              </w:rPr>
            </w:pPr>
            <w:r>
              <w:rPr>
                <w:rFonts w:ascii="Arial" w:cs="Arial" w:eastAsia="Arial" w:hAnsi="Arial"/>
                <w:sz w:val="20"/>
                <w:szCs w:val="20"/>
                <w:color w:val="auto"/>
              </w:rPr>
              <w:t>(1,427)</w:t>
            </w:r>
          </w:p>
        </w:tc>
      </w:tr>
      <w:tr>
        <w:trPr>
          <w:trHeight w:val="285"/>
        </w:trPr>
        <w:tc>
          <w:tcPr>
            <w:tcW w:w="6500" w:type="dxa"/>
            <w:vAlign w:val="bottom"/>
            <w:shd w:val="clear" w:color="auto" w:fill="CCEEFF"/>
          </w:tcPr>
          <w:p>
            <w:pPr>
              <w:ind w:left="240"/>
              <w:spacing w:after="0"/>
              <w:rPr>
                <w:sz w:val="20"/>
                <w:szCs w:val="20"/>
                <w:color w:val="auto"/>
              </w:rPr>
            </w:pPr>
            <w:r>
              <w:rPr>
                <w:rFonts w:ascii="Arial" w:cs="Arial" w:eastAsia="Arial" w:hAnsi="Arial"/>
                <w:sz w:val="20"/>
                <w:szCs w:val="20"/>
                <w:color w:val="auto"/>
              </w:rPr>
              <w:t>Other financing</w:t>
            </w:r>
          </w:p>
        </w:tc>
        <w:tc>
          <w:tcPr>
            <w:tcW w:w="1420" w:type="dxa"/>
            <w:vAlign w:val="bottom"/>
            <w:tcBorders>
              <w:bottom w:val="single" w:sz="8" w:color="auto"/>
            </w:tcBorders>
            <w:shd w:val="clear" w:color="auto" w:fill="CCEEFF"/>
          </w:tcPr>
          <w:p>
            <w:pPr>
              <w:spacing w:after="0"/>
              <w:rPr>
                <w:sz w:val="24"/>
                <w:szCs w:val="24"/>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(1,033)</w:t>
            </w:r>
          </w:p>
        </w:tc>
        <w:tc>
          <w:tcPr>
            <w:tcW w:w="80" w:type="dxa"/>
            <w:vAlign w:val="bottom"/>
            <w:shd w:val="clear" w:color="auto" w:fill="CCEEFF"/>
          </w:tcPr>
          <w:p>
            <w:pPr>
              <w:spacing w:after="0"/>
              <w:rPr>
                <w:sz w:val="24"/>
                <w:szCs w:val="24"/>
                <w:color w:val="auto"/>
              </w:rPr>
            </w:pPr>
          </w:p>
        </w:tc>
        <w:tc>
          <w:tcPr>
            <w:tcW w:w="520" w:type="dxa"/>
            <w:vAlign w:val="bottom"/>
            <w:tcBorders>
              <w:bottom w:val="single" w:sz="8" w:color="auto"/>
            </w:tcBorders>
            <w:shd w:val="clear" w:color="auto" w:fill="CCEEFF"/>
          </w:tcPr>
          <w:p>
            <w:pPr>
              <w:spacing w:after="0"/>
              <w:rPr>
                <w:sz w:val="24"/>
                <w:szCs w:val="24"/>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(1,734)</w:t>
            </w:r>
          </w:p>
        </w:tc>
      </w:tr>
      <w:tr>
        <w:trPr>
          <w:trHeight w:val="262"/>
        </w:trPr>
        <w:tc>
          <w:tcPr>
            <w:tcW w:w="6500" w:type="dxa"/>
            <w:vAlign w:val="bottom"/>
            <w:tcBorders>
              <w:bottom w:val="single" w:sz="8" w:color="CCEEFF"/>
            </w:tcBorders>
          </w:tcPr>
          <w:p>
            <w:pPr>
              <w:ind w:left="660"/>
              <w:spacing w:after="0"/>
              <w:rPr>
                <w:sz w:val="20"/>
                <w:szCs w:val="20"/>
                <w:color w:val="auto"/>
              </w:rPr>
            </w:pPr>
            <w:r>
              <w:rPr>
                <w:rFonts w:ascii="Arial" w:cs="Arial" w:eastAsia="Arial" w:hAnsi="Arial"/>
                <w:sz w:val="20"/>
                <w:szCs w:val="20"/>
                <w:color w:val="auto"/>
              </w:rPr>
              <w:t>Net cash used in financing activities</w:t>
            </w:r>
          </w:p>
        </w:tc>
        <w:tc>
          <w:tcPr>
            <w:tcW w:w="14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(25,518)</w:t>
            </w:r>
          </w:p>
        </w:tc>
        <w:tc>
          <w:tcPr>
            <w:tcW w:w="80" w:type="dxa"/>
            <w:vAlign w:val="bottom"/>
            <w:tcBorders>
              <w:bottom w:val="single" w:sz="8" w:color="CCEEFF"/>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(12,241)</w:t>
            </w:r>
          </w:p>
        </w:tc>
      </w:tr>
      <w:tr>
        <w:trPr>
          <w:trHeight w:val="265"/>
        </w:trPr>
        <w:tc>
          <w:tcPr>
            <w:tcW w:w="6500" w:type="dxa"/>
            <w:vAlign w:val="bottom"/>
            <w:shd w:val="clear" w:color="auto" w:fill="CCEEFF"/>
          </w:tcPr>
          <w:p>
            <w:pPr>
              <w:ind w:left="20"/>
              <w:spacing w:after="0"/>
              <w:rPr>
                <w:sz w:val="20"/>
                <w:szCs w:val="20"/>
                <w:color w:val="auto"/>
              </w:rPr>
            </w:pPr>
            <w:r>
              <w:rPr>
                <w:rFonts w:ascii="Arial" w:cs="Arial" w:eastAsia="Arial" w:hAnsi="Arial"/>
                <w:sz w:val="20"/>
                <w:szCs w:val="20"/>
                <w:color w:val="auto"/>
              </w:rPr>
              <w:t>Effect of exchange rate changes on cash and cash equivalent balances</w:t>
            </w:r>
          </w:p>
        </w:tc>
        <w:tc>
          <w:tcPr>
            <w:tcW w:w="1420" w:type="dxa"/>
            <w:vAlign w:val="bottom"/>
            <w:shd w:val="clear" w:color="auto" w:fill="CCEEFF"/>
          </w:tcPr>
          <w:p>
            <w:pPr>
              <w:spacing w:after="0"/>
              <w:rPr>
                <w:sz w:val="23"/>
                <w:szCs w:val="23"/>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5,747</w:t>
            </w:r>
          </w:p>
        </w:tc>
        <w:tc>
          <w:tcPr>
            <w:tcW w:w="8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(7,270)</w:t>
            </w:r>
          </w:p>
        </w:tc>
      </w:tr>
      <w:tr>
        <w:trPr>
          <w:trHeight w:val="280"/>
        </w:trPr>
        <w:tc>
          <w:tcPr>
            <w:tcW w:w="6500" w:type="dxa"/>
            <w:vAlign w:val="bottom"/>
          </w:tcPr>
          <w:p>
            <w:pPr>
              <w:ind w:left="20"/>
              <w:spacing w:after="0"/>
              <w:rPr>
                <w:sz w:val="20"/>
                <w:szCs w:val="20"/>
                <w:color w:val="auto"/>
              </w:rPr>
            </w:pPr>
            <w:r>
              <w:rPr>
                <w:rFonts w:ascii="Arial" w:cs="Arial" w:eastAsia="Arial" w:hAnsi="Arial"/>
                <w:sz w:val="20"/>
                <w:szCs w:val="20"/>
                <w:color w:val="auto"/>
              </w:rPr>
              <w:t>Net change in cash and cash equivalents and restricted cash</w:t>
            </w:r>
          </w:p>
        </w:tc>
        <w:tc>
          <w:tcPr>
            <w:tcW w:w="142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20"/>
                <w:szCs w:val="20"/>
                <w:color w:val="auto"/>
              </w:rPr>
              <w:t>(141,038)</w:t>
            </w: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780" w:type="dxa"/>
            <w:vAlign w:val="bottom"/>
          </w:tcPr>
          <w:p>
            <w:pPr>
              <w:jc w:val="right"/>
              <w:spacing w:after="0"/>
              <w:rPr>
                <w:sz w:val="20"/>
                <w:szCs w:val="20"/>
                <w:color w:val="auto"/>
              </w:rPr>
            </w:pPr>
            <w:r>
              <w:rPr>
                <w:rFonts w:ascii="Arial" w:cs="Arial" w:eastAsia="Arial" w:hAnsi="Arial"/>
                <w:sz w:val="20"/>
                <w:szCs w:val="20"/>
                <w:color w:val="auto"/>
              </w:rPr>
              <w:t>83,292</w:t>
            </w:r>
          </w:p>
        </w:tc>
      </w:tr>
    </w:tbl>
    <w:p>
      <w:pPr>
        <w:spacing w:after="0" w:line="200" w:lineRule="exact"/>
        <w:rPr>
          <w:sz w:val="20"/>
          <w:szCs w:val="20"/>
          <w:color w:val="auto"/>
        </w:rPr>
      </w:pPr>
    </w:p>
    <w:p>
      <w:pPr>
        <w:sectPr>
          <w:pgSz w:w="11900" w:h="16838" w:orient="portrait"/>
          <w:cols w:equalWidth="0" w:num="1">
            <w:col w:w="11200"/>
          </w:cols>
          <w:pgMar w:left="340" w:top="602"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78105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602" w:right="359" w:bottom="1440" w:gutter="0" w:footer="0" w:header="0"/>
          <w:type w:val="continuous"/>
        </w:sectPr>
      </w:pPr>
    </w:p>
    <w:bookmarkStart w:id="12" w:name="page13"/>
    <w:bookmarkEnd w:id="12"/>
    <w:p>
      <w:pPr>
        <w:ind w:left="4460"/>
        <w:spacing w:after="0"/>
        <w:rPr>
          <w:sz w:val="20"/>
          <w:szCs w:val="20"/>
          <w:color w:val="auto"/>
        </w:rPr>
      </w:pPr>
      <w:r>
        <w:rPr>
          <w:rFonts w:ascii="Arial" w:cs="Arial" w:eastAsia="Arial" w:hAnsi="Arial"/>
          <w:sz w:val="20"/>
          <w:szCs w:val="20"/>
          <w:b w:val="1"/>
          <w:bCs w:val="1"/>
          <w:color w:val="auto"/>
        </w:rPr>
        <w:t>Array Technologies, Inc.</w:t>
      </w:r>
    </w:p>
    <w:p>
      <w:pPr>
        <w:spacing w:after="0" w:line="33" w:lineRule="exact"/>
        <w:rPr>
          <w:sz w:val="20"/>
          <w:szCs w:val="20"/>
          <w:color w:val="auto"/>
        </w:rPr>
      </w:pPr>
    </w:p>
    <w:p>
      <w:pPr>
        <w:ind w:left="2060"/>
        <w:spacing w:after="0"/>
        <w:rPr>
          <w:sz w:val="20"/>
          <w:szCs w:val="20"/>
          <w:color w:val="auto"/>
        </w:rPr>
      </w:pPr>
      <w:r>
        <w:rPr>
          <w:rFonts w:ascii="Arial" w:cs="Arial" w:eastAsia="Arial" w:hAnsi="Arial"/>
          <w:sz w:val="20"/>
          <w:szCs w:val="20"/>
          <w:b w:val="1"/>
          <w:bCs w:val="1"/>
          <w:color w:val="auto"/>
        </w:rPr>
        <w:t xml:space="preserve">Condensed Consolidated Statements of Cash Flows </w:t>
      </w:r>
      <w:r>
        <w:rPr>
          <w:rFonts w:ascii="Arial" w:cs="Arial" w:eastAsia="Arial" w:hAnsi="Arial"/>
          <w:sz w:val="20"/>
          <w:szCs w:val="20"/>
          <w:b w:val="1"/>
          <w:bCs w:val="1"/>
          <w:i w:val="1"/>
          <w:iCs w:val="1"/>
          <w:color w:val="auto"/>
        </w:rPr>
        <w:t>(unaudited)</w:t>
      </w:r>
      <w:r>
        <w:rPr>
          <w:rFonts w:ascii="Arial" w:cs="Arial" w:eastAsia="Arial" w:hAnsi="Arial"/>
          <w:sz w:val="20"/>
          <w:szCs w:val="20"/>
          <w:b w:val="1"/>
          <w:bCs w:val="1"/>
          <w:color w:val="auto"/>
        </w:rPr>
        <w:t xml:space="preserve"> </w:t>
      </w:r>
      <w:r>
        <w:rPr>
          <w:rFonts w:ascii="Arial" w:cs="Arial" w:eastAsia="Arial" w:hAnsi="Arial"/>
          <w:sz w:val="20"/>
          <w:szCs w:val="20"/>
          <w:i w:val="1"/>
          <w:iCs w:val="1"/>
          <w:color w:val="auto"/>
        </w:rPr>
        <w:t>(continued)</w:t>
      </w:r>
    </w:p>
    <w:p>
      <w:pPr>
        <w:jc w:val="center"/>
        <w:spacing w:after="0"/>
        <w:rPr>
          <w:sz w:val="20"/>
          <w:szCs w:val="20"/>
          <w:color w:val="auto"/>
        </w:rPr>
      </w:pPr>
      <w:r>
        <w:rPr>
          <w:rFonts w:ascii="Arial" w:cs="Arial" w:eastAsia="Arial" w:hAnsi="Arial"/>
          <w:sz w:val="20"/>
          <w:szCs w:val="20"/>
          <w:i w:val="1"/>
          <w:iCs w:val="1"/>
          <w:color w:val="auto"/>
        </w:rPr>
        <w:t>(in thousands)</w:t>
      </w:r>
    </w:p>
    <w:p>
      <w:pPr>
        <w:spacing w:after="0" w:line="200" w:lineRule="exact"/>
        <w:rPr>
          <w:sz w:val="20"/>
          <w:szCs w:val="20"/>
          <w:color w:val="auto"/>
        </w:rPr>
      </w:pP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67"/>
        </w:trPr>
        <w:tc>
          <w:tcPr>
            <w:tcW w:w="6500" w:type="dxa"/>
            <w:vAlign w:val="bottom"/>
          </w:tcPr>
          <w:p>
            <w:pPr>
              <w:spacing w:after="0"/>
              <w:rPr>
                <w:sz w:val="23"/>
                <w:szCs w:val="23"/>
                <w:color w:val="auto"/>
              </w:rPr>
            </w:pPr>
          </w:p>
        </w:tc>
        <w:tc>
          <w:tcPr>
            <w:tcW w:w="4700" w:type="dxa"/>
            <w:vAlign w:val="bottom"/>
            <w:tcBorders>
              <w:bottom w:val="single" w:sz="8" w:color="auto"/>
            </w:tcBorders>
            <w:gridSpan w:val="5"/>
          </w:tcPr>
          <w:p>
            <w:pPr>
              <w:jc w:val="right"/>
              <w:ind w:right="621"/>
              <w:spacing w:after="0"/>
              <w:rPr>
                <w:sz w:val="20"/>
                <w:szCs w:val="20"/>
                <w:color w:val="auto"/>
              </w:rPr>
            </w:pPr>
            <w:r>
              <w:rPr>
                <w:rFonts w:ascii="Arial" w:cs="Arial" w:eastAsia="Arial" w:hAnsi="Arial"/>
                <w:sz w:val="20"/>
                <w:szCs w:val="20"/>
                <w:b w:val="1"/>
                <w:bCs w:val="1"/>
                <w:color w:val="auto"/>
              </w:rPr>
              <w:t>Nine Months Ended September 30,</w:t>
            </w:r>
          </w:p>
        </w:tc>
      </w:tr>
      <w:tr>
        <w:trPr>
          <w:trHeight w:val="250"/>
        </w:trPr>
        <w:tc>
          <w:tcPr>
            <w:tcW w:w="6500" w:type="dxa"/>
            <w:vAlign w:val="bottom"/>
            <w:tcBorders>
              <w:bottom w:val="single" w:sz="8" w:color="CCEEFF"/>
            </w:tcBorders>
          </w:tcPr>
          <w:p>
            <w:pPr>
              <w:spacing w:after="0"/>
              <w:rPr>
                <w:sz w:val="21"/>
                <w:szCs w:val="21"/>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2025</w:t>
            </w:r>
          </w:p>
        </w:tc>
        <w:tc>
          <w:tcPr>
            <w:tcW w:w="860" w:type="dxa"/>
            <w:vAlign w:val="bottom"/>
            <w:tcBorders>
              <w:bottom w:val="single" w:sz="8" w:color="auto"/>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520" w:type="dxa"/>
            <w:vAlign w:val="bottom"/>
            <w:tcBorders>
              <w:bottom w:val="single" w:sz="8" w:color="auto"/>
            </w:tcBorders>
          </w:tcPr>
          <w:p>
            <w:pPr>
              <w:spacing w:after="0"/>
              <w:rPr>
                <w:sz w:val="21"/>
                <w:szCs w:val="21"/>
                <w:color w:val="auto"/>
              </w:rPr>
            </w:pPr>
          </w:p>
        </w:tc>
        <w:tc>
          <w:tcPr>
            <w:tcW w:w="1780" w:type="dxa"/>
            <w:vAlign w:val="bottom"/>
            <w:tcBorders>
              <w:bottom w:val="single" w:sz="8" w:color="auto"/>
            </w:tcBorders>
          </w:tcPr>
          <w:p>
            <w:pPr>
              <w:jc w:val="right"/>
              <w:ind w:right="821"/>
              <w:spacing w:after="0"/>
              <w:rPr>
                <w:sz w:val="20"/>
                <w:szCs w:val="20"/>
                <w:color w:val="auto"/>
              </w:rPr>
            </w:pPr>
            <w:r>
              <w:rPr>
                <w:rFonts w:ascii="Arial" w:cs="Arial" w:eastAsia="Arial" w:hAnsi="Arial"/>
                <w:sz w:val="20"/>
                <w:szCs w:val="20"/>
                <w:b w:val="1"/>
                <w:bCs w:val="1"/>
                <w:color w:val="auto"/>
              </w:rPr>
              <w:t>2024</w:t>
            </w:r>
          </w:p>
        </w:tc>
      </w:tr>
      <w:tr>
        <w:trPr>
          <w:trHeight w:val="264"/>
        </w:trPr>
        <w:tc>
          <w:tcPr>
            <w:tcW w:w="6500" w:type="dxa"/>
            <w:vAlign w:val="bottom"/>
            <w:shd w:val="clear" w:color="auto" w:fill="CCEEFF"/>
          </w:tcPr>
          <w:p>
            <w:pPr>
              <w:ind w:left="20"/>
              <w:spacing w:after="0"/>
              <w:rPr>
                <w:sz w:val="20"/>
                <w:szCs w:val="20"/>
                <w:color w:val="auto"/>
              </w:rPr>
            </w:pPr>
            <w:r>
              <w:rPr>
                <w:rFonts w:ascii="Arial" w:cs="Arial" w:eastAsia="Arial" w:hAnsi="Arial"/>
                <w:sz w:val="20"/>
                <w:szCs w:val="20"/>
                <w:color w:val="auto"/>
              </w:rPr>
              <w:t>Cash and cash equivalents, and restricted cash beginning of period</w:t>
            </w:r>
          </w:p>
        </w:tc>
        <w:tc>
          <w:tcPr>
            <w:tcW w:w="1460" w:type="dxa"/>
            <w:vAlign w:val="bottom"/>
            <w:tcBorders>
              <w:bottom w:val="single" w:sz="8" w:color="auto"/>
            </w:tcBorders>
            <w:shd w:val="clear" w:color="auto" w:fill="CCEEFF"/>
          </w:tcPr>
          <w:p>
            <w:pPr>
              <w:spacing w:after="0"/>
              <w:rPr>
                <w:sz w:val="22"/>
                <w:szCs w:val="22"/>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364,141</w:t>
            </w:r>
          </w:p>
        </w:tc>
        <w:tc>
          <w:tcPr>
            <w:tcW w:w="80" w:type="dxa"/>
            <w:vAlign w:val="bottom"/>
            <w:shd w:val="clear" w:color="auto" w:fill="CCEEFF"/>
          </w:tcPr>
          <w:p>
            <w:pPr>
              <w:spacing w:after="0"/>
              <w:rPr>
                <w:sz w:val="22"/>
                <w:szCs w:val="22"/>
                <w:color w:val="auto"/>
              </w:rPr>
            </w:pPr>
          </w:p>
        </w:tc>
        <w:tc>
          <w:tcPr>
            <w:tcW w:w="520" w:type="dxa"/>
            <w:vAlign w:val="bottom"/>
            <w:tcBorders>
              <w:bottom w:val="single" w:sz="8" w:color="auto"/>
            </w:tcBorders>
            <w:shd w:val="clear" w:color="auto" w:fill="CCEEFF"/>
          </w:tcPr>
          <w:p>
            <w:pPr>
              <w:spacing w:after="0"/>
              <w:rPr>
                <w:sz w:val="22"/>
                <w:szCs w:val="22"/>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249,080</w:t>
            </w:r>
          </w:p>
        </w:tc>
      </w:tr>
      <w:tr>
        <w:trPr>
          <w:trHeight w:val="250"/>
        </w:trPr>
        <w:tc>
          <w:tcPr>
            <w:tcW w:w="6500" w:type="dxa"/>
            <w:vAlign w:val="bottom"/>
          </w:tcPr>
          <w:p>
            <w:pPr>
              <w:ind w:left="20"/>
              <w:spacing w:after="0"/>
              <w:rPr>
                <w:sz w:val="20"/>
                <w:szCs w:val="20"/>
                <w:color w:val="auto"/>
              </w:rPr>
            </w:pPr>
            <w:r>
              <w:rPr>
                <w:rFonts w:ascii="Arial" w:cs="Arial" w:eastAsia="Arial" w:hAnsi="Arial"/>
                <w:sz w:val="20"/>
                <w:szCs w:val="20"/>
                <w:color w:val="auto"/>
              </w:rPr>
              <w:t>Cash and cash equivalents and restricted cash, end of period</w:t>
            </w:r>
          </w:p>
        </w:tc>
        <w:tc>
          <w:tcPr>
            <w:tcW w:w="1460" w:type="dxa"/>
            <w:vAlign w:val="bottom"/>
            <w:tcBorders>
              <w:bottom w:val="single" w:sz="8" w:color="auto"/>
            </w:tcBorders>
          </w:tcPr>
          <w:p>
            <w:pPr>
              <w:jc w:val="right"/>
              <w:ind w:right="1221"/>
              <w:spacing w:after="0"/>
              <w:rPr>
                <w:sz w:val="20"/>
                <w:szCs w:val="20"/>
                <w:color w:val="auto"/>
              </w:rPr>
            </w:pPr>
            <w:r>
              <w:rPr>
                <w:rFonts w:ascii="Arial" w:cs="Arial" w:eastAsia="Arial" w:hAnsi="Arial"/>
                <w:sz w:val="20"/>
                <w:szCs w:val="20"/>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223,103</w:t>
            </w:r>
          </w:p>
        </w:tc>
        <w:tc>
          <w:tcPr>
            <w:tcW w:w="80" w:type="dxa"/>
            <w:vAlign w:val="bottom"/>
          </w:tcPr>
          <w:p>
            <w:pPr>
              <w:spacing w:after="0"/>
              <w:rPr>
                <w:sz w:val="21"/>
                <w:szCs w:val="21"/>
                <w:color w:val="auto"/>
              </w:rPr>
            </w:pPr>
          </w:p>
        </w:tc>
        <w:tc>
          <w:tcPr>
            <w:tcW w:w="520" w:type="dxa"/>
            <w:vAlign w:val="bottom"/>
            <w:tcBorders>
              <w:bottom w:val="single" w:sz="8" w:color="auto"/>
            </w:tcBorders>
          </w:tcPr>
          <w:p>
            <w:pPr>
              <w:jc w:val="right"/>
              <w:ind w:right="301"/>
              <w:spacing w:after="0"/>
              <w:rPr>
                <w:sz w:val="20"/>
                <w:szCs w:val="20"/>
                <w:color w:val="auto"/>
              </w:rPr>
            </w:pPr>
            <w:r>
              <w:rPr>
                <w:rFonts w:ascii="Arial" w:cs="Arial" w:eastAsia="Arial" w:hAnsi="Arial"/>
                <w:sz w:val="20"/>
                <w:szCs w:val="20"/>
                <w:color w:val="auto"/>
                <w:w w:val="89"/>
              </w:rPr>
              <w:t>$</w:t>
            </w: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332,372</w:t>
            </w:r>
          </w:p>
        </w:tc>
      </w:tr>
      <w:tr>
        <w:trPr>
          <w:trHeight w:val="20"/>
        </w:trPr>
        <w:tc>
          <w:tcPr>
            <w:tcW w:w="650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r>
    </w:tbl>
    <w:p>
      <w:pPr>
        <w:spacing w:after="0" w:line="3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69215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602" w:right="359" w:bottom="1440" w:gutter="0" w:footer="0" w:header="0"/>
        </w:sectPr>
      </w:pPr>
    </w:p>
    <w:bookmarkStart w:id="13" w:name="page14"/>
    <w:bookmarkEnd w:id="13"/>
    <w:p>
      <w:pPr>
        <w:jc w:val="center"/>
        <w:spacing w:after="0"/>
        <w:rPr>
          <w:sz w:val="20"/>
          <w:szCs w:val="20"/>
          <w:color w:val="auto"/>
        </w:rPr>
      </w:pPr>
      <w:r>
        <w:rPr>
          <w:rFonts w:ascii="Arial" w:cs="Arial" w:eastAsia="Arial" w:hAnsi="Arial"/>
          <w:sz w:val="20"/>
          <w:szCs w:val="20"/>
          <w:b w:val="1"/>
          <w:bCs w:val="1"/>
          <w:color w:val="auto"/>
        </w:rPr>
        <w:t>Array Technologies, Inc.</w:t>
      </w:r>
    </w:p>
    <w:p>
      <w:pPr>
        <w:spacing w:after="0" w:line="3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 xml:space="preserve">Notes to Condensed Consolidated Financial Statements </w:t>
      </w:r>
      <w:r>
        <w:rPr>
          <w:rFonts w:ascii="Arial" w:cs="Arial" w:eastAsia="Arial" w:hAnsi="Arial"/>
          <w:sz w:val="20"/>
          <w:szCs w:val="20"/>
          <w:b w:val="1"/>
          <w:bCs w:val="1"/>
          <w:i w:val="1"/>
          <w:i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left="400" w:hanging="392"/>
        <w:spacing w:after="0"/>
        <w:tabs>
          <w:tab w:leader="none" w:pos="400" w:val="left"/>
        </w:tabs>
        <w:numPr>
          <w:ilvl w:val="0"/>
          <w:numId w:val="5"/>
        </w:numPr>
        <w:rPr>
          <w:rFonts w:ascii="Arial" w:cs="Arial" w:eastAsia="Arial" w:hAnsi="Arial"/>
          <w:sz w:val="20"/>
          <w:szCs w:val="20"/>
          <w:b w:val="1"/>
          <w:bCs w:val="1"/>
          <w:color w:val="auto"/>
        </w:rPr>
      </w:pPr>
      <w:r>
        <w:rPr>
          <w:rFonts w:ascii="Arial" w:cs="Arial" w:eastAsia="Arial" w:hAnsi="Arial"/>
          <w:sz w:val="20"/>
          <w:szCs w:val="20"/>
          <w:b w:val="1"/>
          <w:bCs w:val="1"/>
          <w:color w:val="auto"/>
        </w:rPr>
        <w:t>Organization and Business</w:t>
      </w:r>
    </w:p>
    <w:p>
      <w:pPr>
        <w:spacing w:after="0" w:line="258" w:lineRule="exact"/>
        <w:rPr>
          <w:sz w:val="20"/>
          <w:szCs w:val="20"/>
          <w:color w:val="auto"/>
        </w:rPr>
      </w:pPr>
    </w:p>
    <w:p>
      <w:pPr>
        <w:jc w:val="both"/>
        <w:spacing w:after="0" w:line="276" w:lineRule="auto"/>
        <w:rPr>
          <w:sz w:val="20"/>
          <w:szCs w:val="20"/>
          <w:color w:val="auto"/>
        </w:rPr>
      </w:pPr>
      <w:r>
        <w:rPr>
          <w:rFonts w:ascii="Arial" w:cs="Arial" w:eastAsia="Arial" w:hAnsi="Arial"/>
          <w:sz w:val="20"/>
          <w:szCs w:val="20"/>
          <w:color w:val="auto"/>
        </w:rPr>
        <w:t>Array Technologies, Inc. (the “Company”) is a leading global provider of solar tracking technology and fixed-tilt systems to utility-scale and distributed generation customers who construct, develop, and operate solar PV sites, and is headquartered in Albuquerque, New Mexico.</w:t>
      </w:r>
    </w:p>
    <w:p>
      <w:pPr>
        <w:spacing w:after="0" w:line="192" w:lineRule="exact"/>
        <w:rPr>
          <w:sz w:val="20"/>
          <w:szCs w:val="20"/>
          <w:color w:val="auto"/>
        </w:rPr>
      </w:pPr>
    </w:p>
    <w:p>
      <w:pPr>
        <w:jc w:val="both"/>
        <w:spacing w:after="0" w:line="276" w:lineRule="auto"/>
        <w:rPr>
          <w:sz w:val="20"/>
          <w:szCs w:val="20"/>
          <w:color w:val="auto"/>
        </w:rPr>
      </w:pPr>
      <w:r>
        <w:rPr>
          <w:rFonts w:ascii="Arial" w:cs="Arial" w:eastAsia="Arial" w:hAnsi="Arial"/>
          <w:sz w:val="20"/>
          <w:szCs w:val="20"/>
          <w:color w:val="auto"/>
        </w:rPr>
        <w:t>On January 11, 2022, the Company acquired 100% of the share capital of Soluciones Técnicas Integrales Norland, S.L.U., a Spanish private limited liability Company, and its subsidiaries (collectively, “STI”) with cash and common stock of the Company (the “STI Acquisition”). The STI Acquisition was accounted for as a business combination.</w:t>
      </w:r>
    </w:p>
    <w:p>
      <w:pPr>
        <w:spacing w:after="0" w:line="192" w:lineRule="exact"/>
        <w:rPr>
          <w:sz w:val="20"/>
          <w:szCs w:val="20"/>
          <w:color w:val="auto"/>
        </w:rPr>
      </w:pPr>
    </w:p>
    <w:p>
      <w:pPr>
        <w:jc w:val="both"/>
        <w:ind w:right="20"/>
        <w:spacing w:after="0" w:line="300" w:lineRule="auto"/>
        <w:rPr>
          <w:sz w:val="20"/>
          <w:szCs w:val="20"/>
          <w:color w:val="auto"/>
        </w:rPr>
      </w:pPr>
      <w:r>
        <w:rPr>
          <w:rFonts w:ascii="Arial" w:cs="Arial" w:eastAsia="Arial" w:hAnsi="Arial"/>
          <w:sz w:val="20"/>
          <w:szCs w:val="20"/>
          <w:color w:val="auto"/>
        </w:rPr>
        <w:t>Upon completion of the STI Acquisition, the Company began operating as two reportable operating segments: the Array legacy operating segment (“Array Legacy Operations”) and the acquired operating segment (“STI Operations”) pertaining to STI.</w:t>
      </w:r>
    </w:p>
    <w:p>
      <w:pPr>
        <w:spacing w:after="0" w:line="168" w:lineRule="exact"/>
        <w:rPr>
          <w:sz w:val="20"/>
          <w:szCs w:val="20"/>
          <w:color w:val="auto"/>
        </w:rPr>
      </w:pPr>
    </w:p>
    <w:p>
      <w:pPr>
        <w:jc w:val="both"/>
        <w:spacing w:after="0" w:line="265" w:lineRule="auto"/>
        <w:rPr>
          <w:sz w:val="20"/>
          <w:szCs w:val="20"/>
          <w:color w:val="auto"/>
        </w:rPr>
      </w:pPr>
      <w:r>
        <w:rPr>
          <w:rFonts w:ascii="Arial" w:cs="Arial" w:eastAsia="Arial" w:hAnsi="Arial"/>
          <w:sz w:val="20"/>
          <w:szCs w:val="20"/>
          <w:color w:val="auto"/>
        </w:rPr>
        <w:t xml:space="preserve">On August 14, 2025, the Company acquired 100% of the issued and outstanding equity interests of APA Solar, LLC (“APA”), the terms of which are discussed in </w:t>
      </w:r>
      <w:r>
        <w:rPr>
          <w:rFonts w:ascii="Arial" w:cs="Arial" w:eastAsia="Arial" w:hAnsi="Arial"/>
          <w:sz w:val="20"/>
          <w:szCs w:val="20"/>
          <w:u w:val="single" w:color="auto"/>
          <w:color w:val="0000FF"/>
        </w:rPr>
        <w:t>Note 3 – Acquisition</w:t>
      </w:r>
      <w:r>
        <w:rPr>
          <w:rFonts w:ascii="Arial" w:cs="Arial" w:eastAsia="Arial" w:hAnsi="Arial"/>
          <w:sz w:val="20"/>
          <w:szCs w:val="20"/>
          <w:color w:val="auto"/>
        </w:rPr>
        <w:t xml:space="preserve"> (the “APA Acquisition”). APA designs, engineers and manufactures solar racking, mounting and foundation systems, and the integration of such systems into the Company’s business model through the APA Acquisition supports the Company’s strategic expansion in the solar energy market and expands its operational footprint. APA is currently reported within the Array Legacy Operations segment.</w:t>
      </w:r>
    </w:p>
    <w:p>
      <w:pPr>
        <w:spacing w:after="0" w:line="213" w:lineRule="exact"/>
        <w:rPr>
          <w:sz w:val="20"/>
          <w:szCs w:val="20"/>
          <w:color w:val="auto"/>
        </w:rPr>
      </w:pPr>
    </w:p>
    <w:p>
      <w:pPr>
        <w:ind w:left="400" w:hanging="392"/>
        <w:spacing w:after="0"/>
        <w:tabs>
          <w:tab w:leader="none" w:pos="400" w:val="left"/>
        </w:tabs>
        <w:numPr>
          <w:ilvl w:val="0"/>
          <w:numId w:val="6"/>
        </w:numPr>
        <w:rPr>
          <w:rFonts w:ascii="Arial" w:cs="Arial" w:eastAsia="Arial" w:hAnsi="Arial"/>
          <w:sz w:val="20"/>
          <w:szCs w:val="20"/>
          <w:b w:val="1"/>
          <w:bCs w:val="1"/>
          <w:color w:val="auto"/>
        </w:rPr>
      </w:pPr>
      <w:r>
        <w:rPr>
          <w:rFonts w:ascii="Arial" w:cs="Arial" w:eastAsia="Arial" w:hAnsi="Arial"/>
          <w:sz w:val="20"/>
          <w:szCs w:val="20"/>
          <w:b w:val="1"/>
          <w:bCs w:val="1"/>
          <w:color w:val="auto"/>
        </w:rPr>
        <w:t>Summary of Significant Accounting Policies</w:t>
      </w:r>
    </w:p>
    <w:p>
      <w:pPr>
        <w:spacing w:after="0" w:line="25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Basis of Accounting and Presentation</w:t>
      </w:r>
    </w:p>
    <w:p>
      <w:pPr>
        <w:spacing w:after="0" w:line="123" w:lineRule="exact"/>
        <w:rPr>
          <w:sz w:val="20"/>
          <w:szCs w:val="20"/>
          <w:color w:val="auto"/>
        </w:rPr>
      </w:pPr>
    </w:p>
    <w:p>
      <w:pPr>
        <w:jc w:val="both"/>
        <w:spacing w:after="0" w:line="262" w:lineRule="auto"/>
        <w:rPr>
          <w:sz w:val="20"/>
          <w:szCs w:val="20"/>
          <w:color w:val="auto"/>
        </w:rPr>
      </w:pPr>
      <w:r>
        <w:rPr>
          <w:rFonts w:ascii="Arial" w:cs="Arial" w:eastAsia="Arial" w:hAnsi="Arial"/>
          <w:sz w:val="20"/>
          <w:szCs w:val="20"/>
          <w:color w:val="auto"/>
        </w:rPr>
        <w:t>The accompanying unaudited condensed consolidated financial statements in this Quarterly Report have been prepared on the accrual basis of accounting in accordance with accounting principles generally accepted in the United States of America (“U.S. GAAP”) for interim financial information and pursuant to the instructions to Form 10-Q and Article 10 of Regulation S-X of the Securities and Exchange Commission (the “SEC”). Accordingly, these interim financial statements do not include all of the information and footnotes required by U.S. GAAP for annual financial statements. In the opinion of Array’s management, all adjustments (consisting only of normal recurring adjustments) considered necessary for a fair statement of results for the interim periods reported have been included. These unaudited condensed consolidated financial statements should be read in conjunction with the Company’s audited consolidated financial statements included in our Annual Report on Form 10-K for the year ended December 31, 2024, filed with the SEC on March 3, 2025.</w:t>
      </w:r>
    </w:p>
    <w:p>
      <w:pPr>
        <w:spacing w:after="0" w:line="20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Principles of Consolidation</w:t>
      </w:r>
    </w:p>
    <w:p>
      <w:pPr>
        <w:spacing w:after="0" w:line="137" w:lineRule="exact"/>
        <w:rPr>
          <w:sz w:val="20"/>
          <w:szCs w:val="20"/>
          <w:color w:val="auto"/>
        </w:rPr>
      </w:pPr>
    </w:p>
    <w:p>
      <w:pPr>
        <w:jc w:val="both"/>
        <w:spacing w:after="0" w:line="286" w:lineRule="auto"/>
        <w:rPr>
          <w:sz w:val="20"/>
          <w:szCs w:val="20"/>
          <w:color w:val="auto"/>
        </w:rPr>
      </w:pPr>
      <w:r>
        <w:rPr>
          <w:rFonts w:ascii="Arial" w:cs="Arial" w:eastAsia="Arial" w:hAnsi="Arial"/>
          <w:sz w:val="20"/>
          <w:szCs w:val="20"/>
          <w:color w:val="auto"/>
        </w:rPr>
        <w:t>The condensed consolidated financial statements include the accounts of Array Technologies, Inc. and its subsidiaries. All intercompany accounts and transactions have been eliminated upon consolidation.</w:t>
      </w:r>
    </w:p>
    <w:p>
      <w:pPr>
        <w:spacing w:after="0" w:line="17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Use of Estimates</w:t>
      </w:r>
    </w:p>
    <w:p>
      <w:pPr>
        <w:spacing w:after="0" w:line="137" w:lineRule="exact"/>
        <w:rPr>
          <w:sz w:val="20"/>
          <w:szCs w:val="20"/>
          <w:color w:val="auto"/>
        </w:rPr>
      </w:pPr>
    </w:p>
    <w:p>
      <w:pPr>
        <w:jc w:val="both"/>
        <w:spacing w:after="0" w:line="269" w:lineRule="auto"/>
        <w:rPr>
          <w:sz w:val="20"/>
          <w:szCs w:val="20"/>
          <w:color w:val="auto"/>
        </w:rPr>
      </w:pPr>
      <w:r>
        <w:rPr>
          <w:rFonts w:ascii="Arial" w:cs="Arial" w:eastAsia="Arial" w:hAnsi="Arial"/>
          <w:sz w:val="20"/>
          <w:szCs w:val="20"/>
          <w:color w:val="auto"/>
        </w:rPr>
        <w:t>The preparation of condensed consolidated financial statements in conformity with U.S. GAAP requires management to make estimates and assumptions that affect the reported amounts of assets and liabilities, the disclosure of contingent assets and liabilities and the reported amounts of revenues and expenses during the</w:t>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78105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14" w:name="page15"/>
    <w:bookmarkEnd w:id="14"/>
    <w:p>
      <w:pPr>
        <w:spacing w:after="0" w:line="312" w:lineRule="exact"/>
        <w:rPr>
          <w:sz w:val="20"/>
          <w:szCs w:val="20"/>
          <w:color w:val="auto"/>
        </w:rPr>
      </w:pPr>
    </w:p>
    <w:p>
      <w:pPr>
        <w:spacing w:after="0"/>
        <w:rPr>
          <w:sz w:val="20"/>
          <w:szCs w:val="20"/>
          <w:color w:val="auto"/>
        </w:rPr>
      </w:pPr>
      <w:r>
        <w:rPr>
          <w:rFonts w:ascii="Arial" w:cs="Arial" w:eastAsia="Arial" w:hAnsi="Arial"/>
          <w:sz w:val="20"/>
          <w:szCs w:val="20"/>
          <w:color w:val="auto"/>
        </w:rPr>
        <w:t>reporting period. Although management believes its estimates are reasonable, actual results could differ from those estimates.</w:t>
      </w:r>
    </w:p>
    <w:p>
      <w:pPr>
        <w:spacing w:after="0" w:line="25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Business Combinations</w:t>
      </w:r>
    </w:p>
    <w:p>
      <w:pPr>
        <w:spacing w:after="0" w:line="137" w:lineRule="exact"/>
        <w:rPr>
          <w:sz w:val="20"/>
          <w:szCs w:val="20"/>
          <w:color w:val="auto"/>
        </w:rPr>
      </w:pPr>
    </w:p>
    <w:p>
      <w:pPr>
        <w:jc w:val="both"/>
        <w:spacing w:after="0" w:line="262" w:lineRule="auto"/>
        <w:rPr>
          <w:sz w:val="20"/>
          <w:szCs w:val="20"/>
          <w:color w:val="auto"/>
        </w:rPr>
      </w:pPr>
      <w:r>
        <w:rPr>
          <w:rFonts w:ascii="Arial" w:cs="Arial" w:eastAsia="Arial" w:hAnsi="Arial"/>
          <w:sz w:val="20"/>
          <w:szCs w:val="20"/>
          <w:color w:val="auto"/>
        </w:rPr>
        <w:t xml:space="preserve">The Company accounts for its business acquisitions under the acquisition method of accounting in accordance with the Financial Accounting Standards Board’s (“FASB”) Accounting Standards Codification (“ASC”) Topic 805 </w:t>
      </w:r>
      <w:r>
        <w:rPr>
          <w:rFonts w:ascii="Arial" w:cs="Arial" w:eastAsia="Arial" w:hAnsi="Arial"/>
          <w:sz w:val="20"/>
          <w:szCs w:val="20"/>
          <w:i w:val="1"/>
          <w:iCs w:val="1"/>
          <w:color w:val="auto"/>
        </w:rPr>
        <w:t>Business Combinations</w:t>
      </w:r>
      <w:r>
        <w:rPr>
          <w:rFonts w:ascii="Arial" w:cs="Arial" w:eastAsia="Arial" w:hAnsi="Arial"/>
          <w:sz w:val="20"/>
          <w:szCs w:val="20"/>
          <w:color w:val="auto"/>
        </w:rPr>
        <w:t xml:space="preserve"> (“ASC 805”). The excess of the purchase price over the estimated fair values of the net assets acquired is recorded as goodwill. Determining the fair value of assets acquired and liabilities assumed requires management’s judgment and often involves the use of significant estimates and assumptions, including assumptions with respect to future cash inflows and outflows, discount rates, asset lives, and market multiples, amongst other items.</w:t>
      </w:r>
    </w:p>
    <w:p>
      <w:pPr>
        <w:spacing w:after="0" w:line="22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Inflation Reduction Act Vendor Rebates</w:t>
      </w:r>
    </w:p>
    <w:p>
      <w:pPr>
        <w:spacing w:after="0" w:line="123" w:lineRule="exact"/>
        <w:rPr>
          <w:sz w:val="20"/>
          <w:szCs w:val="20"/>
          <w:color w:val="auto"/>
        </w:rPr>
      </w:pPr>
    </w:p>
    <w:p>
      <w:pPr>
        <w:jc w:val="both"/>
        <w:spacing w:after="0" w:line="265" w:lineRule="auto"/>
        <w:rPr>
          <w:sz w:val="20"/>
          <w:szCs w:val="20"/>
          <w:color w:val="auto"/>
        </w:rPr>
      </w:pPr>
      <w:r>
        <w:rPr>
          <w:rFonts w:ascii="Arial" w:cs="Arial" w:eastAsia="Arial" w:hAnsi="Arial"/>
          <w:sz w:val="20"/>
          <w:szCs w:val="20"/>
          <w:color w:val="auto"/>
        </w:rPr>
        <w:t>On August 16, 2022, the Inflation Reduction Act of 2022 (“IRA”) was enacted into law, which includes numerous green energy credits. The 45X advanced manufacturing production tax credit (“45X Credit”) was established as part of the IRA. The section 45X Credit is a per-unit tax credit that is earned over time for each clean energy component domestically produced and sold by a manufacturer. The Company has, and will continue to enter into, arrangements with manufacturing vendors that produce section 45X Credit eligible parts, in which the vendors agree to share a portion of the benefit received related to Array purchases, in the form of “Vendor Rebates.”</w:t>
      </w:r>
    </w:p>
    <w:p>
      <w:pPr>
        <w:spacing w:after="0" w:line="69" w:lineRule="exact"/>
        <w:rPr>
          <w:sz w:val="20"/>
          <w:szCs w:val="20"/>
          <w:color w:val="auto"/>
        </w:rPr>
      </w:pPr>
    </w:p>
    <w:p>
      <w:pPr>
        <w:jc w:val="both"/>
        <w:spacing w:after="0" w:line="282" w:lineRule="auto"/>
        <w:rPr>
          <w:sz w:val="20"/>
          <w:szCs w:val="20"/>
          <w:color w:val="auto"/>
        </w:rPr>
      </w:pPr>
      <w:r>
        <w:rPr>
          <w:rFonts w:ascii="Arial" w:cs="Arial" w:eastAsia="Arial" w:hAnsi="Arial"/>
          <w:sz w:val="19"/>
          <w:szCs w:val="19"/>
          <w:color w:val="auto"/>
        </w:rPr>
        <w:t>The Company accounts for these Vendor Rebates as a reduction of the purchase prices of the vendors’ products and therefore a reduction in the cost of inventory until the inventory is sold, at which time the Company recognizes such rebates as a reduction of cost of product and service revenue on the condensed consolidated statements of operations. For vendor rebates related to past purchases that are owed to the Company upon execution of the agreement, the Company defers recognition of this portion of the rebate and recognizes the amounts as a reduction to cost of product and service revenue as future purchases occur.</w:t>
      </w:r>
    </w:p>
    <w:p>
      <w:pPr>
        <w:spacing w:after="0" w:line="201" w:lineRule="exact"/>
        <w:rPr>
          <w:sz w:val="20"/>
          <w:szCs w:val="20"/>
          <w:color w:val="auto"/>
        </w:rPr>
      </w:pPr>
    </w:p>
    <w:p>
      <w:pPr>
        <w:jc w:val="both"/>
        <w:spacing w:after="0" w:line="269" w:lineRule="auto"/>
        <w:rPr>
          <w:sz w:val="20"/>
          <w:szCs w:val="20"/>
          <w:color w:val="auto"/>
        </w:rPr>
      </w:pPr>
      <w:r>
        <w:rPr>
          <w:rFonts w:ascii="Arial" w:cs="Arial" w:eastAsia="Arial" w:hAnsi="Arial"/>
          <w:sz w:val="20"/>
          <w:szCs w:val="20"/>
          <w:color w:val="auto"/>
        </w:rPr>
        <w:t xml:space="preserve">As of September 30, 2025, the Company had an outstanding Vendor Rebate receivable of $42.7 million and $110.6 million included in Prepaid expenses and other and Other assets, respectively. As of December 31, 2024 the Company had an outstanding Vendor Rebate receivable of $115.5 million and </w:t>
      </w:r>
      <w:r>
        <w:rPr>
          <w:rFonts w:ascii="Arial" w:cs="Arial" w:eastAsia="Arial" w:hAnsi="Arial"/>
          <w:sz w:val="21"/>
          <w:szCs w:val="21"/>
          <w:color w:val="auto"/>
        </w:rPr>
        <w:t>zero</w:t>
      </w:r>
      <w:r>
        <w:rPr>
          <w:rFonts w:ascii="Arial" w:cs="Arial" w:eastAsia="Arial" w:hAnsi="Arial"/>
          <w:sz w:val="20"/>
          <w:szCs w:val="20"/>
          <w:color w:val="auto"/>
        </w:rPr>
        <w:t>, included in Prepaid expenses and other and Other assets, respectively.</w:t>
      </w:r>
    </w:p>
    <w:p>
      <w:pPr>
        <w:spacing w:after="0" w:line="21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Inflation Reduction Act 45X Credits</w:t>
      </w:r>
    </w:p>
    <w:p>
      <w:pPr>
        <w:spacing w:after="0" w:line="123" w:lineRule="exact"/>
        <w:rPr>
          <w:sz w:val="20"/>
          <w:szCs w:val="20"/>
          <w:color w:val="auto"/>
        </w:rPr>
      </w:pPr>
    </w:p>
    <w:p>
      <w:pPr>
        <w:jc w:val="both"/>
        <w:spacing w:after="0" w:line="268" w:lineRule="auto"/>
        <w:rPr>
          <w:sz w:val="20"/>
          <w:szCs w:val="20"/>
          <w:color w:val="auto"/>
        </w:rPr>
      </w:pPr>
      <w:r>
        <w:rPr>
          <w:rFonts w:ascii="Arial" w:cs="Arial" w:eastAsia="Arial" w:hAnsi="Arial"/>
          <w:sz w:val="20"/>
          <w:szCs w:val="20"/>
          <w:color w:val="auto"/>
        </w:rPr>
        <w:t>The Company accounts for the 45X Advanced Manufacturing Production Credit established by the IRA, under IAS 20 - Accounting for Government Grants and Disclosure of Government Assistance (“IAS 20”), as a reduction to production costs. The tax credit is recorded as a reduction to the Income tax payable on the condensed consolidated balance sheets dated September 30, 2025 and December 31, 2024. On July 4, 2025, President Trump signed into law the One Big Beautiful Bill Act (“OBBB”). The OBBB extended key provisions of the 2017 Tax Cuts and Jobs Act including, but not limited to, federal bonus depreciation and deductions for domestic research and development expenditures. The Company is currently evaluating the income tax impact of OBBB on the Company’s future consolidated financial statements.</w:t>
      </w:r>
    </w:p>
    <w:p>
      <w:pPr>
        <w:spacing w:after="0" w:line="19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Goodwill and Indefinite-Lived Intangible Assets</w:t>
      </w:r>
    </w:p>
    <w:p>
      <w:pPr>
        <w:spacing w:after="0" w:line="123" w:lineRule="exact"/>
        <w:rPr>
          <w:sz w:val="20"/>
          <w:szCs w:val="20"/>
          <w:color w:val="auto"/>
        </w:rPr>
      </w:pPr>
    </w:p>
    <w:p>
      <w:pPr>
        <w:jc w:val="both"/>
        <w:spacing w:after="0" w:line="300" w:lineRule="auto"/>
        <w:rPr>
          <w:sz w:val="20"/>
          <w:szCs w:val="20"/>
          <w:color w:val="auto"/>
        </w:rPr>
      </w:pPr>
      <w:r>
        <w:rPr>
          <w:rFonts w:ascii="Arial" w:cs="Arial" w:eastAsia="Arial" w:hAnsi="Arial"/>
          <w:sz w:val="20"/>
          <w:szCs w:val="20"/>
          <w:color w:val="auto"/>
        </w:rPr>
        <w:t>Goodwill represents the excess of the consideration transferred over the estimated fair value of assets acquired and liabilities assumed in a business combination. Intangible assets are measured at their respective</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78105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5" w:name="page16"/>
    <w:bookmarkEnd w:id="15"/>
    <w:p>
      <w:pPr>
        <w:spacing w:after="0" w:line="312" w:lineRule="exact"/>
        <w:rPr>
          <w:sz w:val="20"/>
          <w:szCs w:val="20"/>
          <w:color w:val="auto"/>
        </w:rPr>
      </w:pPr>
    </w:p>
    <w:p>
      <w:pPr>
        <w:jc w:val="both"/>
        <w:spacing w:after="0" w:line="265" w:lineRule="auto"/>
        <w:rPr>
          <w:sz w:val="20"/>
          <w:szCs w:val="20"/>
          <w:color w:val="auto"/>
        </w:rPr>
      </w:pPr>
      <w:r>
        <w:rPr>
          <w:rFonts w:ascii="Arial" w:cs="Arial" w:eastAsia="Arial" w:hAnsi="Arial"/>
          <w:sz w:val="20"/>
          <w:szCs w:val="20"/>
          <w:color w:val="auto"/>
        </w:rPr>
        <w:t>fair values as of the acquisition date and may be subject to adjustment within the measurement period, which may be up to one year from the acquisition date. The Company does not amortize goodwill but instead tests goodwill for impairment annually, or more frequently if events or changes in circumstances indicate that it is more likely than not that the asset is impaired. Such triggering events potentially warranting an annual or interim goodwill impairment assessment include, among other factors, declines in historical or projected revenue, operating income or cash flows, and sustained decreases in the Company’s stock price or market capitalization.</w:t>
      </w:r>
    </w:p>
    <w:p>
      <w:pPr>
        <w:spacing w:after="0" w:line="204" w:lineRule="exact"/>
        <w:rPr>
          <w:sz w:val="20"/>
          <w:szCs w:val="20"/>
          <w:color w:val="auto"/>
        </w:rPr>
      </w:pPr>
    </w:p>
    <w:p>
      <w:pPr>
        <w:jc w:val="both"/>
        <w:spacing w:after="0" w:line="262" w:lineRule="auto"/>
        <w:rPr>
          <w:sz w:val="20"/>
          <w:szCs w:val="20"/>
          <w:color w:val="auto"/>
        </w:rPr>
      </w:pPr>
      <w:r>
        <w:rPr>
          <w:rFonts w:ascii="Arial" w:cs="Arial" w:eastAsia="Arial" w:hAnsi="Arial"/>
          <w:sz w:val="20"/>
          <w:szCs w:val="20"/>
          <w:color w:val="auto"/>
        </w:rPr>
        <w:t>Goodwill is assessed for impairment using either a qualitative assessment or quantitative approach to determine whether it is more likely than not that the fair value of the reporting unit is less than the carrying amount. The qualitative assessment evaluates factors including macroeconomic conditions, industry-specific and company-specific considerations, legal and regulatory environments, and historical performance. If the Company cannot determine if it is more likely than not that the fair value of a reporting unit is greater than its carrying value, a quantitative assessment is performed. The quantitative approach compares the estimated fair value of the reporting unit to its carrying amount, including goodwill. Impairment is indicated if the estimated fair value of the reporting unit is less than the carrying amount of the reporting unit, and an impairment charge is recognized for the differential.</w:t>
      </w:r>
    </w:p>
    <w:p>
      <w:pPr>
        <w:spacing w:after="0" w:line="219" w:lineRule="exact"/>
        <w:rPr>
          <w:sz w:val="20"/>
          <w:szCs w:val="20"/>
          <w:color w:val="auto"/>
        </w:rPr>
      </w:pPr>
    </w:p>
    <w:p>
      <w:pPr>
        <w:jc w:val="both"/>
        <w:spacing w:after="0" w:line="269" w:lineRule="auto"/>
        <w:rPr>
          <w:sz w:val="20"/>
          <w:szCs w:val="20"/>
          <w:color w:val="auto"/>
        </w:rPr>
      </w:pPr>
      <w:r>
        <w:rPr>
          <w:rFonts w:ascii="Arial" w:cs="Arial" w:eastAsia="Arial" w:hAnsi="Arial"/>
          <w:sz w:val="20"/>
          <w:szCs w:val="20"/>
          <w:color w:val="auto"/>
        </w:rPr>
        <w:t>When determining the fair value of a reporting unit using the quantitative approach, we determine the fair value of the reporting unit using an income approach based on discounted cash flows. The fair value determined under the income approach is then compared to guideline publicly-traded companies (“GPC”) market place EBITDA multiples to corroborate the fair value of the reporting unit determined under the income approach.</w:t>
      </w:r>
    </w:p>
    <w:p>
      <w:pPr>
        <w:spacing w:after="0" w:line="197" w:lineRule="exact"/>
        <w:rPr>
          <w:sz w:val="20"/>
          <w:szCs w:val="20"/>
          <w:color w:val="auto"/>
        </w:rPr>
      </w:pPr>
    </w:p>
    <w:p>
      <w:pPr>
        <w:jc w:val="both"/>
        <w:spacing w:after="0" w:line="286" w:lineRule="auto"/>
        <w:rPr>
          <w:sz w:val="20"/>
          <w:szCs w:val="20"/>
          <w:color w:val="auto"/>
        </w:rPr>
      </w:pPr>
      <w:r>
        <w:rPr>
          <w:rFonts w:ascii="Arial" w:cs="Arial" w:eastAsia="Arial" w:hAnsi="Arial"/>
          <w:sz w:val="20"/>
          <w:szCs w:val="20"/>
          <w:color w:val="auto"/>
        </w:rPr>
        <w:t>The Company has not identified any indicators of impairment that would require the Company to test its goodwill for impairment as of September 30, 2025.</w:t>
      </w:r>
    </w:p>
    <w:p>
      <w:pPr>
        <w:spacing w:after="0" w:line="19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Equity Investment</w:t>
      </w:r>
    </w:p>
    <w:p>
      <w:pPr>
        <w:spacing w:after="0" w:line="123" w:lineRule="exact"/>
        <w:rPr>
          <w:sz w:val="20"/>
          <w:szCs w:val="20"/>
          <w:color w:val="auto"/>
        </w:rPr>
      </w:pPr>
    </w:p>
    <w:p>
      <w:pPr>
        <w:jc w:val="both"/>
        <w:spacing w:after="0" w:line="269" w:lineRule="auto"/>
        <w:rPr>
          <w:sz w:val="20"/>
          <w:szCs w:val="20"/>
          <w:color w:val="auto"/>
        </w:rPr>
      </w:pPr>
      <w:r>
        <w:rPr>
          <w:rFonts w:ascii="Arial" w:cs="Arial" w:eastAsia="Arial" w:hAnsi="Arial"/>
          <w:sz w:val="20"/>
          <w:szCs w:val="20"/>
          <w:color w:val="auto"/>
        </w:rPr>
        <w:t>On November 6, 2024, Array invested $3.0 million through a Simple Agreement for Future Equity (“SAFE”) with a technology company. On June 2, 2025, the SAFE investment converted into 182,669 preferred shares of the company at the predetermined price. Array will invest up to $2.0 million in future SAFEs contingent upon the achievement of defined milestones by the technology company.</w:t>
      </w:r>
    </w:p>
    <w:p>
      <w:pPr>
        <w:spacing w:after="0" w:line="197" w:lineRule="exact"/>
        <w:rPr>
          <w:sz w:val="20"/>
          <w:szCs w:val="20"/>
          <w:color w:val="auto"/>
        </w:rPr>
      </w:pPr>
    </w:p>
    <w:p>
      <w:pPr>
        <w:jc w:val="both"/>
        <w:spacing w:after="0" w:line="276" w:lineRule="auto"/>
        <w:rPr>
          <w:sz w:val="20"/>
          <w:szCs w:val="20"/>
          <w:color w:val="auto"/>
        </w:rPr>
      </w:pPr>
      <w:r>
        <w:rPr>
          <w:rFonts w:ascii="Arial" w:cs="Arial" w:eastAsia="Arial" w:hAnsi="Arial"/>
          <w:sz w:val="20"/>
          <w:szCs w:val="20"/>
          <w:color w:val="auto"/>
        </w:rPr>
        <w:t>The initial investment of $3.0 million was recorded as an equity investment at cost and is included within Other assets on the condensed consolidated balance sheet. The investment will be carried at cost and remeasured to fair value if impaired or if there are observable transaction prices. The conversion did not result in the recognition of a gain or loss.</w:t>
      </w:r>
    </w:p>
    <w:p>
      <w:pPr>
        <w:spacing w:after="0" w:line="19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Long-Lived Assets</w:t>
      </w:r>
    </w:p>
    <w:p>
      <w:pPr>
        <w:spacing w:after="0" w:line="137" w:lineRule="exact"/>
        <w:rPr>
          <w:sz w:val="20"/>
          <w:szCs w:val="20"/>
          <w:color w:val="auto"/>
        </w:rPr>
      </w:pPr>
    </w:p>
    <w:p>
      <w:pPr>
        <w:jc w:val="both"/>
        <w:spacing w:after="0" w:line="273" w:lineRule="auto"/>
        <w:rPr>
          <w:sz w:val="20"/>
          <w:szCs w:val="20"/>
          <w:color w:val="auto"/>
        </w:rPr>
      </w:pPr>
      <w:r>
        <w:rPr>
          <w:rFonts w:ascii="Arial" w:cs="Arial" w:eastAsia="Arial" w:hAnsi="Arial"/>
          <w:sz w:val="20"/>
          <w:szCs w:val="20"/>
          <w:color w:val="auto"/>
        </w:rPr>
        <w:t>In testing long-lived assets and goodwill for impairment, the Company first tests its long-lived assets for impairment, and then tests the goodwill of a reporting unit that includes the long-lived assets covered under the long-lived asset test for impairment. If an asset group includes only a portion of a reporting unit, the carrying amount of goodwill is not included in the asset group. The carrying values are adjusted, if necessary, for the result of each impairment test prior to performing the next test.</w:t>
      </w:r>
    </w:p>
    <w:p>
      <w:pPr>
        <w:spacing w:after="0" w:line="209" w:lineRule="exact"/>
        <w:rPr>
          <w:sz w:val="20"/>
          <w:szCs w:val="20"/>
          <w:color w:val="auto"/>
        </w:rPr>
      </w:pPr>
    </w:p>
    <w:p>
      <w:pPr>
        <w:jc w:val="both"/>
        <w:spacing w:after="0" w:line="286" w:lineRule="auto"/>
        <w:rPr>
          <w:sz w:val="20"/>
          <w:szCs w:val="20"/>
          <w:color w:val="auto"/>
        </w:rPr>
      </w:pPr>
      <w:r>
        <w:rPr>
          <w:rFonts w:ascii="Arial" w:cs="Arial" w:eastAsia="Arial" w:hAnsi="Arial"/>
          <w:sz w:val="20"/>
          <w:szCs w:val="20"/>
          <w:color w:val="auto"/>
        </w:rPr>
        <w:t>When events, circumstances or operating results indicate that the carrying values of long-lived assets might not be recoverable through future operations, the Company prepares projections of the undiscounted future</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6" w:name="page17"/>
    <w:bookmarkEnd w:id="16"/>
    <w:p>
      <w:pPr>
        <w:spacing w:after="0" w:line="312" w:lineRule="exact"/>
        <w:rPr>
          <w:sz w:val="20"/>
          <w:szCs w:val="20"/>
          <w:color w:val="auto"/>
        </w:rPr>
      </w:pPr>
    </w:p>
    <w:p>
      <w:pPr>
        <w:jc w:val="both"/>
        <w:spacing w:after="0" w:line="269" w:lineRule="auto"/>
        <w:rPr>
          <w:sz w:val="20"/>
          <w:szCs w:val="20"/>
          <w:color w:val="auto"/>
        </w:rPr>
      </w:pPr>
      <w:r>
        <w:rPr>
          <w:rFonts w:ascii="Arial" w:cs="Arial" w:eastAsia="Arial" w:hAnsi="Arial"/>
          <w:sz w:val="20"/>
          <w:szCs w:val="20"/>
          <w:color w:val="auto"/>
        </w:rPr>
        <w:t>cash flows expected to be generated from the underlying asset group and the cash flows resulting from the asset grouping’s eventual disposition. If the projections indicate that the underlying asset grouping is not expected to be recoverable, the estimated fair value of the asset group is determined. An impairment loss is recognized based on the difference between the carrying value of the asset group and its estimated fair value. The loss is allocated to the long-lived assets.</w:t>
      </w:r>
    </w:p>
    <w:p>
      <w:pPr>
        <w:spacing w:after="0" w:line="197" w:lineRule="exact"/>
        <w:rPr>
          <w:sz w:val="20"/>
          <w:szCs w:val="20"/>
          <w:color w:val="auto"/>
        </w:rPr>
      </w:pPr>
    </w:p>
    <w:p>
      <w:pPr>
        <w:jc w:val="both"/>
        <w:spacing w:after="0" w:line="300" w:lineRule="auto"/>
        <w:rPr>
          <w:sz w:val="20"/>
          <w:szCs w:val="20"/>
          <w:color w:val="auto"/>
        </w:rPr>
      </w:pPr>
      <w:r>
        <w:rPr>
          <w:rFonts w:ascii="Arial" w:cs="Arial" w:eastAsia="Arial" w:hAnsi="Arial"/>
          <w:sz w:val="20"/>
          <w:szCs w:val="20"/>
          <w:color w:val="auto"/>
        </w:rPr>
        <w:t>The Company has not identified indicators of impairment that would require the Company to test its long-lived assets for impairment as of September 30, 2025.</w:t>
      </w:r>
    </w:p>
    <w:p>
      <w:pPr>
        <w:spacing w:after="0" w:line="16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Revenue Recognition</w:t>
      </w:r>
    </w:p>
    <w:p>
      <w:pPr>
        <w:spacing w:after="0" w:line="123" w:lineRule="exact"/>
        <w:rPr>
          <w:sz w:val="20"/>
          <w:szCs w:val="20"/>
          <w:color w:val="auto"/>
        </w:rPr>
      </w:pPr>
    </w:p>
    <w:p>
      <w:pPr>
        <w:jc w:val="both"/>
        <w:spacing w:after="0" w:line="264" w:lineRule="auto"/>
        <w:rPr>
          <w:sz w:val="20"/>
          <w:szCs w:val="20"/>
          <w:color w:val="auto"/>
        </w:rPr>
      </w:pPr>
      <w:r>
        <w:rPr>
          <w:rFonts w:ascii="Arial" w:cs="Arial" w:eastAsia="Arial" w:hAnsi="Arial"/>
          <w:sz w:val="20"/>
          <w:szCs w:val="20"/>
          <w:color w:val="auto"/>
        </w:rPr>
        <w:t>A majority of our revenue is recognized over time as work progresses, and for single performance obligations, we use an input measure, the cost-to-cost method, to determine progress. We review and update the contract related estimates on an ongoing basis and recognize adjustments for any project specific facts and circumstances that could impact the measurement of the extent of progress such as the total costs to complete the contracts, under the cumulative catch-up method. Due to the relatively short duration of our outstanding performance obligations, and our ability to estimate the remaining costs to be incurred, which are substantially all material costs covered under our material supply agreements with our suppliers, we have not recorded any material catch-up adjustments for the periods presented that would have impacted revenues or EPS related to revisions in our measurement of remaining progress of our performance obligations.</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Research and Development</w:t>
      </w:r>
    </w:p>
    <w:p>
      <w:pPr>
        <w:spacing w:after="0" w:line="123" w:lineRule="exact"/>
        <w:rPr>
          <w:sz w:val="20"/>
          <w:szCs w:val="20"/>
          <w:color w:val="auto"/>
        </w:rPr>
      </w:pPr>
    </w:p>
    <w:p>
      <w:pPr>
        <w:jc w:val="both"/>
        <w:spacing w:after="0" w:line="265" w:lineRule="auto"/>
        <w:rPr>
          <w:sz w:val="20"/>
          <w:szCs w:val="20"/>
          <w:color w:val="auto"/>
        </w:rPr>
      </w:pPr>
      <w:r>
        <w:rPr>
          <w:rFonts w:ascii="Arial" w:cs="Arial" w:eastAsia="Arial" w:hAnsi="Arial"/>
          <w:sz w:val="20"/>
          <w:szCs w:val="20"/>
          <w:color w:val="auto"/>
        </w:rPr>
        <w:t>The Company incurs research and development costs while researching and developing new products and significant enhancements to existing products. Research and development costs consist primarily of personnel-related costs associated with our internal engineers, third-party consultants, materials and overhead. The Company expenses these costs as incurred prior to a respective product being ready for commercial production. Research and development expense was $2.3 million and $1.6 million during the three months ended September 30, 2025 and 2024, respectively, and $7.2 million and $5.3 million during the nine months ended September 30, 2025 and 2024, respectively.</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Recently Issued Accounting Pronouncements</w:t>
      </w:r>
    </w:p>
    <w:p>
      <w:pPr>
        <w:spacing w:after="0" w:line="137" w:lineRule="exact"/>
        <w:rPr>
          <w:sz w:val="20"/>
          <w:szCs w:val="20"/>
          <w:color w:val="auto"/>
        </w:rPr>
      </w:pPr>
    </w:p>
    <w:p>
      <w:pPr>
        <w:jc w:val="both"/>
        <w:spacing w:after="0" w:line="265" w:lineRule="auto"/>
        <w:rPr>
          <w:sz w:val="20"/>
          <w:szCs w:val="20"/>
          <w:color w:val="auto"/>
        </w:rPr>
      </w:pPr>
      <w:r>
        <w:rPr>
          <w:rFonts w:ascii="Arial" w:cs="Arial" w:eastAsia="Arial" w:hAnsi="Arial"/>
          <w:sz w:val="20"/>
          <w:szCs w:val="20"/>
          <w:color w:val="auto"/>
        </w:rPr>
        <w:t>In December 2023, the FASB issued ASU 2023-09, Income Taxes (Topic 740): Improvements to Income Tax Disclosures, which requires disclosure of disaggregated income taxes paid, prescribes standard categories for the components of the effective tax rate reconciliation, and modifies other income tax-related disclosures. The standard will become effective for the Company’s fiscal year ending December 31, 2025, with early adoption permitted. The Company will adopt this reporting standard with its annual report on Form 10-K for 2025 and expects no material impacts upon adoption.</w:t>
      </w:r>
    </w:p>
    <w:p>
      <w:pPr>
        <w:spacing w:after="0" w:line="202" w:lineRule="exact"/>
        <w:rPr>
          <w:sz w:val="20"/>
          <w:szCs w:val="20"/>
          <w:color w:val="auto"/>
        </w:rPr>
      </w:pPr>
    </w:p>
    <w:p>
      <w:pPr>
        <w:jc w:val="both"/>
        <w:spacing w:after="0" w:line="268" w:lineRule="auto"/>
        <w:rPr>
          <w:sz w:val="20"/>
          <w:szCs w:val="20"/>
          <w:color w:val="auto"/>
        </w:rPr>
      </w:pPr>
      <w:r>
        <w:rPr>
          <w:rFonts w:ascii="Arial" w:cs="Arial" w:eastAsia="Arial" w:hAnsi="Arial"/>
          <w:sz w:val="20"/>
          <w:szCs w:val="20"/>
          <w:color w:val="auto"/>
        </w:rPr>
        <w:t>In November 2024, the FASB issued ASU 2024-03, Income Statement - Reporting Comprehensive Income - Expense Disaggregation Disclosures (Subtopic 220-40), which requires public entities to disclose additional information about specific expense categories in the notes to the financial statements on an interim and annual basis. ASU 2024-03 is effective for fiscal years beginning after December 31, 2026, and for interim periods beginning after December 31, 2027, with early adoption permitted. The Company is currently evaluating the impact of adopting ASU 2024-03.</w:t>
      </w:r>
    </w:p>
    <w:p>
      <w:pPr>
        <w:spacing w:after="0" w:line="201" w:lineRule="exact"/>
        <w:rPr>
          <w:sz w:val="20"/>
          <w:szCs w:val="20"/>
          <w:color w:val="auto"/>
        </w:rPr>
      </w:pPr>
    </w:p>
    <w:p>
      <w:pPr>
        <w:jc w:val="both"/>
        <w:spacing w:after="0" w:line="286" w:lineRule="auto"/>
        <w:rPr>
          <w:sz w:val="20"/>
          <w:szCs w:val="20"/>
          <w:color w:val="auto"/>
        </w:rPr>
      </w:pPr>
      <w:r>
        <w:rPr>
          <w:rFonts w:ascii="Arial" w:cs="Arial" w:eastAsia="Arial" w:hAnsi="Arial"/>
          <w:sz w:val="20"/>
          <w:szCs w:val="20"/>
          <w:color w:val="auto"/>
        </w:rPr>
        <w:t>In July 2025, the FASB issued a new accounting standard, which provides a practical expedient (for all entities) and an accounting policy election (for all entities, other than public business entities, that elect the practical</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7" w:name="page18"/>
    <w:bookmarkEnd w:id="17"/>
    <w:p>
      <w:pPr>
        <w:spacing w:after="0" w:line="312" w:lineRule="exact"/>
        <w:rPr>
          <w:sz w:val="20"/>
          <w:szCs w:val="20"/>
          <w:color w:val="auto"/>
        </w:rPr>
      </w:pPr>
    </w:p>
    <w:p>
      <w:pPr>
        <w:jc w:val="both"/>
        <w:spacing w:after="0" w:line="265" w:lineRule="auto"/>
        <w:rPr>
          <w:sz w:val="20"/>
          <w:szCs w:val="20"/>
          <w:color w:val="auto"/>
        </w:rPr>
      </w:pPr>
      <w:r>
        <w:rPr>
          <w:rFonts w:ascii="Arial" w:cs="Arial" w:eastAsia="Arial" w:hAnsi="Arial"/>
          <w:sz w:val="20"/>
          <w:szCs w:val="20"/>
          <w:color w:val="auto"/>
        </w:rPr>
        <w:t>expedient) related to the estimation of expected credit losses for current accounts receivable and current contract assets that arise from transactions accounted for under ASC 606. The new standard is effective for fiscal years beginning after December 15, 2027, and interim periods within those fiscal years, with early adoption permitted. The Company expects to adopt the new guidance in the first quarter of fiscal year 2026 and does not expect a material impact on its consolidated financial statements upon adoption.</w:t>
      </w:r>
    </w:p>
    <w:p>
      <w:pPr>
        <w:spacing w:after="0" w:line="215" w:lineRule="exact"/>
        <w:rPr>
          <w:sz w:val="20"/>
          <w:szCs w:val="20"/>
          <w:color w:val="auto"/>
        </w:rPr>
      </w:pPr>
    </w:p>
    <w:p>
      <w:pPr>
        <w:jc w:val="both"/>
        <w:spacing w:after="0" w:line="261" w:lineRule="auto"/>
        <w:rPr>
          <w:sz w:val="20"/>
          <w:szCs w:val="20"/>
          <w:color w:val="auto"/>
        </w:rPr>
      </w:pPr>
      <w:r>
        <w:rPr>
          <w:rFonts w:ascii="Arial" w:cs="Arial" w:eastAsia="Arial" w:hAnsi="Arial"/>
          <w:sz w:val="20"/>
          <w:szCs w:val="20"/>
          <w:color w:val="auto"/>
        </w:rPr>
        <w:t>In September 2025, the FASB issued ASU 2025-06, which updates the accounting for internal-use software by removing project stage references and introduces a new capitalization threshold based on management authorization and project completion probability. The guidance requires evaluation of significant development uncertainty, including novel functionality and unresolved performance requirements. ASU 2025-06 also requires website-specific development costs to be evaluated under the same framework as other internal-use software and clarifies that capitalized internal-use software costs are subject to the property, plant and equipment disclosure requirements under ASC 360-10. The amendments are effective for fiscal years beginning after December 15, 2027, and interim periods within those fiscal years. ASU 2025-06 may be applied prospectively, retrospectively or on a modified transition approach with early adoption permitted. The Company is currently evaluating the impact of ASU 2025-06 on our financial statement disclosures.</w:t>
      </w:r>
    </w:p>
    <w:p>
      <w:pPr>
        <w:spacing w:after="0" w:line="204" w:lineRule="exact"/>
        <w:rPr>
          <w:sz w:val="20"/>
          <w:szCs w:val="20"/>
          <w:color w:val="auto"/>
        </w:rPr>
      </w:pPr>
    </w:p>
    <w:p>
      <w:pPr>
        <w:ind w:left="380" w:hanging="372"/>
        <w:spacing w:after="0"/>
        <w:tabs>
          <w:tab w:leader="none" w:pos="380" w:val="left"/>
        </w:tabs>
        <w:numPr>
          <w:ilvl w:val="0"/>
          <w:numId w:val="7"/>
        </w:numPr>
        <w:rPr>
          <w:rFonts w:ascii="Arial" w:cs="Arial" w:eastAsia="Arial" w:hAnsi="Arial"/>
          <w:sz w:val="20"/>
          <w:szCs w:val="20"/>
          <w:b w:val="1"/>
          <w:bCs w:val="1"/>
          <w:color w:val="auto"/>
        </w:rPr>
      </w:pPr>
      <w:r>
        <w:rPr>
          <w:rFonts w:ascii="Arial" w:cs="Arial" w:eastAsia="Arial" w:hAnsi="Arial"/>
          <w:sz w:val="20"/>
          <w:szCs w:val="20"/>
          <w:b w:val="1"/>
          <w:bCs w:val="1"/>
          <w:color w:val="auto"/>
        </w:rPr>
        <w:t>Acquisition</w:t>
      </w:r>
    </w:p>
    <w:p>
      <w:pPr>
        <w:spacing w:after="0" w:line="245" w:lineRule="exact"/>
        <w:rPr>
          <w:sz w:val="20"/>
          <w:szCs w:val="20"/>
          <w:color w:val="auto"/>
        </w:rPr>
      </w:pPr>
    </w:p>
    <w:p>
      <w:pPr>
        <w:jc w:val="both"/>
        <w:spacing w:after="0" w:line="261" w:lineRule="auto"/>
        <w:rPr>
          <w:sz w:val="20"/>
          <w:szCs w:val="20"/>
          <w:color w:val="auto"/>
        </w:rPr>
      </w:pPr>
      <w:r>
        <w:rPr>
          <w:rFonts w:ascii="Arial" w:cs="Arial" w:eastAsia="Arial" w:hAnsi="Arial"/>
          <w:sz w:val="20"/>
          <w:szCs w:val="20"/>
          <w:color w:val="auto"/>
        </w:rPr>
        <w:t>On August 14, 2025 (the “Closing Date”), the Company, through its indirect wholly owned subsidiary STINorland USA, Inc., a California corporation (“Buyer”), completed the APA Acquisition, pursuant to the terms of the equity purchase agreement, dated as of June 17, 2025, by and among the Company, Buyer, APA, SunHoldings, LLC, an Ohio limited liability company (“Seller”) and the guarantors party thereto (as amended, the “Purchase Agreement”). The cash consideration paid was approximately $166.1 million. The Purchase Agreement also includes an earnout provision estimated to have a fair value of approximately $20.0 million as of the Closing Date (the “Earnout Consideration”), under which the Seller may receive shares of Company common stock, or equivalent cash value at the Buyer’s discretion, based upon APA’s achievement of certain financial performance targets during the three-year period ending on September 30, 2028. As a result, the purchase consideration approximates $186.1 million. Subject to the terms and conditions set forth in the Purchase Agreement, the Company has also agreed to pay aggregate deferred purchase price consideration of approximately $40.0 million payable in three installments over a two-year period based on service within five business days after the first and second anniversaries from the Closing Date and as set forth below (the “Deferred Consideration”). Each of the Earnout Consideration and Deferred Consideration are described in more detail below. The Company is currently finalizing the valuation of the acquired assets and liabilities and assessing the related accounting impacts.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8960" w:type="dxa"/>
            <w:vAlign w:val="bottom"/>
          </w:tcPr>
          <w:p>
            <w:pPr>
              <w:spacing w:after="0"/>
              <w:rPr>
                <w:sz w:val="20"/>
                <w:szCs w:val="20"/>
                <w:color w:val="auto"/>
              </w:rPr>
            </w:pPr>
            <w:r>
              <w:rPr>
                <w:rFonts w:ascii="Arial" w:cs="Arial" w:eastAsia="Arial" w:hAnsi="Arial"/>
                <w:sz w:val="20"/>
                <w:szCs w:val="20"/>
                <w:color w:val="auto"/>
              </w:rPr>
              <w:t>The purchase consideration to acquire APA consisted of the following:</w:t>
            </w:r>
          </w:p>
        </w:tc>
        <w:tc>
          <w:tcPr>
            <w:tcW w:w="800" w:type="dxa"/>
            <w:vAlign w:val="bottom"/>
          </w:tcPr>
          <w:p>
            <w:pPr>
              <w:spacing w:after="0"/>
              <w:rPr>
                <w:sz w:val="23"/>
                <w:szCs w:val="23"/>
                <w:color w:val="auto"/>
              </w:rPr>
            </w:pPr>
          </w:p>
        </w:tc>
        <w:tc>
          <w:tcPr>
            <w:tcW w:w="1480" w:type="dxa"/>
            <w:vAlign w:val="bottom"/>
          </w:tcPr>
          <w:p>
            <w:pPr>
              <w:spacing w:after="0"/>
              <w:rPr>
                <w:sz w:val="23"/>
                <w:szCs w:val="23"/>
                <w:color w:val="auto"/>
              </w:rPr>
            </w:pPr>
          </w:p>
        </w:tc>
      </w:tr>
      <w:tr>
        <w:trPr>
          <w:trHeight w:val="265"/>
        </w:trPr>
        <w:tc>
          <w:tcPr>
            <w:tcW w:w="8960" w:type="dxa"/>
            <w:vAlign w:val="bottom"/>
            <w:shd w:val="clear" w:color="auto" w:fill="CCEEFF"/>
          </w:tcPr>
          <w:p>
            <w:pPr>
              <w:ind w:left="20"/>
              <w:spacing w:after="0"/>
              <w:rPr>
                <w:sz w:val="20"/>
                <w:szCs w:val="20"/>
                <w:color w:val="auto"/>
              </w:rPr>
            </w:pPr>
            <w:r>
              <w:rPr>
                <w:rFonts w:ascii="Arial" w:cs="Arial" w:eastAsia="Arial" w:hAnsi="Arial"/>
                <w:sz w:val="20"/>
                <w:szCs w:val="20"/>
                <w:color w:val="auto"/>
              </w:rPr>
              <w:t>Cash consideration paid</w:t>
            </w:r>
          </w:p>
        </w:tc>
        <w:tc>
          <w:tcPr>
            <w:tcW w:w="800" w:type="dxa"/>
            <w:vAlign w:val="bottom"/>
            <w:shd w:val="clear" w:color="auto" w:fill="CCEEFF"/>
          </w:tcPr>
          <w:p>
            <w:pPr>
              <w:spacing w:after="0"/>
              <w:rPr>
                <w:sz w:val="23"/>
                <w:szCs w:val="23"/>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166,135</w:t>
            </w:r>
          </w:p>
        </w:tc>
      </w:tr>
      <w:tr>
        <w:trPr>
          <w:trHeight w:val="256"/>
        </w:trPr>
        <w:tc>
          <w:tcPr>
            <w:tcW w:w="8960" w:type="dxa"/>
            <w:vAlign w:val="bottom"/>
            <w:tcBorders>
              <w:bottom w:val="single" w:sz="8" w:color="CCEEFF"/>
            </w:tcBorders>
          </w:tcPr>
          <w:p>
            <w:pPr>
              <w:ind w:left="20"/>
              <w:spacing w:after="0"/>
              <w:rPr>
                <w:sz w:val="20"/>
                <w:szCs w:val="20"/>
                <w:color w:val="auto"/>
              </w:rPr>
            </w:pPr>
            <w:r>
              <w:rPr>
                <w:rFonts w:ascii="Arial" w:cs="Arial" w:eastAsia="Arial" w:hAnsi="Arial"/>
                <w:sz w:val="20"/>
                <w:szCs w:val="20"/>
                <w:color w:val="auto"/>
              </w:rPr>
              <w:t>Earn-out</w:t>
            </w:r>
          </w:p>
        </w:tc>
        <w:tc>
          <w:tcPr>
            <w:tcW w:w="80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20,007</w:t>
            </w:r>
          </w:p>
        </w:tc>
      </w:tr>
      <w:tr>
        <w:trPr>
          <w:trHeight w:val="275"/>
        </w:trPr>
        <w:tc>
          <w:tcPr>
            <w:tcW w:w="8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20"/>
                <w:szCs w:val="20"/>
                <w:color w:val="auto"/>
              </w:rPr>
              <w:t>Purchase consideration</w:t>
            </w:r>
          </w:p>
        </w:tc>
        <w:tc>
          <w:tcPr>
            <w:tcW w:w="800" w:type="dxa"/>
            <w:vAlign w:val="bottom"/>
            <w:tcBorders>
              <w:bottom w:val="single" w:sz="8" w:color="auto"/>
            </w:tcBorders>
            <w:shd w:val="clear" w:color="auto" w:fill="CCEEFF"/>
          </w:tcPr>
          <w:p>
            <w:pPr>
              <w:jc w:val="right"/>
              <w:ind w:right="581"/>
              <w:spacing w:after="0"/>
              <w:rPr>
                <w:sz w:val="20"/>
                <w:szCs w:val="20"/>
                <w:color w:val="auto"/>
              </w:rPr>
            </w:pPr>
            <w:r>
              <w:rPr>
                <w:rFonts w:ascii="Arial" w:cs="Arial" w:eastAsia="Arial" w:hAnsi="Arial"/>
                <w:sz w:val="20"/>
                <w:szCs w:val="20"/>
                <w:color w:val="auto"/>
                <w:w w:val="89"/>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186,142</w:t>
            </w:r>
          </w:p>
        </w:tc>
      </w:tr>
      <w:tr>
        <w:trPr>
          <w:trHeight w:val="20"/>
        </w:trPr>
        <w:tc>
          <w:tcPr>
            <w:tcW w:w="896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r>
    </w:tbl>
    <w:p>
      <w:pPr>
        <w:spacing w:after="0" w:line="329"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Earnout Consideration</w:t>
      </w:r>
    </w:p>
    <w:p>
      <w:pPr>
        <w:spacing w:after="0" w:line="121" w:lineRule="exact"/>
        <w:rPr>
          <w:sz w:val="20"/>
          <w:szCs w:val="20"/>
          <w:color w:val="auto"/>
        </w:rPr>
      </w:pPr>
    </w:p>
    <w:p>
      <w:pPr>
        <w:jc w:val="both"/>
        <w:ind w:right="20"/>
        <w:spacing w:after="0" w:line="269" w:lineRule="auto"/>
        <w:rPr>
          <w:sz w:val="20"/>
          <w:szCs w:val="20"/>
          <w:color w:val="auto"/>
        </w:rPr>
      </w:pPr>
      <w:r>
        <w:rPr>
          <w:rFonts w:ascii="Arial" w:cs="Arial" w:eastAsia="Arial" w:hAnsi="Arial"/>
          <w:sz w:val="20"/>
          <w:szCs w:val="20"/>
          <w:color w:val="auto"/>
        </w:rPr>
        <w:t>The Purchase Agreement includes an earnout provision pursuant to which Seller may be granted shares of the Company’s common stock, or equivalent cash value at the Buyer’s discretion, based upon APA’s achievement of certain financial performance targets during the three-year period ending September 30, 2028. The maximum number of shares payable as Earnout Consideration is 4,686,530 shares of common stock, which</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18" w:name="page19"/>
    <w:bookmarkEnd w:id="18"/>
    <w:p>
      <w:pPr>
        <w:spacing w:after="0" w:line="312" w:lineRule="exact"/>
        <w:rPr>
          <w:sz w:val="20"/>
          <w:szCs w:val="20"/>
          <w:color w:val="auto"/>
        </w:rPr>
      </w:pPr>
    </w:p>
    <w:p>
      <w:pPr>
        <w:jc w:val="both"/>
        <w:spacing w:after="0" w:line="265" w:lineRule="auto"/>
        <w:rPr>
          <w:sz w:val="20"/>
          <w:szCs w:val="20"/>
          <w:color w:val="auto"/>
        </w:rPr>
      </w:pPr>
      <w:r>
        <w:rPr>
          <w:rFonts w:ascii="Arial" w:cs="Arial" w:eastAsia="Arial" w:hAnsi="Arial"/>
          <w:sz w:val="20"/>
          <w:szCs w:val="20"/>
          <w:color w:val="auto"/>
        </w:rPr>
        <w:t>was determined by dividing $40 million by the volume weighted average price of the Company’s common stock for the 10 trading days immediately following the Closing Date. The number of shares payable will be subject to reduction if the cumulative value of the Earnout Consideration earned (measured on each date such shares are issued) exceeds $90 million. The Purchase Agreement provides that, to the extent the issuance of any Earnout Consideration or Deferred Consideration Shares would require stockholder approval under Nasdaq Listing Rule 5635(a), the Company will pay cash in lieu of issuing such shares, unless such stockholder approval has been obtained.</w:t>
      </w:r>
    </w:p>
    <w:p>
      <w:pPr>
        <w:spacing w:after="0" w:line="204" w:lineRule="exact"/>
        <w:rPr>
          <w:sz w:val="20"/>
          <w:szCs w:val="20"/>
          <w:color w:val="auto"/>
        </w:rPr>
      </w:pPr>
    </w:p>
    <w:p>
      <w:pPr>
        <w:jc w:val="both"/>
        <w:spacing w:after="0" w:line="263" w:lineRule="auto"/>
        <w:rPr>
          <w:sz w:val="20"/>
          <w:szCs w:val="20"/>
          <w:color w:val="auto"/>
        </w:rPr>
      </w:pPr>
      <w:r>
        <w:rPr>
          <w:rFonts w:ascii="Arial" w:cs="Arial" w:eastAsia="Arial" w:hAnsi="Arial"/>
          <w:sz w:val="20"/>
          <w:szCs w:val="20"/>
          <w:color w:val="auto"/>
        </w:rPr>
        <w:t>The Earnout Consideration is accounted for as contingent consideration, and the fair value is estimated each reporting period. As of the Closing Date, the Earnout Consideration was estimated to have a fair value of approximately $20.0 million using a Monte-Carlo simulation method. Changes in fair value of the contingent liability are recognized in contingent consideration on the condensed consolidated statements of operations. Estimating the amount of payments that may be made under the Earnout Consideration is by nature imprecise. The significant fair value inputs used to estimate the future expected Earnout Consideration payments to Seller include a discount rate, earnings forecasts, and actual and estimated future volatility in the Company’s stock price.</w:t>
      </w:r>
    </w:p>
    <w:p>
      <w:pPr>
        <w:spacing w:after="0" w:line="207"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Deferred Consideration Installments</w:t>
      </w:r>
    </w:p>
    <w:p>
      <w:pPr>
        <w:spacing w:after="0" w:line="135" w:lineRule="exact"/>
        <w:rPr>
          <w:sz w:val="20"/>
          <w:szCs w:val="20"/>
          <w:color w:val="auto"/>
        </w:rPr>
      </w:pPr>
    </w:p>
    <w:p>
      <w:pPr>
        <w:spacing w:after="0"/>
        <w:rPr>
          <w:sz w:val="20"/>
          <w:szCs w:val="20"/>
          <w:color w:val="auto"/>
        </w:rPr>
      </w:pPr>
      <w:r>
        <w:rPr>
          <w:rFonts w:ascii="Arial" w:cs="Arial" w:eastAsia="Arial" w:hAnsi="Arial"/>
          <w:sz w:val="20"/>
          <w:szCs w:val="20"/>
          <w:color w:val="auto"/>
        </w:rPr>
        <w:t>The Deferred Consideration which will be payable to Seller in three installments (each, a “Deferred Consideration Installment”):</w:t>
      </w:r>
    </w:p>
    <w:p>
      <w:pPr>
        <w:spacing w:after="0" w:line="31" w:lineRule="exact"/>
        <w:rPr>
          <w:sz w:val="20"/>
          <w:szCs w:val="20"/>
          <w:color w:val="auto"/>
        </w:rPr>
      </w:pPr>
    </w:p>
    <w:p>
      <w:pPr>
        <w:jc w:val="both"/>
        <w:ind w:firstLine="8"/>
        <w:spacing w:after="0" w:line="259" w:lineRule="auto"/>
        <w:tabs>
          <w:tab w:leader="none" w:pos="291" w:val="left"/>
        </w:tabs>
        <w:numPr>
          <w:ilvl w:val="0"/>
          <w:numId w:val="8"/>
        </w:numPr>
        <w:rPr>
          <w:rFonts w:ascii="Arial" w:cs="Arial" w:eastAsia="Arial" w:hAnsi="Arial"/>
          <w:sz w:val="20"/>
          <w:szCs w:val="20"/>
          <w:color w:val="auto"/>
        </w:rPr>
      </w:pPr>
      <w:r>
        <w:rPr>
          <w:rFonts w:ascii="Arial" w:cs="Arial" w:eastAsia="Arial" w:hAnsi="Arial"/>
          <w:sz w:val="20"/>
          <w:szCs w:val="20"/>
          <w:color w:val="auto"/>
        </w:rPr>
        <w:t>within five business days after the first anniversary of the Closing Date, an amount equal to 50% of the Deferred Consideration, (ii) on December 31, 2026, an amount equal to (A) 50% of the Deferred Consideration multiplied by (B) the proportion of the two-year period from the Closing Date to the second anniversary of the Closing Date that has elapsed as of December 31, 2026 and (iii) within five business days after the second anniversary of the Closing Date, an amount equal to the remaining balance of the Deferred Consideration. As more fully described in the Purchase Agreement, the Deferred Consideration Installments are subject to reduction if certain equity holders of Seller cease to be employees of the Company under certain circumstances. Each Deferred Consideration Installment will, at the Company’s election, be paid (i) in cash, (ii) through the issuance of shares of Company common stock, par value $0.001 per share, valued at the closing price on the trading day immediately preceding the applicable Deferred Consideration Anniversary (if any such shares are issued, the “Deferred Consideration Shares”) or (iii) by any combination of the foregoing. As the Deferred Consideration Installments are tied to future service to the Company, they are considered compensatory and not included in purchase consideration.</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Purchase Price Allocation</w:t>
      </w:r>
    </w:p>
    <w:p>
      <w:pPr>
        <w:spacing w:after="0" w:line="121" w:lineRule="exact"/>
        <w:rPr>
          <w:sz w:val="20"/>
          <w:szCs w:val="20"/>
          <w:color w:val="auto"/>
        </w:rPr>
      </w:pPr>
    </w:p>
    <w:p>
      <w:pPr>
        <w:jc w:val="both"/>
        <w:spacing w:after="0" w:line="265" w:lineRule="auto"/>
        <w:rPr>
          <w:sz w:val="20"/>
          <w:szCs w:val="20"/>
          <w:color w:val="auto"/>
        </w:rPr>
      </w:pPr>
      <w:r>
        <w:rPr>
          <w:rFonts w:ascii="Arial" w:cs="Arial" w:eastAsia="Arial" w:hAnsi="Arial"/>
          <w:sz w:val="20"/>
          <w:szCs w:val="20"/>
          <w:color w:val="auto"/>
        </w:rPr>
        <w:t>The APA Acquisition was accounted for as a business combination applying ASC 805. The allocation of the purchase price to the tangible and identifiable intangible assets acquired and liabilities assumed was based on their estimated fair values as of the date of acquisition. Goodwill was calculated as the excess of the consideration transferred over the net assets recognized and represents the estimated future economic benefits arising from other assets acquired that could not be individually identified and separately recognized. The factors contributing to the recognition of goodwill were the expected synergies of the combined entities that are expected to be realized from the APA Acquisition. The goodwill is deductible for tax purposes.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78105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9" w:name="page20"/>
    <w:bookmarkEnd w:id="19"/>
    <w:p>
      <w:pPr>
        <w:spacing w:after="0" w:line="312" w:lineRule="exact"/>
        <w:rPr>
          <w:sz w:val="20"/>
          <w:szCs w:val="20"/>
          <w:color w:val="auto"/>
        </w:rPr>
      </w:pPr>
    </w:p>
    <w:p>
      <w:pPr>
        <w:spacing w:after="0"/>
        <w:rPr>
          <w:sz w:val="20"/>
          <w:szCs w:val="20"/>
          <w:color w:val="auto"/>
        </w:rPr>
      </w:pPr>
      <w:r>
        <w:rPr>
          <w:rFonts w:ascii="Arial" w:cs="Arial" w:eastAsia="Arial" w:hAnsi="Arial"/>
          <w:sz w:val="20"/>
          <w:szCs w:val="20"/>
          <w:color w:val="auto"/>
        </w:rPr>
        <w:t>The following table summarizes the preliminary estimates of fair values of the assets acquired and liabilities assumed as of the</w:t>
      </w:r>
    </w:p>
    <w:p>
      <w:pPr>
        <w:spacing w:after="0" w:line="31" w:lineRule="exact"/>
        <w:rPr>
          <w:sz w:val="20"/>
          <w:szCs w:val="20"/>
          <w:color w:val="auto"/>
        </w:rPr>
      </w:pPr>
    </w:p>
    <w:p>
      <w:pPr>
        <w:spacing w:after="0"/>
        <w:rPr>
          <w:sz w:val="20"/>
          <w:szCs w:val="20"/>
          <w:color w:val="auto"/>
        </w:rPr>
      </w:pPr>
      <w:r>
        <w:rPr>
          <w:rFonts w:ascii="Arial" w:cs="Arial" w:eastAsia="Arial" w:hAnsi="Arial"/>
          <w:sz w:val="20"/>
          <w:szCs w:val="20"/>
          <w:color w:val="auto"/>
        </w:rPr>
        <w:t>Closing Date:</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267"/>
        </w:trPr>
        <w:tc>
          <w:tcPr>
            <w:tcW w:w="8960" w:type="dxa"/>
            <w:vAlign w:val="bottom"/>
            <w:gridSpan w:val="2"/>
          </w:tcPr>
          <w:p>
            <w:pPr>
              <w:ind w:left="20"/>
              <w:spacing w:after="0"/>
              <w:rPr>
                <w:sz w:val="20"/>
                <w:szCs w:val="20"/>
                <w:color w:val="auto"/>
              </w:rPr>
            </w:pPr>
            <w:r>
              <w:rPr>
                <w:rFonts w:ascii="Arial" w:cs="Arial" w:eastAsia="Arial" w:hAnsi="Arial"/>
                <w:sz w:val="20"/>
                <w:szCs w:val="20"/>
                <w:b w:val="1"/>
                <w:bCs w:val="1"/>
                <w:color w:val="auto"/>
              </w:rPr>
              <w:t>Preliminary fair value of net assets acquired and liabilities assumed:</w:t>
            </w:r>
          </w:p>
        </w:tc>
        <w:tc>
          <w:tcPr>
            <w:tcW w:w="240" w:type="dxa"/>
            <w:vAlign w:val="bottom"/>
          </w:tcPr>
          <w:p>
            <w:pPr>
              <w:spacing w:after="0"/>
              <w:rPr>
                <w:sz w:val="23"/>
                <w:szCs w:val="23"/>
                <w:color w:val="auto"/>
              </w:rPr>
            </w:pPr>
          </w:p>
        </w:tc>
        <w:tc>
          <w:tcPr>
            <w:tcW w:w="2040" w:type="dxa"/>
            <w:vAlign w:val="bottom"/>
          </w:tcPr>
          <w:p>
            <w:pPr>
              <w:jc w:val="right"/>
              <w:ind w:right="261"/>
              <w:spacing w:after="0"/>
              <w:rPr>
                <w:sz w:val="20"/>
                <w:szCs w:val="20"/>
                <w:color w:val="auto"/>
              </w:rPr>
            </w:pPr>
            <w:r>
              <w:rPr>
                <w:rFonts w:ascii="Arial" w:cs="Arial" w:eastAsia="Arial" w:hAnsi="Arial"/>
                <w:sz w:val="20"/>
                <w:szCs w:val="20"/>
                <w:b w:val="1"/>
                <w:bCs w:val="1"/>
                <w:color w:val="auto"/>
              </w:rPr>
              <w:t>Acquisition Date</w:t>
            </w:r>
          </w:p>
        </w:tc>
      </w:tr>
      <w:tr>
        <w:trPr>
          <w:trHeight w:val="250"/>
        </w:trPr>
        <w:tc>
          <w:tcPr>
            <w:tcW w:w="88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20"/>
                <w:szCs w:val="20"/>
                <w:color w:val="auto"/>
              </w:rPr>
              <w:t>Cash and cash equivalents</w:t>
            </w:r>
          </w:p>
        </w:tc>
        <w:tc>
          <w:tcPr>
            <w:tcW w:w="80" w:type="dxa"/>
            <w:vAlign w:val="bottom"/>
            <w:tcBorders>
              <w:top w:val="single" w:sz="8" w:color="CCEEFF"/>
            </w:tcBorders>
            <w:shd w:val="clear" w:color="auto" w:fill="CCEEFF"/>
          </w:tcPr>
          <w:p>
            <w:pPr>
              <w:spacing w:after="0"/>
              <w:rPr>
                <w:sz w:val="21"/>
                <w:szCs w:val="21"/>
                <w:color w:val="auto"/>
              </w:rPr>
            </w:pPr>
          </w:p>
        </w:tc>
        <w:tc>
          <w:tcPr>
            <w:tcW w:w="240" w:type="dxa"/>
            <w:vAlign w:val="bottom"/>
            <w:tcBorders>
              <w:top w:val="single" w:sz="8" w:color="auto"/>
            </w:tcBorders>
            <w:shd w:val="clear" w:color="auto" w:fill="CCEEFF"/>
          </w:tcPr>
          <w:p>
            <w:pPr>
              <w:jc w:val="right"/>
              <w:ind w:right="21"/>
              <w:spacing w:after="0"/>
              <w:rPr>
                <w:sz w:val="20"/>
                <w:szCs w:val="20"/>
                <w:color w:val="auto"/>
              </w:rPr>
            </w:pPr>
            <w:r>
              <w:rPr>
                <w:rFonts w:ascii="Arial" w:cs="Arial" w:eastAsia="Arial" w:hAnsi="Arial"/>
                <w:sz w:val="20"/>
                <w:szCs w:val="20"/>
                <w:color w:val="auto"/>
                <w:w w:val="89"/>
              </w:rPr>
              <w:t>$</w:t>
            </w:r>
          </w:p>
        </w:tc>
        <w:tc>
          <w:tcPr>
            <w:tcW w:w="2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1,219</w:t>
            </w:r>
          </w:p>
        </w:tc>
      </w:tr>
      <w:tr>
        <w:trPr>
          <w:trHeight w:val="257"/>
        </w:trPr>
        <w:tc>
          <w:tcPr>
            <w:tcW w:w="8960" w:type="dxa"/>
            <w:vAlign w:val="bottom"/>
            <w:gridSpan w:val="2"/>
          </w:tcPr>
          <w:p>
            <w:pPr>
              <w:ind w:left="20"/>
              <w:spacing w:after="0"/>
              <w:rPr>
                <w:sz w:val="20"/>
                <w:szCs w:val="20"/>
                <w:color w:val="auto"/>
              </w:rPr>
            </w:pPr>
            <w:r>
              <w:rPr>
                <w:rFonts w:ascii="Arial" w:cs="Arial" w:eastAsia="Arial" w:hAnsi="Arial"/>
                <w:sz w:val="20"/>
                <w:szCs w:val="20"/>
                <w:color w:val="auto"/>
              </w:rPr>
              <w:t>Accounts receivable</w:t>
            </w:r>
          </w:p>
        </w:tc>
        <w:tc>
          <w:tcPr>
            <w:tcW w:w="240" w:type="dxa"/>
            <w:vAlign w:val="bottom"/>
          </w:tcPr>
          <w:p>
            <w:pPr>
              <w:spacing w:after="0"/>
              <w:rPr>
                <w:sz w:val="22"/>
                <w:szCs w:val="22"/>
                <w:color w:val="auto"/>
              </w:rPr>
            </w:pPr>
          </w:p>
        </w:tc>
        <w:tc>
          <w:tcPr>
            <w:tcW w:w="2040" w:type="dxa"/>
            <w:vAlign w:val="bottom"/>
          </w:tcPr>
          <w:p>
            <w:pPr>
              <w:jc w:val="right"/>
              <w:spacing w:after="0"/>
              <w:rPr>
                <w:sz w:val="20"/>
                <w:szCs w:val="20"/>
                <w:color w:val="auto"/>
              </w:rPr>
            </w:pPr>
            <w:r>
              <w:rPr>
                <w:rFonts w:ascii="Arial" w:cs="Arial" w:eastAsia="Arial" w:hAnsi="Arial"/>
                <w:sz w:val="20"/>
                <w:szCs w:val="20"/>
                <w:color w:val="auto"/>
              </w:rPr>
              <w:t>29,043</w:t>
            </w:r>
          </w:p>
        </w:tc>
      </w:tr>
      <w:tr>
        <w:trPr>
          <w:trHeight w:val="257"/>
        </w:trPr>
        <w:tc>
          <w:tcPr>
            <w:tcW w:w="8960" w:type="dxa"/>
            <w:vAlign w:val="bottom"/>
            <w:gridSpan w:val="2"/>
            <w:shd w:val="clear" w:color="auto" w:fill="CCEEFF"/>
          </w:tcPr>
          <w:p>
            <w:pPr>
              <w:ind w:left="20"/>
              <w:spacing w:after="0"/>
              <w:rPr>
                <w:sz w:val="20"/>
                <w:szCs w:val="20"/>
                <w:color w:val="auto"/>
              </w:rPr>
            </w:pPr>
            <w:r>
              <w:rPr>
                <w:rFonts w:ascii="Arial" w:cs="Arial" w:eastAsia="Arial" w:hAnsi="Arial"/>
                <w:sz w:val="20"/>
                <w:szCs w:val="20"/>
                <w:color w:val="auto"/>
              </w:rPr>
              <w:t>Inventories</w:t>
            </w:r>
          </w:p>
        </w:tc>
        <w:tc>
          <w:tcPr>
            <w:tcW w:w="240" w:type="dxa"/>
            <w:vAlign w:val="bottom"/>
            <w:shd w:val="clear" w:color="auto" w:fill="CCEEFF"/>
          </w:tcPr>
          <w:p>
            <w:pPr>
              <w:spacing w:after="0"/>
              <w:rPr>
                <w:sz w:val="22"/>
                <w:szCs w:val="22"/>
                <w:color w:val="auto"/>
              </w:rPr>
            </w:pPr>
          </w:p>
        </w:tc>
        <w:tc>
          <w:tcPr>
            <w:tcW w:w="20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25,467</w:t>
            </w:r>
          </w:p>
        </w:tc>
      </w:tr>
      <w:tr>
        <w:trPr>
          <w:trHeight w:val="256"/>
        </w:trPr>
        <w:tc>
          <w:tcPr>
            <w:tcW w:w="8960" w:type="dxa"/>
            <w:vAlign w:val="bottom"/>
            <w:gridSpan w:val="2"/>
          </w:tcPr>
          <w:p>
            <w:pPr>
              <w:ind w:left="20"/>
              <w:spacing w:after="0"/>
              <w:rPr>
                <w:sz w:val="20"/>
                <w:szCs w:val="20"/>
                <w:color w:val="auto"/>
              </w:rPr>
            </w:pPr>
            <w:r>
              <w:rPr>
                <w:rFonts w:ascii="Arial" w:cs="Arial" w:eastAsia="Arial" w:hAnsi="Arial"/>
                <w:sz w:val="20"/>
                <w:szCs w:val="20"/>
                <w:color w:val="auto"/>
              </w:rPr>
              <w:t>Prepaid expenses and other</w:t>
            </w:r>
          </w:p>
        </w:tc>
        <w:tc>
          <w:tcPr>
            <w:tcW w:w="240" w:type="dxa"/>
            <w:vAlign w:val="bottom"/>
          </w:tcPr>
          <w:p>
            <w:pPr>
              <w:spacing w:after="0"/>
              <w:rPr>
                <w:sz w:val="22"/>
                <w:szCs w:val="22"/>
                <w:color w:val="auto"/>
              </w:rPr>
            </w:pPr>
          </w:p>
        </w:tc>
        <w:tc>
          <w:tcPr>
            <w:tcW w:w="2040" w:type="dxa"/>
            <w:vAlign w:val="bottom"/>
          </w:tcPr>
          <w:p>
            <w:pPr>
              <w:jc w:val="right"/>
              <w:spacing w:after="0"/>
              <w:rPr>
                <w:sz w:val="20"/>
                <w:szCs w:val="20"/>
                <w:color w:val="auto"/>
              </w:rPr>
            </w:pPr>
            <w:r>
              <w:rPr>
                <w:rFonts w:ascii="Arial" w:cs="Arial" w:eastAsia="Arial" w:hAnsi="Arial"/>
                <w:sz w:val="20"/>
                <w:szCs w:val="20"/>
                <w:color w:val="auto"/>
              </w:rPr>
              <w:t>466</w:t>
            </w:r>
          </w:p>
        </w:tc>
      </w:tr>
      <w:tr>
        <w:trPr>
          <w:trHeight w:val="257"/>
        </w:trPr>
        <w:tc>
          <w:tcPr>
            <w:tcW w:w="8960" w:type="dxa"/>
            <w:vAlign w:val="bottom"/>
            <w:gridSpan w:val="2"/>
            <w:shd w:val="clear" w:color="auto" w:fill="CCEEFF"/>
          </w:tcPr>
          <w:p>
            <w:pPr>
              <w:ind w:left="20"/>
              <w:spacing w:after="0"/>
              <w:rPr>
                <w:sz w:val="20"/>
                <w:szCs w:val="20"/>
                <w:color w:val="auto"/>
              </w:rPr>
            </w:pPr>
            <w:r>
              <w:rPr>
                <w:rFonts w:ascii="Arial" w:cs="Arial" w:eastAsia="Arial" w:hAnsi="Arial"/>
                <w:sz w:val="20"/>
                <w:szCs w:val="20"/>
                <w:color w:val="auto"/>
              </w:rPr>
              <w:t>Property, plant and equipment</w:t>
            </w:r>
          </w:p>
        </w:tc>
        <w:tc>
          <w:tcPr>
            <w:tcW w:w="240" w:type="dxa"/>
            <w:vAlign w:val="bottom"/>
            <w:shd w:val="clear" w:color="auto" w:fill="CCEEFF"/>
          </w:tcPr>
          <w:p>
            <w:pPr>
              <w:spacing w:after="0"/>
              <w:rPr>
                <w:sz w:val="22"/>
                <w:szCs w:val="22"/>
                <w:color w:val="auto"/>
              </w:rPr>
            </w:pPr>
          </w:p>
        </w:tc>
        <w:tc>
          <w:tcPr>
            <w:tcW w:w="20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14,256</w:t>
            </w:r>
          </w:p>
        </w:tc>
      </w:tr>
      <w:tr>
        <w:trPr>
          <w:trHeight w:val="257"/>
        </w:trPr>
        <w:tc>
          <w:tcPr>
            <w:tcW w:w="8960" w:type="dxa"/>
            <w:vAlign w:val="bottom"/>
            <w:gridSpan w:val="2"/>
          </w:tcPr>
          <w:p>
            <w:pPr>
              <w:ind w:left="20"/>
              <w:spacing w:after="0"/>
              <w:rPr>
                <w:sz w:val="20"/>
                <w:szCs w:val="20"/>
                <w:color w:val="auto"/>
              </w:rPr>
            </w:pPr>
            <w:r>
              <w:rPr>
                <w:rFonts w:ascii="Arial" w:cs="Arial" w:eastAsia="Arial" w:hAnsi="Arial"/>
                <w:sz w:val="20"/>
                <w:szCs w:val="20"/>
                <w:color w:val="auto"/>
              </w:rPr>
              <w:t>Other intangible assets</w:t>
            </w:r>
          </w:p>
        </w:tc>
        <w:tc>
          <w:tcPr>
            <w:tcW w:w="240" w:type="dxa"/>
            <w:vAlign w:val="bottom"/>
          </w:tcPr>
          <w:p>
            <w:pPr>
              <w:spacing w:after="0"/>
              <w:rPr>
                <w:sz w:val="22"/>
                <w:szCs w:val="22"/>
                <w:color w:val="auto"/>
              </w:rPr>
            </w:pPr>
          </w:p>
        </w:tc>
        <w:tc>
          <w:tcPr>
            <w:tcW w:w="2040" w:type="dxa"/>
            <w:vAlign w:val="bottom"/>
          </w:tcPr>
          <w:p>
            <w:pPr>
              <w:jc w:val="right"/>
              <w:spacing w:after="0"/>
              <w:rPr>
                <w:sz w:val="20"/>
                <w:szCs w:val="20"/>
                <w:color w:val="auto"/>
              </w:rPr>
            </w:pPr>
            <w:r>
              <w:rPr>
                <w:rFonts w:ascii="Arial" w:cs="Arial" w:eastAsia="Arial" w:hAnsi="Arial"/>
                <w:sz w:val="20"/>
                <w:szCs w:val="20"/>
                <w:color w:val="auto"/>
              </w:rPr>
              <w:t>80,800</w:t>
            </w:r>
          </w:p>
        </w:tc>
      </w:tr>
      <w:tr>
        <w:trPr>
          <w:trHeight w:val="257"/>
        </w:trPr>
        <w:tc>
          <w:tcPr>
            <w:tcW w:w="8960" w:type="dxa"/>
            <w:vAlign w:val="bottom"/>
            <w:gridSpan w:val="2"/>
            <w:shd w:val="clear" w:color="auto" w:fill="CCEEFF"/>
          </w:tcPr>
          <w:p>
            <w:pPr>
              <w:ind w:left="20"/>
              <w:spacing w:after="0"/>
              <w:rPr>
                <w:sz w:val="20"/>
                <w:szCs w:val="20"/>
                <w:color w:val="auto"/>
              </w:rPr>
            </w:pPr>
            <w:r>
              <w:rPr>
                <w:rFonts w:ascii="Arial" w:cs="Arial" w:eastAsia="Arial" w:hAnsi="Arial"/>
                <w:sz w:val="20"/>
                <w:szCs w:val="20"/>
                <w:color w:val="auto"/>
              </w:rPr>
              <w:t>Other assets</w:t>
            </w:r>
          </w:p>
        </w:tc>
        <w:tc>
          <w:tcPr>
            <w:tcW w:w="240" w:type="dxa"/>
            <w:vAlign w:val="bottom"/>
            <w:tcBorders>
              <w:bottom w:val="single" w:sz="8" w:color="auto"/>
            </w:tcBorders>
            <w:shd w:val="clear" w:color="auto" w:fill="CCEEFF"/>
          </w:tcPr>
          <w:p>
            <w:pPr>
              <w:spacing w:after="0"/>
              <w:rPr>
                <w:sz w:val="22"/>
                <w:szCs w:val="22"/>
                <w:color w:val="auto"/>
              </w:rPr>
            </w:pPr>
          </w:p>
        </w:tc>
        <w:tc>
          <w:tcPr>
            <w:tcW w:w="2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27,050</w:t>
            </w:r>
          </w:p>
        </w:tc>
      </w:tr>
      <w:tr>
        <w:trPr>
          <w:trHeight w:val="250"/>
        </w:trPr>
        <w:tc>
          <w:tcPr>
            <w:tcW w:w="8960" w:type="dxa"/>
            <w:vAlign w:val="bottom"/>
            <w:gridSpan w:val="2"/>
          </w:tcPr>
          <w:p>
            <w:pPr>
              <w:ind w:left="140"/>
              <w:spacing w:after="0"/>
              <w:rPr>
                <w:sz w:val="20"/>
                <w:szCs w:val="20"/>
                <w:color w:val="auto"/>
              </w:rPr>
            </w:pPr>
            <w:r>
              <w:rPr>
                <w:rFonts w:ascii="Arial" w:cs="Arial" w:eastAsia="Arial" w:hAnsi="Arial"/>
                <w:sz w:val="20"/>
                <w:szCs w:val="20"/>
                <w:color w:val="auto"/>
              </w:rPr>
              <w:t>Total assets acquired</w:t>
            </w:r>
          </w:p>
        </w:tc>
        <w:tc>
          <w:tcPr>
            <w:tcW w:w="240" w:type="dxa"/>
            <w:vAlign w:val="bottom"/>
          </w:tcPr>
          <w:p>
            <w:pPr>
              <w:jc w:val="right"/>
              <w:ind w:right="21"/>
              <w:spacing w:after="0"/>
              <w:rPr>
                <w:sz w:val="20"/>
                <w:szCs w:val="20"/>
                <w:color w:val="auto"/>
              </w:rPr>
            </w:pPr>
            <w:r>
              <w:rPr>
                <w:rFonts w:ascii="Arial" w:cs="Arial" w:eastAsia="Arial" w:hAnsi="Arial"/>
                <w:sz w:val="20"/>
                <w:szCs w:val="20"/>
                <w:color w:val="auto"/>
                <w:w w:val="89"/>
              </w:rPr>
              <w:t>$</w:t>
            </w:r>
          </w:p>
        </w:tc>
        <w:tc>
          <w:tcPr>
            <w:tcW w:w="2040" w:type="dxa"/>
            <w:vAlign w:val="bottom"/>
          </w:tcPr>
          <w:p>
            <w:pPr>
              <w:jc w:val="right"/>
              <w:spacing w:after="0"/>
              <w:rPr>
                <w:sz w:val="20"/>
                <w:szCs w:val="20"/>
                <w:color w:val="auto"/>
              </w:rPr>
            </w:pPr>
            <w:r>
              <w:rPr>
                <w:rFonts w:ascii="Arial" w:cs="Arial" w:eastAsia="Arial" w:hAnsi="Arial"/>
                <w:sz w:val="20"/>
                <w:szCs w:val="20"/>
                <w:color w:val="auto"/>
              </w:rPr>
              <w:t>178,301</w:t>
            </w:r>
          </w:p>
        </w:tc>
      </w:tr>
      <w:tr>
        <w:trPr>
          <w:trHeight w:val="270"/>
        </w:trPr>
        <w:tc>
          <w:tcPr>
            <w:tcW w:w="888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2040" w:type="dxa"/>
            <w:vAlign w:val="bottom"/>
            <w:shd w:val="clear" w:color="auto" w:fill="CCEEFF"/>
          </w:tcPr>
          <w:p>
            <w:pPr>
              <w:spacing w:after="0"/>
              <w:rPr>
                <w:sz w:val="23"/>
                <w:szCs w:val="23"/>
                <w:color w:val="auto"/>
              </w:rPr>
            </w:pPr>
          </w:p>
        </w:tc>
      </w:tr>
      <w:tr>
        <w:trPr>
          <w:trHeight w:val="256"/>
        </w:trPr>
        <w:tc>
          <w:tcPr>
            <w:tcW w:w="8960" w:type="dxa"/>
            <w:vAlign w:val="bottom"/>
            <w:gridSpan w:val="2"/>
          </w:tcPr>
          <w:p>
            <w:pPr>
              <w:ind w:left="20"/>
              <w:spacing w:after="0"/>
              <w:rPr>
                <w:sz w:val="20"/>
                <w:szCs w:val="20"/>
                <w:color w:val="auto"/>
              </w:rPr>
            </w:pPr>
            <w:r>
              <w:rPr>
                <w:rFonts w:ascii="Arial" w:cs="Arial" w:eastAsia="Arial" w:hAnsi="Arial"/>
                <w:sz w:val="20"/>
                <w:szCs w:val="20"/>
                <w:color w:val="auto"/>
              </w:rPr>
              <w:t>Accounts payable</w:t>
            </w:r>
          </w:p>
        </w:tc>
        <w:tc>
          <w:tcPr>
            <w:tcW w:w="240" w:type="dxa"/>
            <w:vAlign w:val="bottom"/>
          </w:tcPr>
          <w:p>
            <w:pPr>
              <w:spacing w:after="0"/>
              <w:rPr>
                <w:sz w:val="22"/>
                <w:szCs w:val="22"/>
                <w:color w:val="auto"/>
              </w:rPr>
            </w:pPr>
          </w:p>
        </w:tc>
        <w:tc>
          <w:tcPr>
            <w:tcW w:w="2040" w:type="dxa"/>
            <w:vAlign w:val="bottom"/>
          </w:tcPr>
          <w:p>
            <w:pPr>
              <w:jc w:val="right"/>
              <w:spacing w:after="0"/>
              <w:rPr>
                <w:sz w:val="20"/>
                <w:szCs w:val="20"/>
                <w:color w:val="auto"/>
              </w:rPr>
            </w:pPr>
            <w:r>
              <w:rPr>
                <w:rFonts w:ascii="Arial" w:cs="Arial" w:eastAsia="Arial" w:hAnsi="Arial"/>
                <w:sz w:val="20"/>
                <w:szCs w:val="20"/>
                <w:color w:val="auto"/>
              </w:rPr>
              <w:t>12,540</w:t>
            </w:r>
          </w:p>
        </w:tc>
      </w:tr>
      <w:tr>
        <w:trPr>
          <w:trHeight w:val="257"/>
        </w:trPr>
        <w:tc>
          <w:tcPr>
            <w:tcW w:w="8960" w:type="dxa"/>
            <w:vAlign w:val="bottom"/>
            <w:gridSpan w:val="2"/>
            <w:shd w:val="clear" w:color="auto" w:fill="CCEEFF"/>
          </w:tcPr>
          <w:p>
            <w:pPr>
              <w:ind w:left="20"/>
              <w:spacing w:after="0"/>
              <w:rPr>
                <w:sz w:val="20"/>
                <w:szCs w:val="20"/>
                <w:color w:val="auto"/>
              </w:rPr>
            </w:pPr>
            <w:r>
              <w:rPr>
                <w:rFonts w:ascii="Arial" w:cs="Arial" w:eastAsia="Arial" w:hAnsi="Arial"/>
                <w:sz w:val="20"/>
                <w:szCs w:val="20"/>
                <w:color w:val="auto"/>
              </w:rPr>
              <w:t>Deferred revenue</w:t>
            </w:r>
          </w:p>
        </w:tc>
        <w:tc>
          <w:tcPr>
            <w:tcW w:w="240" w:type="dxa"/>
            <w:vAlign w:val="bottom"/>
            <w:shd w:val="clear" w:color="auto" w:fill="CCEEFF"/>
          </w:tcPr>
          <w:p>
            <w:pPr>
              <w:spacing w:after="0"/>
              <w:rPr>
                <w:sz w:val="22"/>
                <w:szCs w:val="22"/>
                <w:color w:val="auto"/>
              </w:rPr>
            </w:pPr>
          </w:p>
        </w:tc>
        <w:tc>
          <w:tcPr>
            <w:tcW w:w="20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22,121</w:t>
            </w:r>
          </w:p>
        </w:tc>
      </w:tr>
      <w:tr>
        <w:trPr>
          <w:trHeight w:val="257"/>
        </w:trPr>
        <w:tc>
          <w:tcPr>
            <w:tcW w:w="8960" w:type="dxa"/>
            <w:vAlign w:val="bottom"/>
            <w:gridSpan w:val="2"/>
          </w:tcPr>
          <w:p>
            <w:pPr>
              <w:ind w:left="20"/>
              <w:spacing w:after="0"/>
              <w:rPr>
                <w:sz w:val="20"/>
                <w:szCs w:val="20"/>
                <w:color w:val="auto"/>
              </w:rPr>
            </w:pPr>
            <w:r>
              <w:rPr>
                <w:rFonts w:ascii="Arial" w:cs="Arial" w:eastAsia="Arial" w:hAnsi="Arial"/>
                <w:sz w:val="20"/>
                <w:szCs w:val="20"/>
                <w:color w:val="auto"/>
              </w:rPr>
              <w:t>Other liabilities</w:t>
            </w:r>
          </w:p>
        </w:tc>
        <w:tc>
          <w:tcPr>
            <w:tcW w:w="240" w:type="dxa"/>
            <w:vAlign w:val="bottom"/>
          </w:tcPr>
          <w:p>
            <w:pPr>
              <w:spacing w:after="0"/>
              <w:rPr>
                <w:sz w:val="22"/>
                <w:szCs w:val="22"/>
                <w:color w:val="auto"/>
              </w:rPr>
            </w:pPr>
          </w:p>
        </w:tc>
        <w:tc>
          <w:tcPr>
            <w:tcW w:w="2040" w:type="dxa"/>
            <w:vAlign w:val="bottom"/>
          </w:tcPr>
          <w:p>
            <w:pPr>
              <w:jc w:val="right"/>
              <w:spacing w:after="0"/>
              <w:rPr>
                <w:sz w:val="20"/>
                <w:szCs w:val="20"/>
                <w:color w:val="auto"/>
              </w:rPr>
            </w:pPr>
            <w:r>
              <w:rPr>
                <w:rFonts w:ascii="Arial" w:cs="Arial" w:eastAsia="Arial" w:hAnsi="Arial"/>
                <w:sz w:val="20"/>
                <w:szCs w:val="20"/>
                <w:color w:val="auto"/>
              </w:rPr>
              <w:t>4,079</w:t>
            </w:r>
          </w:p>
        </w:tc>
      </w:tr>
      <w:tr>
        <w:trPr>
          <w:trHeight w:val="257"/>
        </w:trPr>
        <w:tc>
          <w:tcPr>
            <w:tcW w:w="8960" w:type="dxa"/>
            <w:vAlign w:val="bottom"/>
            <w:gridSpan w:val="2"/>
            <w:shd w:val="clear" w:color="auto" w:fill="CCEEFF"/>
          </w:tcPr>
          <w:p>
            <w:pPr>
              <w:ind w:left="20"/>
              <w:spacing w:after="0"/>
              <w:rPr>
                <w:sz w:val="20"/>
                <w:szCs w:val="20"/>
                <w:color w:val="auto"/>
              </w:rPr>
            </w:pPr>
            <w:r>
              <w:rPr>
                <w:rFonts w:ascii="Arial" w:cs="Arial" w:eastAsia="Arial" w:hAnsi="Arial"/>
                <w:sz w:val="20"/>
                <w:szCs w:val="20"/>
                <w:color w:val="auto"/>
              </w:rPr>
              <w:t>Other long-term liabilities</w:t>
            </w:r>
          </w:p>
        </w:tc>
        <w:tc>
          <w:tcPr>
            <w:tcW w:w="240" w:type="dxa"/>
            <w:vAlign w:val="bottom"/>
            <w:tcBorders>
              <w:bottom w:val="single" w:sz="8" w:color="auto"/>
            </w:tcBorders>
            <w:shd w:val="clear" w:color="auto" w:fill="CCEEFF"/>
          </w:tcPr>
          <w:p>
            <w:pPr>
              <w:spacing w:after="0"/>
              <w:rPr>
                <w:sz w:val="22"/>
                <w:szCs w:val="22"/>
                <w:color w:val="auto"/>
              </w:rPr>
            </w:pPr>
          </w:p>
        </w:tc>
        <w:tc>
          <w:tcPr>
            <w:tcW w:w="2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26,330</w:t>
            </w:r>
          </w:p>
        </w:tc>
      </w:tr>
      <w:tr>
        <w:trPr>
          <w:trHeight w:val="250"/>
        </w:trPr>
        <w:tc>
          <w:tcPr>
            <w:tcW w:w="8960" w:type="dxa"/>
            <w:vAlign w:val="bottom"/>
            <w:gridSpan w:val="2"/>
          </w:tcPr>
          <w:p>
            <w:pPr>
              <w:ind w:left="140"/>
              <w:spacing w:after="0"/>
              <w:rPr>
                <w:sz w:val="20"/>
                <w:szCs w:val="20"/>
                <w:color w:val="auto"/>
              </w:rPr>
            </w:pPr>
            <w:r>
              <w:rPr>
                <w:rFonts w:ascii="Arial" w:cs="Arial" w:eastAsia="Arial" w:hAnsi="Arial"/>
                <w:sz w:val="20"/>
                <w:szCs w:val="20"/>
                <w:color w:val="auto"/>
              </w:rPr>
              <w:t>Total liabilities assumed</w:t>
            </w:r>
          </w:p>
        </w:tc>
        <w:tc>
          <w:tcPr>
            <w:tcW w:w="240" w:type="dxa"/>
            <w:vAlign w:val="bottom"/>
          </w:tcPr>
          <w:p>
            <w:pPr>
              <w:jc w:val="right"/>
              <w:ind w:right="21"/>
              <w:spacing w:after="0"/>
              <w:rPr>
                <w:sz w:val="20"/>
                <w:szCs w:val="20"/>
                <w:color w:val="auto"/>
              </w:rPr>
            </w:pPr>
            <w:r>
              <w:rPr>
                <w:rFonts w:ascii="Arial" w:cs="Arial" w:eastAsia="Arial" w:hAnsi="Arial"/>
                <w:sz w:val="20"/>
                <w:szCs w:val="20"/>
                <w:color w:val="auto"/>
                <w:w w:val="89"/>
              </w:rPr>
              <w:t>$</w:t>
            </w:r>
          </w:p>
        </w:tc>
        <w:tc>
          <w:tcPr>
            <w:tcW w:w="2040" w:type="dxa"/>
            <w:vAlign w:val="bottom"/>
          </w:tcPr>
          <w:p>
            <w:pPr>
              <w:jc w:val="right"/>
              <w:spacing w:after="0"/>
              <w:rPr>
                <w:sz w:val="20"/>
                <w:szCs w:val="20"/>
                <w:color w:val="auto"/>
              </w:rPr>
            </w:pPr>
            <w:r>
              <w:rPr>
                <w:rFonts w:ascii="Arial" w:cs="Arial" w:eastAsia="Arial" w:hAnsi="Arial"/>
                <w:sz w:val="20"/>
                <w:szCs w:val="20"/>
                <w:color w:val="auto"/>
              </w:rPr>
              <w:t>65,070</w:t>
            </w:r>
          </w:p>
        </w:tc>
      </w:tr>
      <w:tr>
        <w:trPr>
          <w:trHeight w:val="270"/>
        </w:trPr>
        <w:tc>
          <w:tcPr>
            <w:tcW w:w="888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2040" w:type="dxa"/>
            <w:vAlign w:val="bottom"/>
            <w:shd w:val="clear" w:color="auto" w:fill="CCEEFF"/>
          </w:tcPr>
          <w:p>
            <w:pPr>
              <w:spacing w:after="0"/>
              <w:rPr>
                <w:sz w:val="23"/>
                <w:szCs w:val="23"/>
                <w:color w:val="auto"/>
              </w:rPr>
            </w:pPr>
          </w:p>
        </w:tc>
      </w:tr>
      <w:tr>
        <w:trPr>
          <w:trHeight w:val="256"/>
        </w:trPr>
        <w:tc>
          <w:tcPr>
            <w:tcW w:w="8960" w:type="dxa"/>
            <w:vAlign w:val="bottom"/>
            <w:tcBorders>
              <w:bottom w:val="single" w:sz="8" w:color="CCEEFF"/>
            </w:tcBorders>
            <w:gridSpan w:val="2"/>
          </w:tcPr>
          <w:p>
            <w:pPr>
              <w:ind w:left="100"/>
              <w:spacing w:after="0"/>
              <w:rPr>
                <w:sz w:val="20"/>
                <w:szCs w:val="20"/>
                <w:color w:val="auto"/>
              </w:rPr>
            </w:pPr>
            <w:r>
              <w:rPr>
                <w:rFonts w:ascii="Arial" w:cs="Arial" w:eastAsia="Arial" w:hAnsi="Arial"/>
                <w:sz w:val="20"/>
                <w:szCs w:val="20"/>
                <w:color w:val="auto"/>
              </w:rPr>
              <w:t>Preliminary fair value of net assets acquired</w:t>
            </w:r>
          </w:p>
        </w:tc>
        <w:tc>
          <w:tcPr>
            <w:tcW w:w="240" w:type="dxa"/>
            <w:vAlign w:val="bottom"/>
            <w:tcBorders>
              <w:bottom w:val="single" w:sz="8" w:color="auto"/>
            </w:tcBorders>
          </w:tcPr>
          <w:p>
            <w:pPr>
              <w:spacing w:after="0"/>
              <w:rPr>
                <w:sz w:val="22"/>
                <w:szCs w:val="22"/>
                <w:color w:val="auto"/>
              </w:rPr>
            </w:pPr>
          </w:p>
        </w:tc>
        <w:tc>
          <w:tcPr>
            <w:tcW w:w="20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113,231</w:t>
            </w:r>
          </w:p>
        </w:tc>
      </w:tr>
      <w:tr>
        <w:trPr>
          <w:trHeight w:val="275"/>
        </w:trPr>
        <w:tc>
          <w:tcPr>
            <w:tcW w:w="896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20"/>
                <w:szCs w:val="20"/>
                <w:color w:val="auto"/>
              </w:rPr>
              <w:t>Preliminary allocation to goodwill</w:t>
            </w:r>
          </w:p>
        </w:tc>
        <w:tc>
          <w:tcPr>
            <w:tcW w:w="24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20"/>
                <w:szCs w:val="20"/>
                <w:color w:val="auto"/>
                <w:w w:val="89"/>
              </w:rPr>
              <w:t>$</w:t>
            </w:r>
          </w:p>
        </w:tc>
        <w:tc>
          <w:tcPr>
            <w:tcW w:w="2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72,911</w:t>
            </w:r>
          </w:p>
        </w:tc>
      </w:tr>
      <w:tr>
        <w:trPr>
          <w:trHeight w:val="20"/>
        </w:trPr>
        <w:tc>
          <w:tcPr>
            <w:tcW w:w="88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2040" w:type="dxa"/>
            <w:vAlign w:val="bottom"/>
            <w:tcBorders>
              <w:top w:val="single" w:sz="8" w:color="CCEEFF"/>
              <w:bottom w:val="single" w:sz="8" w:color="auto"/>
            </w:tcBorders>
          </w:tcPr>
          <w:p>
            <w:pPr>
              <w:spacing w:after="0" w:line="20" w:lineRule="exact"/>
              <w:rPr>
                <w:sz w:val="1"/>
                <w:szCs w:val="1"/>
                <w:color w:val="auto"/>
              </w:rPr>
            </w:pPr>
          </w:p>
        </w:tc>
      </w:tr>
    </w:tbl>
    <w:p>
      <w:pPr>
        <w:spacing w:after="0" w:line="316" w:lineRule="exact"/>
        <w:rPr>
          <w:sz w:val="20"/>
          <w:szCs w:val="20"/>
          <w:color w:val="auto"/>
        </w:rPr>
      </w:pPr>
    </w:p>
    <w:p>
      <w:pPr>
        <w:jc w:val="both"/>
        <w:spacing w:after="0" w:line="262" w:lineRule="auto"/>
        <w:rPr>
          <w:sz w:val="20"/>
          <w:szCs w:val="20"/>
          <w:color w:val="auto"/>
        </w:rPr>
      </w:pPr>
      <w:r>
        <w:rPr>
          <w:rFonts w:ascii="Arial" w:cs="Arial" w:eastAsia="Arial" w:hAnsi="Arial"/>
          <w:sz w:val="20"/>
          <w:szCs w:val="20"/>
          <w:color w:val="auto"/>
        </w:rPr>
        <w:t>The preliminary purchase price allocation was based upon a preliminary valuation, and the Company’s estimates and assumptions are subject to change within the measurement period (defined as the twelve months following the Closing Date). The Company is in the process of specifically identifying the amounts assigned to certain tangible assets and liabilities acquired, identifiable intangible assets, income and non-income based taxes, residual goodwill, and the allocation of goodwill to reporting units, and the Company is in the process of reviewing the related third-party valuation. The amounts recorded as of September 30, 2025 are preliminary, as there was insufficient time between the Closing Date and the end of the period to finalize the analysis. These preliminary estimates are subject to change and related accounting adjustments may be materially different, as the Company obtains additional information on these matters and as additional information is made known during the post-acquisition measurement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0" w:name="page21"/>
    <w:bookmarkEnd w:id="20"/>
    <w:p>
      <w:pPr>
        <w:spacing w:after="0" w:line="312" w:lineRule="exact"/>
        <w:rPr>
          <w:sz w:val="20"/>
          <w:szCs w:val="20"/>
          <w:color w:val="auto"/>
        </w:rPr>
      </w:pPr>
    </w:p>
    <w:p>
      <w:pPr>
        <w:spacing w:after="0"/>
        <w:rPr>
          <w:sz w:val="20"/>
          <w:szCs w:val="20"/>
          <w:color w:val="auto"/>
        </w:rPr>
      </w:pPr>
      <w:r>
        <w:rPr>
          <w:rFonts w:ascii="Arial" w:cs="Arial" w:eastAsia="Arial" w:hAnsi="Arial"/>
          <w:sz w:val="20"/>
          <w:szCs w:val="20"/>
          <w:color w:val="auto"/>
        </w:rPr>
        <w:t>The preliminary purchase price allocation includes $80.8 million of acquired identifiable intangible assets as follows:</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120" w:type="dxa"/>
            <w:vAlign w:val="bottom"/>
            <w:vMerge w:val="restart"/>
          </w:tcPr>
          <w:p>
            <w:pPr>
              <w:jc w:val="right"/>
              <w:ind w:right="61"/>
              <w:spacing w:after="0"/>
              <w:rPr>
                <w:sz w:val="20"/>
                <w:szCs w:val="20"/>
                <w:color w:val="auto"/>
              </w:rPr>
            </w:pPr>
            <w:r>
              <w:rPr>
                <w:rFonts w:ascii="Arial" w:cs="Arial" w:eastAsia="Arial" w:hAnsi="Arial"/>
                <w:sz w:val="20"/>
                <w:szCs w:val="20"/>
                <w:b w:val="1"/>
                <w:bCs w:val="1"/>
                <w:color w:val="auto"/>
                <w:w w:val="98"/>
              </w:rPr>
              <w:t>Estimated Fair Value</w:t>
            </w:r>
          </w:p>
        </w:tc>
        <w:tc>
          <w:tcPr>
            <w:tcW w:w="80" w:type="dxa"/>
            <w:vAlign w:val="bottom"/>
          </w:tcPr>
          <w:p>
            <w:pPr>
              <w:spacing w:after="0"/>
              <w:rPr>
                <w:sz w:val="19"/>
                <w:szCs w:val="19"/>
                <w:color w:val="auto"/>
              </w:rPr>
            </w:pPr>
          </w:p>
        </w:tc>
        <w:tc>
          <w:tcPr>
            <w:tcW w:w="2260" w:type="dxa"/>
            <w:vAlign w:val="bottom"/>
          </w:tcPr>
          <w:p>
            <w:pPr>
              <w:jc w:val="center"/>
              <w:spacing w:after="0"/>
              <w:rPr>
                <w:sz w:val="20"/>
                <w:szCs w:val="20"/>
                <w:color w:val="auto"/>
              </w:rPr>
            </w:pPr>
            <w:r>
              <w:rPr>
                <w:rFonts w:ascii="Arial" w:cs="Arial" w:eastAsia="Arial" w:hAnsi="Arial"/>
                <w:sz w:val="20"/>
                <w:szCs w:val="20"/>
                <w:b w:val="1"/>
                <w:bCs w:val="1"/>
                <w:color w:val="auto"/>
                <w:w w:val="99"/>
              </w:rPr>
              <w:t>Estimated Weighted</w:t>
            </w:r>
          </w:p>
        </w:tc>
        <w:tc>
          <w:tcPr>
            <w:tcW w:w="0" w:type="dxa"/>
            <w:vAlign w:val="bottom"/>
          </w:tcPr>
          <w:p>
            <w:pPr>
              <w:spacing w:after="0"/>
              <w:rPr>
                <w:sz w:val="1"/>
                <w:szCs w:val="1"/>
                <w:color w:val="auto"/>
              </w:rPr>
            </w:pPr>
          </w:p>
        </w:tc>
      </w:tr>
      <w:tr>
        <w:trPr>
          <w:trHeight w:val="203"/>
        </w:trPr>
        <w:tc>
          <w:tcPr>
            <w:tcW w:w="6640" w:type="dxa"/>
            <w:vAlign w:val="bottom"/>
            <w:vMerge w:val="restart"/>
          </w:tcPr>
          <w:p>
            <w:pPr>
              <w:ind w:left="20"/>
              <w:spacing w:after="0"/>
              <w:rPr>
                <w:sz w:val="20"/>
                <w:szCs w:val="20"/>
                <w:color w:val="auto"/>
              </w:rPr>
            </w:pPr>
            <w:r>
              <w:rPr>
                <w:rFonts w:ascii="Arial" w:cs="Arial" w:eastAsia="Arial" w:hAnsi="Arial"/>
                <w:sz w:val="20"/>
                <w:szCs w:val="20"/>
                <w:color w:val="auto"/>
              </w:rPr>
              <w:t>(in thousands, except useful lives)</w:t>
            </w:r>
          </w:p>
        </w:tc>
        <w:tc>
          <w:tcPr>
            <w:tcW w:w="140" w:type="dxa"/>
            <w:vAlign w:val="bottom"/>
          </w:tcPr>
          <w:p>
            <w:pPr>
              <w:spacing w:after="0"/>
              <w:rPr>
                <w:sz w:val="17"/>
                <w:szCs w:val="17"/>
                <w:color w:val="auto"/>
              </w:rPr>
            </w:pPr>
          </w:p>
        </w:tc>
        <w:tc>
          <w:tcPr>
            <w:tcW w:w="212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2260" w:type="dxa"/>
            <w:vAlign w:val="bottom"/>
          </w:tcPr>
          <w:p>
            <w:pPr>
              <w:jc w:val="center"/>
              <w:spacing w:after="0" w:line="203" w:lineRule="exact"/>
              <w:rPr>
                <w:sz w:val="20"/>
                <w:szCs w:val="20"/>
                <w:color w:val="auto"/>
              </w:rPr>
            </w:pPr>
            <w:r>
              <w:rPr>
                <w:rFonts w:ascii="Arial" w:cs="Arial" w:eastAsia="Arial" w:hAnsi="Arial"/>
                <w:sz w:val="20"/>
                <w:szCs w:val="20"/>
                <w:b w:val="1"/>
                <w:bCs w:val="1"/>
                <w:color w:val="auto"/>
                <w:w w:val="98"/>
              </w:rPr>
              <w:t>Average Useful Life in</w:t>
            </w:r>
          </w:p>
        </w:tc>
        <w:tc>
          <w:tcPr>
            <w:tcW w:w="0" w:type="dxa"/>
            <w:vAlign w:val="bottom"/>
          </w:tcPr>
          <w:p>
            <w:pPr>
              <w:spacing w:after="0"/>
              <w:rPr>
                <w:sz w:val="1"/>
                <w:szCs w:val="1"/>
                <w:color w:val="auto"/>
              </w:rPr>
            </w:pPr>
          </w:p>
        </w:tc>
      </w:tr>
      <w:tr>
        <w:trPr>
          <w:trHeight w:val="253"/>
        </w:trPr>
        <w:tc>
          <w:tcPr>
            <w:tcW w:w="6640" w:type="dxa"/>
            <w:vAlign w:val="bottom"/>
            <w:tcBorders>
              <w:bottom w:val="single" w:sz="8" w:color="CCEEFF"/>
            </w:tcBorders>
            <w:vMerge w:val="continue"/>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2120" w:type="dxa"/>
            <w:vAlign w:val="bottom"/>
            <w:tcBorders>
              <w:bottom w:val="single" w:sz="8" w:color="auto"/>
            </w:tcBorders>
          </w:tcPr>
          <w:p>
            <w:pPr>
              <w:jc w:val="right"/>
              <w:ind w:right="641"/>
              <w:spacing w:after="0"/>
              <w:rPr>
                <w:sz w:val="20"/>
                <w:szCs w:val="20"/>
                <w:color w:val="auto"/>
              </w:rPr>
            </w:pPr>
            <w:r>
              <w:rPr>
                <w:rFonts w:ascii="Arial" w:cs="Arial" w:eastAsia="Arial" w:hAnsi="Arial"/>
                <w:sz w:val="20"/>
                <w:szCs w:val="20"/>
                <w:b w:val="1"/>
                <w:bCs w:val="1"/>
                <w:color w:val="auto"/>
              </w:rPr>
              <w:t>(in USD)</w:t>
            </w:r>
          </w:p>
        </w:tc>
        <w:tc>
          <w:tcPr>
            <w:tcW w:w="80" w:type="dxa"/>
            <w:vAlign w:val="bottom"/>
            <w:tcBorders>
              <w:bottom w:val="single" w:sz="8" w:color="CCEEFF"/>
            </w:tcBorders>
          </w:tcPr>
          <w:p>
            <w:pPr>
              <w:spacing w:after="0"/>
              <w:rPr>
                <w:sz w:val="22"/>
                <w:szCs w:val="22"/>
                <w:color w:val="auto"/>
              </w:rPr>
            </w:pPr>
          </w:p>
        </w:tc>
        <w:tc>
          <w:tcPr>
            <w:tcW w:w="2260" w:type="dxa"/>
            <w:vAlign w:val="bottom"/>
            <w:tcBorders>
              <w:bottom w:val="single" w:sz="8" w:color="auto"/>
            </w:tcBorders>
          </w:tcPr>
          <w:p>
            <w:pPr>
              <w:jc w:val="center"/>
              <w:spacing w:after="0"/>
              <w:rPr>
                <w:sz w:val="20"/>
                <w:szCs w:val="20"/>
                <w:color w:val="auto"/>
              </w:rPr>
            </w:pPr>
            <w:r>
              <w:rPr>
                <w:rFonts w:ascii="Arial" w:cs="Arial" w:eastAsia="Arial" w:hAnsi="Arial"/>
                <w:sz w:val="20"/>
                <w:szCs w:val="20"/>
                <w:b w:val="1"/>
                <w:bCs w:val="1"/>
                <w:color w:val="auto"/>
                <w:w w:val="99"/>
              </w:rPr>
              <w:t>Years</w:t>
            </w:r>
          </w:p>
        </w:tc>
        <w:tc>
          <w:tcPr>
            <w:tcW w:w="0" w:type="dxa"/>
            <w:vAlign w:val="bottom"/>
          </w:tcPr>
          <w:p>
            <w:pPr>
              <w:spacing w:after="0"/>
              <w:rPr>
                <w:sz w:val="1"/>
                <w:szCs w:val="1"/>
                <w:color w:val="auto"/>
              </w:rPr>
            </w:pPr>
          </w:p>
        </w:tc>
      </w:tr>
      <w:tr>
        <w:trPr>
          <w:trHeight w:val="250"/>
        </w:trPr>
        <w:tc>
          <w:tcPr>
            <w:tcW w:w="6640" w:type="dxa"/>
            <w:vAlign w:val="bottom"/>
            <w:shd w:val="clear" w:color="auto" w:fill="CCEEFF"/>
          </w:tcPr>
          <w:p>
            <w:pPr>
              <w:ind w:left="20"/>
              <w:spacing w:after="0"/>
              <w:rPr>
                <w:sz w:val="20"/>
                <w:szCs w:val="20"/>
                <w:color w:val="auto"/>
              </w:rPr>
            </w:pPr>
            <w:r>
              <w:rPr>
                <w:rFonts w:ascii="Arial" w:cs="Arial" w:eastAsia="Arial" w:hAnsi="Arial"/>
                <w:sz w:val="20"/>
                <w:szCs w:val="20"/>
                <w:color w:val="auto"/>
              </w:rPr>
              <w:t>Developed technology</w:t>
            </w:r>
          </w:p>
        </w:tc>
        <w:tc>
          <w:tcPr>
            <w:tcW w:w="140" w:type="dxa"/>
            <w:vAlign w:val="bottom"/>
            <w:shd w:val="clear" w:color="auto" w:fill="CCEEFF"/>
          </w:tcPr>
          <w:p>
            <w:pPr>
              <w:jc w:val="right"/>
              <w:spacing w:after="0"/>
              <w:rPr>
                <w:sz w:val="20"/>
                <w:szCs w:val="20"/>
                <w:color w:val="auto"/>
              </w:rPr>
            </w:pPr>
            <w:r>
              <w:rPr>
                <w:rFonts w:ascii="Arial" w:cs="Arial" w:eastAsia="Arial" w:hAnsi="Arial"/>
                <w:sz w:val="20"/>
                <w:szCs w:val="20"/>
                <w:color w:val="auto"/>
                <w:w w:val="89"/>
              </w:rPr>
              <w:t>$</w:t>
            </w:r>
          </w:p>
        </w:tc>
        <w:tc>
          <w:tcPr>
            <w:tcW w:w="21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21,800</w:t>
            </w:r>
          </w:p>
        </w:tc>
        <w:tc>
          <w:tcPr>
            <w:tcW w:w="80" w:type="dxa"/>
            <w:vAlign w:val="bottom"/>
            <w:shd w:val="clear" w:color="auto" w:fill="CCEEFF"/>
          </w:tcPr>
          <w:p>
            <w:pPr>
              <w:spacing w:after="0"/>
              <w:rPr>
                <w:sz w:val="21"/>
                <w:szCs w:val="21"/>
                <w:color w:val="auto"/>
              </w:rPr>
            </w:pPr>
          </w:p>
        </w:tc>
        <w:tc>
          <w:tcPr>
            <w:tcW w:w="2260" w:type="dxa"/>
            <w:vAlign w:val="bottom"/>
            <w:shd w:val="clear" w:color="auto" w:fill="CCEEFF"/>
          </w:tcPr>
          <w:p>
            <w:pPr>
              <w:jc w:val="center"/>
              <w:spacing w:after="0"/>
              <w:rPr>
                <w:sz w:val="20"/>
                <w:szCs w:val="20"/>
                <w:color w:val="auto"/>
              </w:rPr>
            </w:pPr>
            <w:r>
              <w:rPr>
                <w:rFonts w:ascii="Arial" w:cs="Arial" w:eastAsia="Arial" w:hAnsi="Arial"/>
                <w:sz w:val="20"/>
                <w:szCs w:val="20"/>
                <w:color w:val="auto"/>
                <w:w w:val="89"/>
              </w:rPr>
              <w:t>5</w:t>
            </w:r>
          </w:p>
        </w:tc>
        <w:tc>
          <w:tcPr>
            <w:tcW w:w="0" w:type="dxa"/>
            <w:vAlign w:val="bottom"/>
          </w:tcPr>
          <w:p>
            <w:pPr>
              <w:spacing w:after="0"/>
              <w:rPr>
                <w:sz w:val="1"/>
                <w:szCs w:val="1"/>
                <w:color w:val="auto"/>
              </w:rPr>
            </w:pPr>
          </w:p>
        </w:tc>
      </w:tr>
      <w:tr>
        <w:trPr>
          <w:trHeight w:val="257"/>
        </w:trPr>
        <w:tc>
          <w:tcPr>
            <w:tcW w:w="6640" w:type="dxa"/>
            <w:vAlign w:val="bottom"/>
          </w:tcPr>
          <w:p>
            <w:pPr>
              <w:ind w:left="20"/>
              <w:spacing w:after="0"/>
              <w:rPr>
                <w:sz w:val="20"/>
                <w:szCs w:val="20"/>
                <w:color w:val="auto"/>
              </w:rPr>
            </w:pPr>
            <w:r>
              <w:rPr>
                <w:rFonts w:ascii="Arial" w:cs="Arial" w:eastAsia="Arial" w:hAnsi="Arial"/>
                <w:sz w:val="20"/>
                <w:szCs w:val="20"/>
                <w:color w:val="auto"/>
              </w:rPr>
              <w:t>Computer software and other</w:t>
            </w:r>
          </w:p>
        </w:tc>
        <w:tc>
          <w:tcPr>
            <w:tcW w:w="140" w:type="dxa"/>
            <w:vAlign w:val="bottom"/>
          </w:tcPr>
          <w:p>
            <w:pPr>
              <w:spacing w:after="0"/>
              <w:rPr>
                <w:sz w:val="22"/>
                <w:szCs w:val="22"/>
                <w:color w:val="auto"/>
              </w:rPr>
            </w:pPr>
          </w:p>
        </w:tc>
        <w:tc>
          <w:tcPr>
            <w:tcW w:w="2120" w:type="dxa"/>
            <w:vAlign w:val="bottom"/>
          </w:tcPr>
          <w:p>
            <w:pPr>
              <w:jc w:val="right"/>
              <w:spacing w:after="0"/>
              <w:rPr>
                <w:sz w:val="20"/>
                <w:szCs w:val="20"/>
                <w:color w:val="auto"/>
              </w:rPr>
            </w:pPr>
            <w:r>
              <w:rPr>
                <w:rFonts w:ascii="Arial" w:cs="Arial" w:eastAsia="Arial" w:hAnsi="Arial"/>
                <w:sz w:val="20"/>
                <w:szCs w:val="20"/>
                <w:color w:val="auto"/>
              </w:rPr>
              <w:t>13,000</w:t>
            </w:r>
          </w:p>
        </w:tc>
        <w:tc>
          <w:tcPr>
            <w:tcW w:w="2340" w:type="dxa"/>
            <w:vAlign w:val="bottom"/>
            <w:gridSpan w:val="2"/>
          </w:tcPr>
          <w:p>
            <w:pPr>
              <w:jc w:val="center"/>
              <w:spacing w:after="0"/>
              <w:rPr>
                <w:sz w:val="20"/>
                <w:szCs w:val="20"/>
                <w:color w:val="auto"/>
              </w:rPr>
            </w:pPr>
            <w:r>
              <w:rPr>
                <w:rFonts w:ascii="Arial" w:cs="Arial" w:eastAsia="Arial" w:hAnsi="Arial"/>
                <w:sz w:val="20"/>
                <w:szCs w:val="20"/>
                <w:color w:val="auto"/>
                <w:w w:val="89"/>
              </w:rPr>
              <w:t>5</w:t>
            </w:r>
          </w:p>
        </w:tc>
        <w:tc>
          <w:tcPr>
            <w:tcW w:w="0" w:type="dxa"/>
            <w:vAlign w:val="bottom"/>
          </w:tcPr>
          <w:p>
            <w:pPr>
              <w:spacing w:after="0"/>
              <w:rPr>
                <w:sz w:val="1"/>
                <w:szCs w:val="1"/>
                <w:color w:val="auto"/>
              </w:rPr>
            </w:pPr>
          </w:p>
        </w:tc>
      </w:tr>
      <w:tr>
        <w:trPr>
          <w:trHeight w:val="257"/>
        </w:trPr>
        <w:tc>
          <w:tcPr>
            <w:tcW w:w="6640" w:type="dxa"/>
            <w:vAlign w:val="bottom"/>
            <w:shd w:val="clear" w:color="auto" w:fill="CCEEFF"/>
          </w:tcPr>
          <w:p>
            <w:pPr>
              <w:ind w:left="20"/>
              <w:spacing w:after="0"/>
              <w:rPr>
                <w:sz w:val="20"/>
                <w:szCs w:val="20"/>
                <w:color w:val="auto"/>
              </w:rPr>
            </w:pPr>
            <w:r>
              <w:rPr>
                <w:rFonts w:ascii="Arial" w:cs="Arial" w:eastAsia="Arial" w:hAnsi="Arial"/>
                <w:sz w:val="20"/>
                <w:szCs w:val="20"/>
                <w:color w:val="auto"/>
              </w:rPr>
              <w:t>Customer relationships</w:t>
            </w:r>
          </w:p>
        </w:tc>
        <w:tc>
          <w:tcPr>
            <w:tcW w:w="140" w:type="dxa"/>
            <w:vAlign w:val="bottom"/>
            <w:shd w:val="clear" w:color="auto" w:fill="CCEEFF"/>
          </w:tcPr>
          <w:p>
            <w:pPr>
              <w:spacing w:after="0"/>
              <w:rPr>
                <w:sz w:val="22"/>
                <w:szCs w:val="22"/>
                <w:color w:val="auto"/>
              </w:rPr>
            </w:pPr>
          </w:p>
        </w:tc>
        <w:tc>
          <w:tcPr>
            <w:tcW w:w="21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34,000</w:t>
            </w:r>
          </w:p>
        </w:tc>
        <w:tc>
          <w:tcPr>
            <w:tcW w:w="2340" w:type="dxa"/>
            <w:vAlign w:val="bottom"/>
            <w:gridSpan w:val="2"/>
            <w:shd w:val="clear" w:color="auto" w:fill="CCEEFF"/>
          </w:tcPr>
          <w:p>
            <w:pPr>
              <w:jc w:val="center"/>
              <w:spacing w:after="0"/>
              <w:rPr>
                <w:sz w:val="20"/>
                <w:szCs w:val="20"/>
                <w:color w:val="auto"/>
              </w:rPr>
            </w:pPr>
            <w:r>
              <w:rPr>
                <w:rFonts w:ascii="Arial" w:cs="Arial" w:eastAsia="Arial" w:hAnsi="Arial"/>
                <w:sz w:val="20"/>
                <w:szCs w:val="20"/>
                <w:color w:val="auto"/>
              </w:rPr>
              <w:t>5-9</w:t>
            </w:r>
          </w:p>
        </w:tc>
        <w:tc>
          <w:tcPr>
            <w:tcW w:w="0" w:type="dxa"/>
            <w:vAlign w:val="bottom"/>
          </w:tcPr>
          <w:p>
            <w:pPr>
              <w:spacing w:after="0"/>
              <w:rPr>
                <w:sz w:val="1"/>
                <w:szCs w:val="1"/>
                <w:color w:val="auto"/>
              </w:rPr>
            </w:pPr>
          </w:p>
        </w:tc>
      </w:tr>
      <w:tr>
        <w:trPr>
          <w:trHeight w:val="256"/>
        </w:trPr>
        <w:tc>
          <w:tcPr>
            <w:tcW w:w="6640" w:type="dxa"/>
            <w:vAlign w:val="bottom"/>
          </w:tcPr>
          <w:p>
            <w:pPr>
              <w:ind w:left="20"/>
              <w:spacing w:after="0"/>
              <w:rPr>
                <w:sz w:val="20"/>
                <w:szCs w:val="20"/>
                <w:color w:val="auto"/>
              </w:rPr>
            </w:pPr>
            <w:r>
              <w:rPr>
                <w:rFonts w:ascii="Arial" w:cs="Arial" w:eastAsia="Arial" w:hAnsi="Arial"/>
                <w:sz w:val="20"/>
                <w:szCs w:val="20"/>
                <w:color w:val="auto"/>
              </w:rPr>
              <w:t>Backlog</w:t>
            </w:r>
          </w:p>
        </w:tc>
        <w:tc>
          <w:tcPr>
            <w:tcW w:w="140" w:type="dxa"/>
            <w:vAlign w:val="bottom"/>
          </w:tcPr>
          <w:p>
            <w:pPr>
              <w:spacing w:after="0"/>
              <w:rPr>
                <w:sz w:val="22"/>
                <w:szCs w:val="22"/>
                <w:color w:val="auto"/>
              </w:rPr>
            </w:pPr>
          </w:p>
        </w:tc>
        <w:tc>
          <w:tcPr>
            <w:tcW w:w="2120" w:type="dxa"/>
            <w:vAlign w:val="bottom"/>
          </w:tcPr>
          <w:p>
            <w:pPr>
              <w:jc w:val="right"/>
              <w:spacing w:after="0"/>
              <w:rPr>
                <w:sz w:val="20"/>
                <w:szCs w:val="20"/>
                <w:color w:val="auto"/>
              </w:rPr>
            </w:pPr>
            <w:r>
              <w:rPr>
                <w:rFonts w:ascii="Arial" w:cs="Arial" w:eastAsia="Arial" w:hAnsi="Arial"/>
                <w:sz w:val="20"/>
                <w:szCs w:val="20"/>
                <w:color w:val="auto"/>
              </w:rPr>
              <w:t>2,000</w:t>
            </w:r>
          </w:p>
        </w:tc>
        <w:tc>
          <w:tcPr>
            <w:tcW w:w="2340" w:type="dxa"/>
            <w:vAlign w:val="bottom"/>
            <w:gridSpan w:val="2"/>
          </w:tcPr>
          <w:p>
            <w:pPr>
              <w:jc w:val="center"/>
              <w:spacing w:after="0"/>
              <w:rPr>
                <w:sz w:val="20"/>
                <w:szCs w:val="20"/>
                <w:color w:val="auto"/>
              </w:rPr>
            </w:pPr>
            <w:r>
              <w:rPr>
                <w:rFonts w:ascii="Arial" w:cs="Arial" w:eastAsia="Arial" w:hAnsi="Arial"/>
                <w:sz w:val="20"/>
                <w:szCs w:val="20"/>
                <w:color w:val="auto"/>
                <w:w w:val="89"/>
              </w:rPr>
              <w:t>1</w:t>
            </w:r>
          </w:p>
        </w:tc>
        <w:tc>
          <w:tcPr>
            <w:tcW w:w="0" w:type="dxa"/>
            <w:vAlign w:val="bottom"/>
          </w:tcPr>
          <w:p>
            <w:pPr>
              <w:spacing w:after="0"/>
              <w:rPr>
                <w:sz w:val="1"/>
                <w:szCs w:val="1"/>
                <w:color w:val="auto"/>
              </w:rPr>
            </w:pPr>
          </w:p>
        </w:tc>
      </w:tr>
      <w:tr>
        <w:trPr>
          <w:trHeight w:val="257"/>
        </w:trPr>
        <w:tc>
          <w:tcPr>
            <w:tcW w:w="6640" w:type="dxa"/>
            <w:vAlign w:val="bottom"/>
            <w:shd w:val="clear" w:color="auto" w:fill="CCEEFF"/>
          </w:tcPr>
          <w:p>
            <w:pPr>
              <w:ind w:left="20"/>
              <w:spacing w:after="0"/>
              <w:rPr>
                <w:sz w:val="20"/>
                <w:szCs w:val="20"/>
                <w:color w:val="auto"/>
              </w:rPr>
            </w:pPr>
            <w:r>
              <w:rPr>
                <w:rFonts w:ascii="Arial" w:cs="Arial" w:eastAsia="Arial" w:hAnsi="Arial"/>
                <w:sz w:val="20"/>
                <w:szCs w:val="20"/>
                <w:color w:val="auto"/>
              </w:rPr>
              <w:t>Trade name</w:t>
            </w:r>
          </w:p>
        </w:tc>
        <w:tc>
          <w:tcPr>
            <w:tcW w:w="140" w:type="dxa"/>
            <w:vAlign w:val="bottom"/>
            <w:tcBorders>
              <w:bottom w:val="single" w:sz="8" w:color="auto"/>
            </w:tcBorders>
            <w:shd w:val="clear" w:color="auto" w:fill="CCEEFF"/>
          </w:tcPr>
          <w:p>
            <w:pPr>
              <w:spacing w:after="0"/>
              <w:rPr>
                <w:sz w:val="22"/>
                <w:szCs w:val="22"/>
                <w:color w:val="auto"/>
              </w:rPr>
            </w:pPr>
          </w:p>
        </w:tc>
        <w:tc>
          <w:tcPr>
            <w:tcW w:w="2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10,000</w:t>
            </w:r>
          </w:p>
        </w:tc>
        <w:tc>
          <w:tcPr>
            <w:tcW w:w="2340" w:type="dxa"/>
            <w:vAlign w:val="bottom"/>
            <w:gridSpan w:val="2"/>
            <w:shd w:val="clear" w:color="auto" w:fill="CCEEFF"/>
          </w:tcPr>
          <w:p>
            <w:pPr>
              <w:jc w:val="center"/>
              <w:spacing w:after="0"/>
              <w:rPr>
                <w:sz w:val="20"/>
                <w:szCs w:val="20"/>
                <w:color w:val="auto"/>
              </w:rPr>
            </w:pPr>
            <w:r>
              <w:rPr>
                <w:rFonts w:ascii="Arial" w:cs="Arial" w:eastAsia="Arial" w:hAnsi="Arial"/>
                <w:sz w:val="20"/>
                <w:szCs w:val="20"/>
                <w:color w:val="auto"/>
                <w:w w:val="98"/>
              </w:rPr>
              <w:t>10</w:t>
            </w:r>
          </w:p>
        </w:tc>
        <w:tc>
          <w:tcPr>
            <w:tcW w:w="0" w:type="dxa"/>
            <w:vAlign w:val="bottom"/>
          </w:tcPr>
          <w:p>
            <w:pPr>
              <w:spacing w:after="0"/>
              <w:rPr>
                <w:sz w:val="1"/>
                <w:szCs w:val="1"/>
                <w:color w:val="auto"/>
              </w:rPr>
            </w:pPr>
          </w:p>
        </w:tc>
      </w:tr>
      <w:tr>
        <w:trPr>
          <w:trHeight w:val="250"/>
        </w:trPr>
        <w:tc>
          <w:tcPr>
            <w:tcW w:w="6640" w:type="dxa"/>
            <w:vAlign w:val="bottom"/>
          </w:tcPr>
          <w:p>
            <w:pPr>
              <w:ind w:left="20"/>
              <w:spacing w:after="0"/>
              <w:rPr>
                <w:sz w:val="20"/>
                <w:szCs w:val="20"/>
                <w:color w:val="auto"/>
              </w:rPr>
            </w:pPr>
            <w:r>
              <w:rPr>
                <w:rFonts w:ascii="Arial" w:cs="Arial" w:eastAsia="Arial" w:hAnsi="Arial"/>
                <w:sz w:val="20"/>
                <w:szCs w:val="20"/>
                <w:color w:val="auto"/>
              </w:rPr>
              <w:t>Total</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w w:val="89"/>
              </w:rPr>
              <w:t>$</w:t>
            </w:r>
          </w:p>
        </w:tc>
        <w:tc>
          <w:tcPr>
            <w:tcW w:w="21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80,800</w:t>
            </w:r>
          </w:p>
        </w:tc>
        <w:tc>
          <w:tcPr>
            <w:tcW w:w="80" w:type="dxa"/>
            <w:vAlign w:val="bottom"/>
          </w:tcPr>
          <w:p>
            <w:pPr>
              <w:spacing w:after="0"/>
              <w:rPr>
                <w:sz w:val="21"/>
                <w:szCs w:val="21"/>
                <w:color w:val="auto"/>
              </w:rPr>
            </w:pPr>
          </w:p>
        </w:tc>
        <w:tc>
          <w:tcPr>
            <w:tcW w:w="2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
        </w:trPr>
        <w:tc>
          <w:tcPr>
            <w:tcW w:w="66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29" w:lineRule="exact"/>
        <w:rPr>
          <w:sz w:val="20"/>
          <w:szCs w:val="20"/>
          <w:color w:val="auto"/>
        </w:rPr>
      </w:pPr>
    </w:p>
    <w:p>
      <w:pPr>
        <w:jc w:val="both"/>
        <w:spacing w:after="0" w:line="263" w:lineRule="auto"/>
        <w:rPr>
          <w:sz w:val="20"/>
          <w:szCs w:val="20"/>
          <w:color w:val="auto"/>
        </w:rPr>
      </w:pPr>
      <w:r>
        <w:rPr>
          <w:rFonts w:ascii="Arial" w:cs="Arial" w:eastAsia="Arial" w:hAnsi="Arial"/>
          <w:sz w:val="20"/>
          <w:szCs w:val="20"/>
          <w:color w:val="auto"/>
        </w:rPr>
        <w:t>The preliminary fair value of the identifiable intangible assets has been estimated using the Multi-Period Excess Earnings Method (Customer relationships and Backlog), Relief from Royalty Method (Trade name), and Replacement Cost Method (Developed technology and Computer software and other). The intangible assets are being amortized over their estimated useful lives on a straight-line basis that reflects the economic benefit of the asset. The determination of the useful lives is based upon various industry studies, historical acquisition experience, economic factors, and future forecasted cash flows of the Company following the APA Acquisition. Direct transaction costs incurred related to the APA Acquisition were $9.1 million and are included in General and administrative expenses in the condensed consolidated statement of operations.</w:t>
      </w:r>
    </w:p>
    <w:p>
      <w:pPr>
        <w:spacing w:after="0" w:line="207" w:lineRule="exact"/>
        <w:rPr>
          <w:sz w:val="20"/>
          <w:szCs w:val="20"/>
          <w:color w:val="auto"/>
        </w:rPr>
      </w:pPr>
    </w:p>
    <w:p>
      <w:pPr>
        <w:jc w:val="both"/>
        <w:spacing w:after="0" w:line="276" w:lineRule="auto"/>
        <w:rPr>
          <w:sz w:val="20"/>
          <w:szCs w:val="20"/>
          <w:color w:val="auto"/>
        </w:rPr>
      </w:pPr>
      <w:r>
        <w:rPr>
          <w:rFonts w:ascii="Arial" w:cs="Arial" w:eastAsia="Arial" w:hAnsi="Arial"/>
          <w:sz w:val="20"/>
          <w:szCs w:val="20"/>
          <w:color w:val="auto"/>
        </w:rPr>
        <w:t>Included in the Company’s condensed consolidated statement of operations from the Closing Date of August 14, 2025 through September 30, 2025 are revenue of $16.9 million and an operating loss of $1.8 million, inclusive of $2.5 million of expenses related to the Deferred Consideration and $1.8 million of amortization expense related to identified intangible assets.</w:t>
      </w:r>
    </w:p>
    <w:p>
      <w:pPr>
        <w:spacing w:after="0" w:line="192"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Pro Forma Financial Information (Unaudited)</w:t>
      </w:r>
    </w:p>
    <w:p>
      <w:pPr>
        <w:spacing w:after="0" w:line="135" w:lineRule="exact"/>
        <w:rPr>
          <w:sz w:val="20"/>
          <w:szCs w:val="20"/>
          <w:color w:val="auto"/>
        </w:rPr>
      </w:pPr>
    </w:p>
    <w:p>
      <w:pPr>
        <w:jc w:val="both"/>
        <w:spacing w:after="0" w:line="263" w:lineRule="auto"/>
        <w:rPr>
          <w:sz w:val="20"/>
          <w:szCs w:val="20"/>
          <w:color w:val="auto"/>
        </w:rPr>
      </w:pPr>
      <w:r>
        <w:rPr>
          <w:rFonts w:ascii="Arial" w:cs="Arial" w:eastAsia="Arial" w:hAnsi="Arial"/>
          <w:sz w:val="20"/>
          <w:szCs w:val="20"/>
          <w:color w:val="auto"/>
        </w:rPr>
        <w:t>The following unaudited pro forma financial information presents the combined results of operations of the Company and APA as if the acquisition had occurred on January 1, 2024, after giving effect to certain unaudited pro forma adjustments. The unaudited pro forma adjustments reflected herein include only those adjustments that are directly attributable to the APA Acquisition and factually supportable. The unaudited pro forma financial information does not reflect any adjustments for anticipated expense savings resulting from the APA Acquisition and is not necessarily indicative of the operating results that would have actually occurred had the APA Acquisition been consummated on January 1, 2024. These results are prepared in accordance with U.S. GAAP.</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267"/>
        </w:trPr>
        <w:tc>
          <w:tcPr>
            <w:tcW w:w="2960" w:type="dxa"/>
            <w:vAlign w:val="bottom"/>
          </w:tcPr>
          <w:p>
            <w:pPr>
              <w:spacing w:after="0"/>
              <w:rPr>
                <w:sz w:val="23"/>
                <w:szCs w:val="23"/>
                <w:color w:val="auto"/>
              </w:rPr>
            </w:pPr>
          </w:p>
        </w:tc>
        <w:tc>
          <w:tcPr>
            <w:tcW w:w="4180" w:type="dxa"/>
            <w:vAlign w:val="bottom"/>
            <w:gridSpan w:val="6"/>
          </w:tcPr>
          <w:p>
            <w:pPr>
              <w:ind w:left="360"/>
              <w:spacing w:after="0"/>
              <w:rPr>
                <w:sz w:val="20"/>
                <w:szCs w:val="20"/>
                <w:color w:val="auto"/>
              </w:rPr>
            </w:pPr>
            <w:r>
              <w:rPr>
                <w:rFonts w:ascii="Arial" w:cs="Arial" w:eastAsia="Arial" w:hAnsi="Arial"/>
                <w:sz w:val="20"/>
                <w:szCs w:val="20"/>
                <w:b w:val="1"/>
                <w:bCs w:val="1"/>
                <w:color w:val="auto"/>
              </w:rPr>
              <w:t>Three months ended September 30,</w:t>
            </w:r>
          </w:p>
        </w:tc>
        <w:tc>
          <w:tcPr>
            <w:tcW w:w="320" w:type="dxa"/>
            <w:vAlign w:val="bottom"/>
          </w:tcPr>
          <w:p>
            <w:pPr>
              <w:spacing w:after="0"/>
              <w:rPr>
                <w:sz w:val="23"/>
                <w:szCs w:val="23"/>
                <w:color w:val="auto"/>
              </w:rPr>
            </w:pPr>
          </w:p>
        </w:tc>
        <w:tc>
          <w:tcPr>
            <w:tcW w:w="3780" w:type="dxa"/>
            <w:vAlign w:val="bottom"/>
            <w:gridSpan w:val="4"/>
          </w:tcPr>
          <w:p>
            <w:pPr>
              <w:jc w:val="right"/>
              <w:ind w:right="341"/>
              <w:spacing w:after="0"/>
              <w:rPr>
                <w:sz w:val="20"/>
                <w:szCs w:val="20"/>
                <w:color w:val="auto"/>
              </w:rPr>
            </w:pPr>
            <w:r>
              <w:rPr>
                <w:rFonts w:ascii="Arial" w:cs="Arial" w:eastAsia="Arial" w:hAnsi="Arial"/>
                <w:sz w:val="20"/>
                <w:szCs w:val="20"/>
                <w:b w:val="1"/>
                <w:bCs w:val="1"/>
                <w:color w:val="auto"/>
              </w:rPr>
              <w:t>Nine months ended September 30,</w:t>
            </w:r>
          </w:p>
        </w:tc>
      </w:tr>
      <w:tr>
        <w:trPr>
          <w:trHeight w:val="264"/>
        </w:trPr>
        <w:tc>
          <w:tcPr>
            <w:tcW w:w="2960" w:type="dxa"/>
            <w:vAlign w:val="bottom"/>
            <w:tcBorders>
              <w:bottom w:val="single" w:sz="8" w:color="CCEEFF"/>
            </w:tcBorders>
          </w:tcPr>
          <w:p>
            <w:pPr>
              <w:spacing w:after="0"/>
              <w:rPr>
                <w:sz w:val="22"/>
                <w:szCs w:val="22"/>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b w:val="1"/>
                <w:bCs w:val="1"/>
                <w:color w:val="auto"/>
              </w:rPr>
              <w:t>2025</w:t>
            </w:r>
          </w:p>
        </w:tc>
        <w:tc>
          <w:tcPr>
            <w:tcW w:w="740" w:type="dxa"/>
            <w:vAlign w:val="bottom"/>
            <w:tcBorders>
              <w:top w:val="single" w:sz="8" w:color="auto"/>
              <w:bottom w:val="single" w:sz="8" w:color="auto"/>
            </w:tcBorders>
          </w:tcPr>
          <w:p>
            <w:pPr>
              <w:spacing w:after="0"/>
              <w:rPr>
                <w:sz w:val="22"/>
                <w:szCs w:val="22"/>
                <w:color w:val="auto"/>
              </w:rPr>
            </w:pPr>
          </w:p>
        </w:tc>
        <w:tc>
          <w:tcPr>
            <w:tcW w:w="80" w:type="dxa"/>
            <w:vAlign w:val="bottom"/>
            <w:tcBorders>
              <w:top w:val="single" w:sz="8" w:color="auto"/>
              <w:bottom w:val="single" w:sz="8" w:color="CCEEFF"/>
            </w:tcBorders>
          </w:tcPr>
          <w:p>
            <w:pPr>
              <w:spacing w:after="0"/>
              <w:rPr>
                <w:sz w:val="22"/>
                <w:szCs w:val="22"/>
                <w:color w:val="auto"/>
              </w:rPr>
            </w:pPr>
          </w:p>
        </w:tc>
        <w:tc>
          <w:tcPr>
            <w:tcW w:w="500" w:type="dxa"/>
            <w:vAlign w:val="bottom"/>
            <w:tcBorders>
              <w:top w:val="single" w:sz="8" w:color="auto"/>
              <w:bottom w:val="single" w:sz="8" w:color="auto"/>
            </w:tcBorders>
          </w:tcPr>
          <w:p>
            <w:pPr>
              <w:spacing w:after="0"/>
              <w:rPr>
                <w:sz w:val="22"/>
                <w:szCs w:val="22"/>
                <w:color w:val="auto"/>
              </w:rPr>
            </w:pPr>
          </w:p>
        </w:tc>
        <w:tc>
          <w:tcPr>
            <w:tcW w:w="1520" w:type="dxa"/>
            <w:vAlign w:val="bottom"/>
            <w:tcBorders>
              <w:top w:val="single" w:sz="8" w:color="auto"/>
              <w:bottom w:val="single" w:sz="8" w:color="auto"/>
            </w:tcBorders>
          </w:tcPr>
          <w:p>
            <w:pPr>
              <w:jc w:val="right"/>
              <w:ind w:right="701"/>
              <w:spacing w:after="0"/>
              <w:rPr>
                <w:sz w:val="20"/>
                <w:szCs w:val="20"/>
                <w:color w:val="auto"/>
              </w:rPr>
            </w:pPr>
            <w:r>
              <w:rPr>
                <w:rFonts w:ascii="Arial" w:cs="Arial" w:eastAsia="Arial" w:hAnsi="Arial"/>
                <w:sz w:val="20"/>
                <w:szCs w:val="20"/>
                <w:b w:val="1"/>
                <w:bCs w:val="1"/>
                <w:color w:val="auto"/>
              </w:rPr>
              <w:t>2024</w:t>
            </w:r>
          </w:p>
        </w:tc>
        <w:tc>
          <w:tcPr>
            <w:tcW w:w="80" w:type="dxa"/>
            <w:vAlign w:val="bottom"/>
            <w:tcBorders>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680" w:type="dxa"/>
            <w:vAlign w:val="bottom"/>
            <w:tcBorders>
              <w:top w:val="single" w:sz="8" w:color="auto"/>
              <w:bottom w:val="single" w:sz="8" w:color="auto"/>
            </w:tcBorders>
          </w:tcPr>
          <w:p>
            <w:pPr>
              <w:jc w:val="right"/>
              <w:ind w:right="681"/>
              <w:spacing w:after="0"/>
              <w:rPr>
                <w:sz w:val="20"/>
                <w:szCs w:val="20"/>
                <w:color w:val="auto"/>
              </w:rPr>
            </w:pPr>
            <w:r>
              <w:rPr>
                <w:rFonts w:ascii="Arial" w:cs="Arial" w:eastAsia="Arial" w:hAnsi="Arial"/>
                <w:sz w:val="20"/>
                <w:szCs w:val="20"/>
                <w:b w:val="1"/>
                <w:bCs w:val="1"/>
                <w:color w:val="auto"/>
              </w:rPr>
              <w:t>2025</w:t>
            </w:r>
          </w:p>
        </w:tc>
        <w:tc>
          <w:tcPr>
            <w:tcW w:w="80" w:type="dxa"/>
            <w:vAlign w:val="bottom"/>
            <w:tcBorders>
              <w:top w:val="single" w:sz="8" w:color="auto"/>
              <w:bottom w:val="single" w:sz="8" w:color="CCEEFF"/>
            </w:tcBorders>
          </w:tcPr>
          <w:p>
            <w:pPr>
              <w:spacing w:after="0"/>
              <w:rPr>
                <w:sz w:val="22"/>
                <w:szCs w:val="22"/>
                <w:color w:val="auto"/>
              </w:rPr>
            </w:pPr>
          </w:p>
        </w:tc>
        <w:tc>
          <w:tcPr>
            <w:tcW w:w="520" w:type="dxa"/>
            <w:vAlign w:val="bottom"/>
            <w:tcBorders>
              <w:top w:val="single" w:sz="8" w:color="auto"/>
              <w:bottom w:val="single" w:sz="8" w:color="auto"/>
            </w:tcBorders>
          </w:tcPr>
          <w:p>
            <w:pPr>
              <w:spacing w:after="0"/>
              <w:rPr>
                <w:sz w:val="22"/>
                <w:szCs w:val="22"/>
                <w:color w:val="auto"/>
              </w:rPr>
            </w:pPr>
          </w:p>
        </w:tc>
        <w:tc>
          <w:tcPr>
            <w:tcW w:w="1500" w:type="dxa"/>
            <w:vAlign w:val="bottom"/>
            <w:tcBorders>
              <w:top w:val="single" w:sz="8" w:color="auto"/>
              <w:bottom w:val="single" w:sz="8" w:color="auto"/>
            </w:tcBorders>
          </w:tcPr>
          <w:p>
            <w:pPr>
              <w:jc w:val="right"/>
              <w:ind w:right="681"/>
              <w:spacing w:after="0"/>
              <w:rPr>
                <w:sz w:val="20"/>
                <w:szCs w:val="20"/>
                <w:color w:val="auto"/>
              </w:rPr>
            </w:pPr>
            <w:r>
              <w:rPr>
                <w:rFonts w:ascii="Arial" w:cs="Arial" w:eastAsia="Arial" w:hAnsi="Arial"/>
                <w:sz w:val="20"/>
                <w:szCs w:val="20"/>
                <w:b w:val="1"/>
                <w:bCs w:val="1"/>
                <w:color w:val="auto"/>
              </w:rPr>
              <w:t>2024</w:t>
            </w:r>
          </w:p>
        </w:tc>
      </w:tr>
      <w:tr>
        <w:trPr>
          <w:trHeight w:val="277"/>
        </w:trPr>
        <w:tc>
          <w:tcPr>
            <w:tcW w:w="2960" w:type="dxa"/>
            <w:vAlign w:val="bottom"/>
            <w:shd w:val="clear" w:color="auto" w:fill="CCEEFF"/>
          </w:tcPr>
          <w:p>
            <w:pPr>
              <w:ind w:left="20"/>
              <w:spacing w:after="0"/>
              <w:rPr>
                <w:sz w:val="20"/>
                <w:szCs w:val="20"/>
                <w:color w:val="auto"/>
              </w:rPr>
            </w:pPr>
            <w:r>
              <w:rPr>
                <w:rFonts w:ascii="Arial" w:cs="Arial" w:eastAsia="Arial" w:hAnsi="Arial"/>
                <w:sz w:val="20"/>
                <w:szCs w:val="20"/>
                <w:color w:val="auto"/>
              </w:rPr>
              <w:t>Revenue</w:t>
            </w:r>
          </w:p>
        </w:tc>
        <w:tc>
          <w:tcPr>
            <w:tcW w:w="1260" w:type="dxa"/>
            <w:vAlign w:val="bottom"/>
            <w:shd w:val="clear" w:color="auto" w:fill="CCEEFF"/>
          </w:tcPr>
          <w:p>
            <w:pPr>
              <w:jc w:val="right"/>
              <w:ind w:right="961"/>
              <w:spacing w:after="0"/>
              <w:rPr>
                <w:sz w:val="20"/>
                <w:szCs w:val="20"/>
                <w:color w:val="auto"/>
              </w:rPr>
            </w:pPr>
            <w:r>
              <w:rPr>
                <w:rFonts w:ascii="Arial" w:cs="Arial" w:eastAsia="Arial" w:hAnsi="Arial"/>
                <w:sz w:val="20"/>
                <w:szCs w:val="20"/>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30,793</w:t>
            </w:r>
          </w:p>
        </w:tc>
        <w:tc>
          <w:tcPr>
            <w:tcW w:w="80" w:type="dxa"/>
            <w:vAlign w:val="bottom"/>
            <w:shd w:val="clear" w:color="auto" w:fill="CCEEFF"/>
          </w:tcPr>
          <w:p>
            <w:pPr>
              <w:spacing w:after="0"/>
              <w:rPr>
                <w:sz w:val="24"/>
                <w:szCs w:val="24"/>
                <w:color w:val="auto"/>
              </w:rPr>
            </w:pPr>
          </w:p>
        </w:tc>
        <w:tc>
          <w:tcPr>
            <w:tcW w:w="500" w:type="dxa"/>
            <w:vAlign w:val="bottom"/>
            <w:shd w:val="clear" w:color="auto" w:fill="CCEEFF"/>
          </w:tcPr>
          <w:p>
            <w:pPr>
              <w:jc w:val="right"/>
              <w:ind w:right="181"/>
              <w:spacing w:after="0"/>
              <w:rPr>
                <w:sz w:val="20"/>
                <w:szCs w:val="20"/>
                <w:color w:val="auto"/>
              </w:rPr>
            </w:pPr>
            <w:r>
              <w:rPr>
                <w:rFonts w:ascii="Arial" w:cs="Arial" w:eastAsia="Arial" w:hAnsi="Arial"/>
                <w:sz w:val="20"/>
                <w:szCs w:val="20"/>
                <w:color w:val="auto"/>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41,438</w:t>
            </w:r>
          </w:p>
        </w:tc>
        <w:tc>
          <w:tcPr>
            <w:tcW w:w="80" w:type="dxa"/>
            <w:vAlign w:val="bottom"/>
            <w:shd w:val="clear" w:color="auto" w:fill="CCEEFF"/>
          </w:tcPr>
          <w:p>
            <w:pPr>
              <w:spacing w:after="0"/>
              <w:rPr>
                <w:sz w:val="24"/>
                <w:szCs w:val="24"/>
                <w:color w:val="auto"/>
              </w:rPr>
            </w:pPr>
          </w:p>
        </w:tc>
        <w:tc>
          <w:tcPr>
            <w:tcW w:w="320" w:type="dxa"/>
            <w:vAlign w:val="bottom"/>
            <w:shd w:val="clear" w:color="auto" w:fill="CCEEFF"/>
          </w:tcPr>
          <w:p>
            <w:pPr>
              <w:jc w:val="right"/>
              <w:ind w:right="1"/>
              <w:spacing w:after="0"/>
              <w:rPr>
                <w:sz w:val="20"/>
                <w:szCs w:val="20"/>
                <w:color w:val="auto"/>
              </w:rPr>
            </w:pPr>
            <w:r>
              <w:rPr>
                <w:rFonts w:ascii="Arial" w:cs="Arial" w:eastAsia="Arial" w:hAnsi="Arial"/>
                <w:sz w:val="20"/>
                <w:szCs w:val="20"/>
                <w:color w:val="auto"/>
              </w:rPr>
              <w:t>$</w:t>
            </w:r>
          </w:p>
        </w:tc>
        <w:tc>
          <w:tcPr>
            <w:tcW w:w="16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97,814</w:t>
            </w:r>
          </w:p>
        </w:tc>
        <w:tc>
          <w:tcPr>
            <w:tcW w:w="80" w:type="dxa"/>
            <w:vAlign w:val="bottom"/>
            <w:shd w:val="clear" w:color="auto" w:fill="CCEEFF"/>
          </w:tcPr>
          <w:p>
            <w:pPr>
              <w:spacing w:after="0"/>
              <w:rPr>
                <w:sz w:val="24"/>
                <w:szCs w:val="24"/>
                <w:color w:val="auto"/>
              </w:rPr>
            </w:pPr>
          </w:p>
        </w:tc>
        <w:tc>
          <w:tcPr>
            <w:tcW w:w="520" w:type="dxa"/>
            <w:vAlign w:val="bottom"/>
            <w:shd w:val="clear" w:color="auto" w:fill="CCEEFF"/>
          </w:tcPr>
          <w:p>
            <w:pPr>
              <w:jc w:val="right"/>
              <w:ind w:right="201"/>
              <w:spacing w:after="0"/>
              <w:rPr>
                <w:sz w:val="20"/>
                <w:szCs w:val="20"/>
                <w:color w:val="auto"/>
              </w:rPr>
            </w:pPr>
            <w:r>
              <w:rPr>
                <w:rFonts w:ascii="Arial" w:cs="Arial" w:eastAsia="Arial" w:hAnsi="Arial"/>
                <w:sz w:val="20"/>
                <w:szCs w:val="20"/>
                <w:color w:val="auto"/>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96,048</w:t>
            </w:r>
          </w:p>
        </w:tc>
      </w:tr>
      <w:tr>
        <w:trPr>
          <w:trHeight w:val="275"/>
        </w:trPr>
        <w:tc>
          <w:tcPr>
            <w:tcW w:w="2960" w:type="dxa"/>
            <w:vAlign w:val="bottom"/>
          </w:tcPr>
          <w:p>
            <w:pPr>
              <w:ind w:left="20"/>
              <w:spacing w:after="0"/>
              <w:rPr>
                <w:sz w:val="20"/>
                <w:szCs w:val="20"/>
                <w:color w:val="auto"/>
              </w:rPr>
            </w:pPr>
            <w:r>
              <w:rPr>
                <w:rFonts w:ascii="Arial" w:cs="Arial" w:eastAsia="Arial" w:hAnsi="Arial"/>
                <w:sz w:val="20"/>
                <w:szCs w:val="20"/>
                <w:color w:val="auto"/>
              </w:rPr>
              <w:t>Net loss</w:t>
            </w:r>
          </w:p>
        </w:tc>
        <w:tc>
          <w:tcPr>
            <w:tcW w:w="1260" w:type="dxa"/>
            <w:vAlign w:val="bottom"/>
          </w:tcPr>
          <w:p>
            <w:pPr>
              <w:jc w:val="right"/>
              <w:ind w:right="961"/>
              <w:spacing w:after="0"/>
              <w:rPr>
                <w:sz w:val="20"/>
                <w:szCs w:val="20"/>
                <w:color w:val="auto"/>
              </w:rPr>
            </w:pPr>
            <w:r>
              <w:rPr>
                <w:rFonts w:ascii="Arial" w:cs="Arial" w:eastAsia="Arial" w:hAnsi="Arial"/>
                <w:sz w:val="20"/>
                <w:szCs w:val="20"/>
                <w:color w:val="auto"/>
              </w:rPr>
              <w:t>$</w:t>
            </w:r>
          </w:p>
        </w:tc>
        <w:tc>
          <w:tcPr>
            <w:tcW w:w="740" w:type="dxa"/>
            <w:vAlign w:val="bottom"/>
          </w:tcPr>
          <w:p>
            <w:pPr>
              <w:jc w:val="right"/>
              <w:spacing w:after="0"/>
              <w:rPr>
                <w:sz w:val="20"/>
                <w:szCs w:val="20"/>
                <w:color w:val="auto"/>
              </w:rPr>
            </w:pPr>
            <w:r>
              <w:rPr>
                <w:rFonts w:ascii="Arial" w:cs="Arial" w:eastAsia="Arial" w:hAnsi="Arial"/>
                <w:sz w:val="20"/>
                <w:szCs w:val="20"/>
                <w:color w:val="auto"/>
              </w:rPr>
              <w:t>4,486</w:t>
            </w:r>
          </w:p>
        </w:tc>
        <w:tc>
          <w:tcPr>
            <w:tcW w:w="80" w:type="dxa"/>
            <w:vAlign w:val="bottom"/>
          </w:tcPr>
          <w:p>
            <w:pPr>
              <w:spacing w:after="0"/>
              <w:rPr>
                <w:sz w:val="23"/>
                <w:szCs w:val="23"/>
                <w:color w:val="auto"/>
              </w:rPr>
            </w:pPr>
          </w:p>
        </w:tc>
        <w:tc>
          <w:tcPr>
            <w:tcW w:w="500" w:type="dxa"/>
            <w:vAlign w:val="bottom"/>
          </w:tcPr>
          <w:p>
            <w:pPr>
              <w:jc w:val="right"/>
              <w:ind w:right="181"/>
              <w:spacing w:after="0"/>
              <w:rPr>
                <w:sz w:val="20"/>
                <w:szCs w:val="20"/>
                <w:color w:val="auto"/>
              </w:rPr>
            </w:pPr>
            <w:r>
              <w:rPr>
                <w:rFonts w:ascii="Arial" w:cs="Arial" w:eastAsia="Arial" w:hAnsi="Arial"/>
                <w:sz w:val="20"/>
                <w:szCs w:val="20"/>
                <w:color w:val="auto"/>
              </w:rPr>
              <w:t>$</w:t>
            </w:r>
          </w:p>
        </w:tc>
        <w:tc>
          <w:tcPr>
            <w:tcW w:w="1520" w:type="dxa"/>
            <w:vAlign w:val="bottom"/>
          </w:tcPr>
          <w:p>
            <w:pPr>
              <w:jc w:val="right"/>
              <w:spacing w:after="0"/>
              <w:rPr>
                <w:sz w:val="20"/>
                <w:szCs w:val="20"/>
                <w:color w:val="auto"/>
              </w:rPr>
            </w:pPr>
            <w:r>
              <w:rPr>
                <w:rFonts w:ascii="Arial" w:cs="Arial" w:eastAsia="Arial" w:hAnsi="Arial"/>
                <w:sz w:val="20"/>
                <w:szCs w:val="20"/>
                <w:color w:val="auto"/>
              </w:rPr>
              <w:t>2,206</w:t>
            </w:r>
          </w:p>
        </w:tc>
        <w:tc>
          <w:tcPr>
            <w:tcW w:w="80" w:type="dxa"/>
            <w:vAlign w:val="bottom"/>
          </w:tcPr>
          <w:p>
            <w:pPr>
              <w:spacing w:after="0"/>
              <w:rPr>
                <w:sz w:val="23"/>
                <w:szCs w:val="23"/>
                <w:color w:val="auto"/>
              </w:rPr>
            </w:pPr>
          </w:p>
        </w:tc>
        <w:tc>
          <w:tcPr>
            <w:tcW w:w="320" w:type="dxa"/>
            <w:vAlign w:val="bottom"/>
          </w:tcPr>
          <w:p>
            <w:pPr>
              <w:jc w:val="right"/>
              <w:ind w:right="1"/>
              <w:spacing w:after="0"/>
              <w:rPr>
                <w:sz w:val="20"/>
                <w:szCs w:val="20"/>
                <w:color w:val="auto"/>
              </w:rPr>
            </w:pPr>
            <w:r>
              <w:rPr>
                <w:rFonts w:ascii="Arial" w:cs="Arial" w:eastAsia="Arial" w:hAnsi="Arial"/>
                <w:sz w:val="20"/>
                <w:szCs w:val="20"/>
                <w:color w:val="auto"/>
              </w:rPr>
              <w:t>$</w:t>
            </w:r>
          </w:p>
        </w:tc>
        <w:tc>
          <w:tcPr>
            <w:tcW w:w="1680" w:type="dxa"/>
            <w:vAlign w:val="bottom"/>
          </w:tcPr>
          <w:p>
            <w:pPr>
              <w:jc w:val="right"/>
              <w:spacing w:after="0"/>
              <w:rPr>
                <w:sz w:val="20"/>
                <w:szCs w:val="20"/>
                <w:color w:val="auto"/>
              </w:rPr>
            </w:pPr>
            <w:r>
              <w:rPr>
                <w:rFonts w:ascii="Arial" w:cs="Arial" w:eastAsia="Arial" w:hAnsi="Arial"/>
                <w:sz w:val="20"/>
                <w:szCs w:val="20"/>
                <w:color w:val="auto"/>
              </w:rPr>
              <w:t>6,197</w:t>
            </w:r>
          </w:p>
        </w:tc>
        <w:tc>
          <w:tcPr>
            <w:tcW w:w="80" w:type="dxa"/>
            <w:vAlign w:val="bottom"/>
          </w:tcPr>
          <w:p>
            <w:pPr>
              <w:spacing w:after="0"/>
              <w:rPr>
                <w:sz w:val="23"/>
                <w:szCs w:val="23"/>
                <w:color w:val="auto"/>
              </w:rPr>
            </w:pPr>
          </w:p>
        </w:tc>
        <w:tc>
          <w:tcPr>
            <w:tcW w:w="520" w:type="dxa"/>
            <w:vAlign w:val="bottom"/>
          </w:tcPr>
          <w:p>
            <w:pPr>
              <w:jc w:val="right"/>
              <w:ind w:right="201"/>
              <w:spacing w:after="0"/>
              <w:rPr>
                <w:sz w:val="20"/>
                <w:szCs w:val="20"/>
                <w:color w:val="auto"/>
              </w:rPr>
            </w:pPr>
            <w:r>
              <w:rPr>
                <w:rFonts w:ascii="Arial" w:cs="Arial" w:eastAsia="Arial" w:hAnsi="Arial"/>
                <w:sz w:val="20"/>
                <w:szCs w:val="20"/>
                <w:color w:val="auto"/>
              </w:rPr>
              <w:t>$</w:t>
            </w:r>
          </w:p>
        </w:tc>
        <w:tc>
          <w:tcPr>
            <w:tcW w:w="1500" w:type="dxa"/>
            <w:vAlign w:val="bottom"/>
          </w:tcPr>
          <w:p>
            <w:pPr>
              <w:jc w:val="right"/>
              <w:spacing w:after="0"/>
              <w:rPr>
                <w:sz w:val="20"/>
                <w:szCs w:val="20"/>
                <w:color w:val="auto"/>
              </w:rPr>
            </w:pPr>
            <w:r>
              <w:rPr>
                <w:rFonts w:ascii="Arial" w:cs="Arial" w:eastAsia="Arial" w:hAnsi="Arial"/>
                <w:sz w:val="20"/>
                <w:szCs w:val="20"/>
                <w:color w:val="auto"/>
              </w:rPr>
              <w:t>5,794</w:t>
            </w:r>
          </w:p>
        </w:tc>
      </w:tr>
      <w:tr>
        <w:trPr>
          <w:trHeight w:val="279"/>
        </w:trPr>
        <w:tc>
          <w:tcPr>
            <w:tcW w:w="296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15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6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1500" w:type="dxa"/>
            <w:vAlign w:val="bottom"/>
            <w:shd w:val="clear" w:color="auto" w:fill="CCEEFF"/>
          </w:tcPr>
          <w:p>
            <w:pPr>
              <w:spacing w:after="0"/>
              <w:rPr>
                <w:sz w:val="24"/>
                <w:szCs w:val="24"/>
                <w:color w:val="auto"/>
              </w:rPr>
            </w:pPr>
          </w:p>
        </w:tc>
      </w:tr>
      <w:tr>
        <w:trPr>
          <w:trHeight w:val="329"/>
        </w:trPr>
        <w:tc>
          <w:tcPr>
            <w:tcW w:w="2960" w:type="dxa"/>
            <w:vAlign w:val="bottom"/>
          </w:tcPr>
          <w:p>
            <w:pPr>
              <w:ind w:left="20"/>
              <w:spacing w:after="0"/>
              <w:rPr>
                <w:sz w:val="20"/>
                <w:szCs w:val="20"/>
                <w:color w:val="auto"/>
              </w:rPr>
            </w:pPr>
            <w:r>
              <w:rPr>
                <w:rFonts w:ascii="Arial" w:cs="Arial" w:eastAsia="Arial" w:hAnsi="Arial"/>
                <w:sz w:val="20"/>
                <w:szCs w:val="20"/>
                <w:color w:val="auto"/>
              </w:rPr>
              <w:t xml:space="preserve">Pro forma adjustments </w:t>
            </w:r>
            <w:r>
              <w:rPr>
                <w:rFonts w:ascii="Arial" w:cs="Arial" w:eastAsia="Arial" w:hAnsi="Arial"/>
                <w:sz w:val="25"/>
                <w:szCs w:val="25"/>
                <w:color w:val="auto"/>
                <w:vertAlign w:val="superscript"/>
              </w:rPr>
              <w:t>(1)</w:t>
            </w:r>
          </w:p>
        </w:tc>
        <w:tc>
          <w:tcPr>
            <w:tcW w:w="1260" w:type="dxa"/>
            <w:vAlign w:val="bottom"/>
          </w:tcPr>
          <w:p>
            <w:pPr>
              <w:jc w:val="right"/>
              <w:ind w:right="961"/>
              <w:spacing w:after="0"/>
              <w:rPr>
                <w:sz w:val="20"/>
                <w:szCs w:val="20"/>
                <w:color w:val="auto"/>
              </w:rPr>
            </w:pPr>
            <w:r>
              <w:rPr>
                <w:rFonts w:ascii="Arial" w:cs="Arial" w:eastAsia="Arial" w:hAnsi="Arial"/>
                <w:sz w:val="20"/>
                <w:szCs w:val="20"/>
                <w:color w:val="auto"/>
              </w:rPr>
              <w:t>$</w:t>
            </w:r>
          </w:p>
        </w:tc>
        <w:tc>
          <w:tcPr>
            <w:tcW w:w="740" w:type="dxa"/>
            <w:vAlign w:val="bottom"/>
          </w:tcPr>
          <w:p>
            <w:pPr>
              <w:jc w:val="right"/>
              <w:spacing w:after="0"/>
              <w:rPr>
                <w:sz w:val="20"/>
                <w:szCs w:val="20"/>
                <w:color w:val="auto"/>
              </w:rPr>
            </w:pPr>
            <w:r>
              <w:rPr>
                <w:rFonts w:ascii="Arial" w:cs="Arial" w:eastAsia="Arial" w:hAnsi="Arial"/>
                <w:sz w:val="20"/>
                <w:szCs w:val="20"/>
                <w:color w:val="auto"/>
              </w:rPr>
              <w:t>6,620</w:t>
            </w:r>
          </w:p>
        </w:tc>
        <w:tc>
          <w:tcPr>
            <w:tcW w:w="80" w:type="dxa"/>
            <w:vAlign w:val="bottom"/>
          </w:tcPr>
          <w:p>
            <w:pPr>
              <w:spacing w:after="0"/>
              <w:rPr>
                <w:sz w:val="24"/>
                <w:szCs w:val="24"/>
                <w:color w:val="auto"/>
              </w:rPr>
            </w:pPr>
          </w:p>
        </w:tc>
        <w:tc>
          <w:tcPr>
            <w:tcW w:w="500" w:type="dxa"/>
            <w:vAlign w:val="bottom"/>
          </w:tcPr>
          <w:p>
            <w:pPr>
              <w:jc w:val="right"/>
              <w:ind w:right="181"/>
              <w:spacing w:after="0"/>
              <w:rPr>
                <w:sz w:val="20"/>
                <w:szCs w:val="20"/>
                <w:color w:val="auto"/>
              </w:rPr>
            </w:pPr>
            <w:r>
              <w:rPr>
                <w:rFonts w:ascii="Arial" w:cs="Arial" w:eastAsia="Arial" w:hAnsi="Arial"/>
                <w:sz w:val="20"/>
                <w:szCs w:val="20"/>
                <w:color w:val="auto"/>
              </w:rPr>
              <w:t>$</w:t>
            </w:r>
          </w:p>
        </w:tc>
        <w:tc>
          <w:tcPr>
            <w:tcW w:w="1520" w:type="dxa"/>
            <w:vAlign w:val="bottom"/>
          </w:tcPr>
          <w:p>
            <w:pPr>
              <w:jc w:val="right"/>
              <w:spacing w:after="0"/>
              <w:rPr>
                <w:sz w:val="20"/>
                <w:szCs w:val="20"/>
                <w:color w:val="auto"/>
              </w:rPr>
            </w:pPr>
            <w:r>
              <w:rPr>
                <w:rFonts w:ascii="Arial" w:cs="Arial" w:eastAsia="Arial" w:hAnsi="Arial"/>
                <w:sz w:val="20"/>
                <w:szCs w:val="20"/>
                <w:color w:val="auto"/>
              </w:rPr>
              <w:t>6,998</w:t>
            </w:r>
          </w:p>
        </w:tc>
        <w:tc>
          <w:tcPr>
            <w:tcW w:w="80" w:type="dxa"/>
            <w:vAlign w:val="bottom"/>
          </w:tcPr>
          <w:p>
            <w:pPr>
              <w:spacing w:after="0"/>
              <w:rPr>
                <w:sz w:val="24"/>
                <w:szCs w:val="24"/>
                <w:color w:val="auto"/>
              </w:rPr>
            </w:pPr>
          </w:p>
        </w:tc>
        <w:tc>
          <w:tcPr>
            <w:tcW w:w="320" w:type="dxa"/>
            <w:vAlign w:val="bottom"/>
          </w:tcPr>
          <w:p>
            <w:pPr>
              <w:jc w:val="right"/>
              <w:ind w:right="1"/>
              <w:spacing w:after="0"/>
              <w:rPr>
                <w:sz w:val="20"/>
                <w:szCs w:val="20"/>
                <w:color w:val="auto"/>
              </w:rPr>
            </w:pPr>
            <w:r>
              <w:rPr>
                <w:rFonts w:ascii="Arial" w:cs="Arial" w:eastAsia="Arial" w:hAnsi="Arial"/>
                <w:sz w:val="20"/>
                <w:szCs w:val="20"/>
                <w:color w:val="auto"/>
              </w:rPr>
              <w:t>$</w:t>
            </w:r>
          </w:p>
        </w:tc>
        <w:tc>
          <w:tcPr>
            <w:tcW w:w="1680" w:type="dxa"/>
            <w:vAlign w:val="bottom"/>
          </w:tcPr>
          <w:p>
            <w:pPr>
              <w:jc w:val="right"/>
              <w:spacing w:after="0"/>
              <w:rPr>
                <w:sz w:val="20"/>
                <w:szCs w:val="20"/>
                <w:color w:val="auto"/>
              </w:rPr>
            </w:pPr>
            <w:r>
              <w:rPr>
                <w:rFonts w:ascii="Arial" w:cs="Arial" w:eastAsia="Arial" w:hAnsi="Arial"/>
                <w:sz w:val="20"/>
                <w:szCs w:val="20"/>
                <w:color w:val="auto"/>
              </w:rPr>
              <w:t>19,860</w:t>
            </w:r>
          </w:p>
        </w:tc>
        <w:tc>
          <w:tcPr>
            <w:tcW w:w="80" w:type="dxa"/>
            <w:vAlign w:val="bottom"/>
          </w:tcPr>
          <w:p>
            <w:pPr>
              <w:spacing w:after="0"/>
              <w:rPr>
                <w:sz w:val="24"/>
                <w:szCs w:val="24"/>
                <w:color w:val="auto"/>
              </w:rPr>
            </w:pPr>
          </w:p>
        </w:tc>
        <w:tc>
          <w:tcPr>
            <w:tcW w:w="520" w:type="dxa"/>
            <w:vAlign w:val="bottom"/>
          </w:tcPr>
          <w:p>
            <w:pPr>
              <w:jc w:val="right"/>
              <w:ind w:right="201"/>
              <w:spacing w:after="0"/>
              <w:rPr>
                <w:sz w:val="20"/>
                <w:szCs w:val="20"/>
                <w:color w:val="auto"/>
              </w:rPr>
            </w:pPr>
            <w:r>
              <w:rPr>
                <w:rFonts w:ascii="Arial" w:cs="Arial" w:eastAsia="Arial" w:hAnsi="Arial"/>
                <w:sz w:val="20"/>
                <w:szCs w:val="20"/>
                <w:color w:val="auto"/>
              </w:rPr>
              <w:t>$</w:t>
            </w:r>
          </w:p>
        </w:tc>
        <w:tc>
          <w:tcPr>
            <w:tcW w:w="1500" w:type="dxa"/>
            <w:vAlign w:val="bottom"/>
          </w:tcPr>
          <w:p>
            <w:pPr>
              <w:jc w:val="right"/>
              <w:spacing w:after="0"/>
              <w:rPr>
                <w:sz w:val="20"/>
                <w:szCs w:val="20"/>
                <w:color w:val="auto"/>
              </w:rPr>
            </w:pPr>
            <w:r>
              <w:rPr>
                <w:rFonts w:ascii="Arial" w:cs="Arial" w:eastAsia="Arial" w:hAnsi="Arial"/>
                <w:sz w:val="20"/>
                <w:szCs w:val="20"/>
                <w:color w:val="auto"/>
              </w:rPr>
              <w:t>21,823</w:t>
            </w:r>
          </w:p>
        </w:tc>
      </w:tr>
    </w:tbl>
    <w:p>
      <w:pPr>
        <w:spacing w:after="0" w:line="35" w:lineRule="exact"/>
        <w:rPr>
          <w:sz w:val="20"/>
          <w:szCs w:val="20"/>
          <w:color w:val="auto"/>
        </w:rPr>
      </w:pPr>
    </w:p>
    <w:p>
      <w:pPr>
        <w:jc w:val="both"/>
        <w:ind w:firstLine="8"/>
        <w:spacing w:after="0" w:line="222" w:lineRule="auto"/>
        <w:tabs>
          <w:tab w:leader="none" w:pos="224" w:val="left"/>
        </w:tabs>
        <w:numPr>
          <w:ilvl w:val="0"/>
          <w:numId w:val="9"/>
        </w:numPr>
        <w:rPr>
          <w:rFonts w:ascii="Arial" w:cs="Arial" w:eastAsia="Arial" w:hAnsi="Arial"/>
          <w:sz w:val="26"/>
          <w:szCs w:val="26"/>
          <w:color w:val="auto"/>
          <w:vertAlign w:val="superscript"/>
        </w:rPr>
      </w:pPr>
      <w:r>
        <w:rPr>
          <w:rFonts w:ascii="Arial" w:cs="Arial" w:eastAsia="Arial" w:hAnsi="Arial"/>
          <w:sz w:val="16"/>
          <w:szCs w:val="16"/>
          <w:color w:val="auto"/>
        </w:rPr>
        <w:t>Pro forma adjustments represent incremental expenses, net of estimated taxes, resulting from the APA Acquisition, including Deferred Consideration expense, intangible asset amortization, and the impacts of lease re-measurements and increases to the fair value of inventories and property, plant and equipment.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78105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1" w:name="page22"/>
    <w:bookmarkEnd w:id="21"/>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73"/>
        </w:trPr>
        <w:tc>
          <w:tcPr>
            <w:tcW w:w="6400" w:type="dxa"/>
            <w:vAlign w:val="bottom"/>
          </w:tcPr>
          <w:p>
            <w:pPr>
              <w:spacing w:after="0"/>
              <w:rPr>
                <w:sz w:val="20"/>
                <w:szCs w:val="20"/>
                <w:color w:val="auto"/>
              </w:rPr>
            </w:pPr>
            <w:r>
              <w:rPr>
                <w:rFonts w:ascii="Arial" w:cs="Arial" w:eastAsia="Arial" w:hAnsi="Arial"/>
                <w:sz w:val="20"/>
                <w:szCs w:val="20"/>
                <w:b w:val="1"/>
                <w:bCs w:val="1"/>
                <w:color w:val="auto"/>
              </w:rPr>
              <w:t>4.  Condensed Consolidated Balance Sheet Details</w:t>
            </w:r>
          </w:p>
        </w:tc>
        <w:tc>
          <w:tcPr>
            <w:tcW w:w="240" w:type="dxa"/>
            <w:vAlign w:val="bottom"/>
          </w:tcPr>
          <w:p>
            <w:pPr>
              <w:spacing w:after="0"/>
              <w:rPr>
                <w:sz w:val="23"/>
                <w:szCs w:val="23"/>
                <w:color w:val="auto"/>
              </w:rPr>
            </w:pPr>
          </w:p>
        </w:tc>
        <w:tc>
          <w:tcPr>
            <w:tcW w:w="21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2120" w:type="dxa"/>
            <w:vAlign w:val="bottom"/>
          </w:tcPr>
          <w:p>
            <w:pPr>
              <w:spacing w:after="0"/>
              <w:rPr>
                <w:sz w:val="23"/>
                <w:szCs w:val="23"/>
                <w:color w:val="auto"/>
              </w:rPr>
            </w:pPr>
          </w:p>
        </w:tc>
      </w:tr>
      <w:tr>
        <w:trPr>
          <w:trHeight w:val="476"/>
        </w:trPr>
        <w:tc>
          <w:tcPr>
            <w:tcW w:w="6400" w:type="dxa"/>
            <w:vAlign w:val="bottom"/>
          </w:tcPr>
          <w:p>
            <w:pPr>
              <w:spacing w:after="0"/>
              <w:rPr>
                <w:sz w:val="20"/>
                <w:szCs w:val="20"/>
                <w:color w:val="auto"/>
              </w:rPr>
            </w:pPr>
            <w:r>
              <w:rPr>
                <w:rFonts w:ascii="Arial" w:cs="Arial" w:eastAsia="Arial" w:hAnsi="Arial"/>
                <w:sz w:val="20"/>
                <w:szCs w:val="20"/>
                <w:i w:val="1"/>
                <w:iCs w:val="1"/>
                <w:color w:val="auto"/>
              </w:rPr>
              <w:t>Inventories, net</w:t>
            </w:r>
          </w:p>
        </w:tc>
        <w:tc>
          <w:tcPr>
            <w:tcW w:w="24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120" w:type="dxa"/>
            <w:vAlign w:val="bottom"/>
          </w:tcPr>
          <w:p>
            <w:pPr>
              <w:spacing w:after="0"/>
              <w:rPr>
                <w:sz w:val="24"/>
                <w:szCs w:val="24"/>
                <w:color w:val="auto"/>
              </w:rPr>
            </w:pPr>
          </w:p>
        </w:tc>
      </w:tr>
      <w:tr>
        <w:trPr>
          <w:trHeight w:val="364"/>
        </w:trPr>
        <w:tc>
          <w:tcPr>
            <w:tcW w:w="6400" w:type="dxa"/>
            <w:vAlign w:val="bottom"/>
          </w:tcPr>
          <w:p>
            <w:pPr>
              <w:spacing w:after="0"/>
              <w:rPr>
                <w:sz w:val="20"/>
                <w:szCs w:val="20"/>
                <w:color w:val="auto"/>
              </w:rPr>
            </w:pPr>
            <w:r>
              <w:rPr>
                <w:rFonts w:ascii="Arial" w:cs="Arial" w:eastAsia="Arial" w:hAnsi="Arial"/>
                <w:sz w:val="20"/>
                <w:szCs w:val="20"/>
                <w:color w:val="auto"/>
              </w:rPr>
              <w:t>Inventories, net consisted of the following (in thousands):</w:t>
            </w:r>
          </w:p>
        </w:tc>
        <w:tc>
          <w:tcPr>
            <w:tcW w:w="24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120" w:type="dxa"/>
            <w:vAlign w:val="bottom"/>
          </w:tcPr>
          <w:p>
            <w:pPr>
              <w:spacing w:after="0"/>
              <w:rPr>
                <w:sz w:val="24"/>
                <w:szCs w:val="24"/>
                <w:color w:val="auto"/>
              </w:rPr>
            </w:pPr>
          </w:p>
        </w:tc>
      </w:tr>
      <w:tr>
        <w:trPr>
          <w:trHeight w:val="283"/>
        </w:trPr>
        <w:tc>
          <w:tcPr>
            <w:tcW w:w="6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20" w:type="dxa"/>
            <w:vAlign w:val="bottom"/>
            <w:gridSpan w:val="2"/>
          </w:tcPr>
          <w:p>
            <w:pPr>
              <w:ind w:left="40"/>
              <w:spacing w:after="0"/>
              <w:rPr>
                <w:sz w:val="20"/>
                <w:szCs w:val="20"/>
                <w:color w:val="auto"/>
              </w:rPr>
            </w:pPr>
            <w:r>
              <w:rPr>
                <w:rFonts w:ascii="Arial" w:cs="Arial" w:eastAsia="Arial" w:hAnsi="Arial"/>
                <w:sz w:val="20"/>
                <w:szCs w:val="20"/>
                <w:b w:val="1"/>
                <w:bCs w:val="1"/>
                <w:color w:val="auto"/>
              </w:rPr>
              <w:t>September 30, 2025</w:t>
            </w:r>
          </w:p>
        </w:tc>
        <w:tc>
          <w:tcPr>
            <w:tcW w:w="260" w:type="dxa"/>
            <w:vAlign w:val="bottom"/>
          </w:tcPr>
          <w:p>
            <w:pPr>
              <w:spacing w:after="0"/>
              <w:rPr>
                <w:sz w:val="24"/>
                <w:szCs w:val="24"/>
                <w:color w:val="auto"/>
              </w:rPr>
            </w:pPr>
          </w:p>
        </w:tc>
        <w:tc>
          <w:tcPr>
            <w:tcW w:w="2120" w:type="dxa"/>
            <w:vAlign w:val="bottom"/>
          </w:tcPr>
          <w:p>
            <w:pPr>
              <w:jc w:val="right"/>
              <w:ind w:right="201"/>
              <w:spacing w:after="0"/>
              <w:rPr>
                <w:sz w:val="20"/>
                <w:szCs w:val="20"/>
                <w:color w:val="auto"/>
              </w:rPr>
            </w:pPr>
            <w:r>
              <w:rPr>
                <w:rFonts w:ascii="Arial" w:cs="Arial" w:eastAsia="Arial" w:hAnsi="Arial"/>
                <w:sz w:val="20"/>
                <w:szCs w:val="20"/>
                <w:b w:val="1"/>
                <w:bCs w:val="1"/>
                <w:color w:val="auto"/>
                <w:w w:val="99"/>
              </w:rPr>
              <w:t>December 31, 2024</w:t>
            </w:r>
          </w:p>
        </w:tc>
      </w:tr>
      <w:tr>
        <w:trPr>
          <w:trHeight w:val="280"/>
        </w:trPr>
        <w:tc>
          <w:tcPr>
            <w:tcW w:w="64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20"/>
                <w:szCs w:val="20"/>
                <w:color w:val="auto"/>
              </w:rPr>
              <w:t>Raw materials</w:t>
            </w:r>
          </w:p>
        </w:tc>
        <w:tc>
          <w:tcPr>
            <w:tcW w:w="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2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75,144</w:t>
            </w:r>
          </w:p>
        </w:tc>
        <w:tc>
          <w:tcPr>
            <w:tcW w:w="80" w:type="dxa"/>
            <w:vAlign w:val="bottom"/>
            <w:tcBorders>
              <w:top w:val="single" w:sz="8" w:color="CCEEFF"/>
            </w:tcBorders>
            <w:shd w:val="clear" w:color="auto" w:fill="CCEEFF"/>
          </w:tcPr>
          <w:p>
            <w:pPr>
              <w:spacing w:after="0"/>
              <w:rPr>
                <w:sz w:val="24"/>
                <w:szCs w:val="24"/>
                <w:color w:val="auto"/>
              </w:rPr>
            </w:pPr>
          </w:p>
        </w:tc>
        <w:tc>
          <w:tcPr>
            <w:tcW w:w="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2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60,588</w:t>
            </w:r>
          </w:p>
        </w:tc>
      </w:tr>
      <w:tr>
        <w:trPr>
          <w:trHeight w:val="277"/>
        </w:trPr>
        <w:tc>
          <w:tcPr>
            <w:tcW w:w="6400" w:type="dxa"/>
            <w:vAlign w:val="bottom"/>
            <w:tcBorders>
              <w:bottom w:val="single" w:sz="8" w:color="CCEEFF"/>
            </w:tcBorders>
          </w:tcPr>
          <w:p>
            <w:pPr>
              <w:ind w:left="20"/>
              <w:spacing w:after="0"/>
              <w:rPr>
                <w:sz w:val="20"/>
                <w:szCs w:val="20"/>
                <w:color w:val="auto"/>
              </w:rPr>
            </w:pPr>
            <w:r>
              <w:rPr>
                <w:rFonts w:ascii="Arial" w:cs="Arial" w:eastAsia="Arial" w:hAnsi="Arial"/>
                <w:sz w:val="20"/>
                <w:szCs w:val="20"/>
                <w:color w:val="auto"/>
              </w:rPr>
              <w:t>Finished goods</w:t>
            </w:r>
          </w:p>
        </w:tc>
        <w:tc>
          <w:tcPr>
            <w:tcW w:w="240" w:type="dxa"/>
            <w:vAlign w:val="bottom"/>
            <w:tcBorders>
              <w:bottom w:val="single" w:sz="8" w:color="auto"/>
            </w:tcBorders>
          </w:tcPr>
          <w:p>
            <w:pPr>
              <w:spacing w:after="0"/>
              <w:rPr>
                <w:sz w:val="24"/>
                <w:szCs w:val="24"/>
                <w:color w:val="auto"/>
              </w:rPr>
            </w:pPr>
          </w:p>
        </w:tc>
        <w:tc>
          <w:tcPr>
            <w:tcW w:w="21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105,741</w:t>
            </w:r>
          </w:p>
        </w:tc>
        <w:tc>
          <w:tcPr>
            <w:tcW w:w="8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1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140,230</w:t>
            </w:r>
          </w:p>
        </w:tc>
      </w:tr>
      <w:tr>
        <w:trPr>
          <w:trHeight w:val="302"/>
        </w:trPr>
        <w:tc>
          <w:tcPr>
            <w:tcW w:w="640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20"/>
                <w:szCs w:val="20"/>
                <w:color w:val="auto"/>
              </w:rPr>
              <w:t>Total inventories, net</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2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180,885</w:t>
            </w:r>
          </w:p>
        </w:tc>
        <w:tc>
          <w:tcPr>
            <w:tcW w:w="8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2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200,818</w:t>
            </w:r>
          </w:p>
        </w:tc>
      </w:tr>
      <w:tr>
        <w:trPr>
          <w:trHeight w:val="20"/>
        </w:trPr>
        <w:tc>
          <w:tcPr>
            <w:tcW w:w="64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2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2120" w:type="dxa"/>
            <w:vAlign w:val="bottom"/>
            <w:tcBorders>
              <w:top w:val="single" w:sz="8" w:color="CCEEFF"/>
              <w:bottom w:val="single" w:sz="8" w:color="auto"/>
            </w:tcBorders>
          </w:tcPr>
          <w:p>
            <w:pPr>
              <w:spacing w:after="0" w:line="20" w:lineRule="exact"/>
              <w:rPr>
                <w:sz w:val="1"/>
                <w:szCs w:val="1"/>
                <w:color w:val="auto"/>
              </w:rPr>
            </w:pPr>
          </w:p>
        </w:tc>
      </w:tr>
    </w:tbl>
    <w:p>
      <w:pPr>
        <w:spacing w:after="0" w:line="329" w:lineRule="exact"/>
        <w:rPr>
          <w:sz w:val="20"/>
          <w:szCs w:val="20"/>
          <w:color w:val="auto"/>
        </w:rPr>
      </w:pPr>
    </w:p>
    <w:p>
      <w:pPr>
        <w:spacing w:after="0"/>
        <w:rPr>
          <w:sz w:val="20"/>
          <w:szCs w:val="20"/>
          <w:color w:val="auto"/>
        </w:rPr>
      </w:pPr>
      <w:r>
        <w:rPr>
          <w:rFonts w:ascii="Arial" w:cs="Arial" w:eastAsia="Arial" w:hAnsi="Arial"/>
          <w:sz w:val="20"/>
          <w:szCs w:val="20"/>
          <w:color w:val="auto"/>
        </w:rPr>
        <w:t>The Company values inventory using costing methods that approximate a first-in, first-out (“FIFO”) basis.</w:t>
      </w:r>
    </w:p>
    <w:p>
      <w:pPr>
        <w:spacing w:after="0" w:line="256"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Prepaid expenses and other current assets</w:t>
      </w:r>
    </w:p>
    <w:p>
      <w:pPr>
        <w:spacing w:after="0" w:line="121" w:lineRule="exact"/>
        <w:rPr>
          <w:sz w:val="20"/>
          <w:szCs w:val="20"/>
          <w:color w:val="auto"/>
        </w:rPr>
      </w:pPr>
    </w:p>
    <w:p>
      <w:pPr>
        <w:spacing w:after="0"/>
        <w:rPr>
          <w:sz w:val="20"/>
          <w:szCs w:val="20"/>
          <w:color w:val="auto"/>
        </w:rPr>
      </w:pPr>
      <w:r>
        <w:rPr>
          <w:rFonts w:ascii="Arial" w:cs="Arial" w:eastAsia="Arial" w:hAnsi="Arial"/>
          <w:sz w:val="20"/>
          <w:szCs w:val="20"/>
          <w:color w:val="auto"/>
        </w:rPr>
        <w:t>The following table shows the components of Prepaid expenses and other current assets (in thousands):</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77"/>
        </w:trPr>
        <w:tc>
          <w:tcPr>
            <w:tcW w:w="6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20" w:type="dxa"/>
            <w:vAlign w:val="bottom"/>
            <w:gridSpan w:val="2"/>
          </w:tcPr>
          <w:p>
            <w:pPr>
              <w:ind w:left="60"/>
              <w:spacing w:after="0"/>
              <w:rPr>
                <w:sz w:val="20"/>
                <w:szCs w:val="20"/>
                <w:color w:val="auto"/>
              </w:rPr>
            </w:pPr>
            <w:r>
              <w:rPr>
                <w:rFonts w:ascii="Arial" w:cs="Arial" w:eastAsia="Arial" w:hAnsi="Arial"/>
                <w:sz w:val="20"/>
                <w:szCs w:val="20"/>
                <w:b w:val="1"/>
                <w:bCs w:val="1"/>
                <w:color w:val="auto"/>
              </w:rPr>
              <w:t>September 30, 2025</w:t>
            </w:r>
          </w:p>
        </w:tc>
        <w:tc>
          <w:tcPr>
            <w:tcW w:w="180" w:type="dxa"/>
            <w:vAlign w:val="bottom"/>
          </w:tcPr>
          <w:p>
            <w:pPr>
              <w:spacing w:after="0"/>
              <w:rPr>
                <w:sz w:val="24"/>
                <w:szCs w:val="24"/>
                <w:color w:val="auto"/>
              </w:rPr>
            </w:pPr>
          </w:p>
        </w:tc>
        <w:tc>
          <w:tcPr>
            <w:tcW w:w="2120" w:type="dxa"/>
            <w:vAlign w:val="bottom"/>
          </w:tcPr>
          <w:p>
            <w:pPr>
              <w:jc w:val="right"/>
              <w:ind w:right="161"/>
              <w:spacing w:after="0"/>
              <w:rPr>
                <w:sz w:val="20"/>
                <w:szCs w:val="20"/>
                <w:color w:val="auto"/>
              </w:rPr>
            </w:pPr>
            <w:r>
              <w:rPr>
                <w:rFonts w:ascii="Arial" w:cs="Arial" w:eastAsia="Arial" w:hAnsi="Arial"/>
                <w:sz w:val="20"/>
                <w:szCs w:val="20"/>
                <w:b w:val="1"/>
                <w:bCs w:val="1"/>
                <w:color w:val="auto"/>
              </w:rPr>
              <w:t>December 31, 2024</w:t>
            </w:r>
          </w:p>
        </w:tc>
        <w:tc>
          <w:tcPr>
            <w:tcW w:w="0" w:type="dxa"/>
            <w:vAlign w:val="bottom"/>
          </w:tcPr>
          <w:p>
            <w:pPr>
              <w:spacing w:after="0"/>
              <w:rPr>
                <w:sz w:val="1"/>
                <w:szCs w:val="1"/>
                <w:color w:val="auto"/>
              </w:rPr>
            </w:pPr>
          </w:p>
        </w:tc>
      </w:tr>
      <w:tr>
        <w:trPr>
          <w:trHeight w:val="267"/>
        </w:trPr>
        <w:tc>
          <w:tcPr>
            <w:tcW w:w="65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20"/>
                <w:szCs w:val="20"/>
                <w:color w:val="auto"/>
              </w:rPr>
              <w:t>IRA vendor rebates</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214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20"/>
                <w:szCs w:val="20"/>
                <w:color w:val="auto"/>
              </w:rPr>
              <w:t>42,742</w:t>
            </w:r>
          </w:p>
        </w:tc>
        <w:tc>
          <w:tcPr>
            <w:tcW w:w="80" w:type="dxa"/>
            <w:vAlign w:val="bottom"/>
            <w:tcBorders>
              <w:top w:val="single" w:sz="8" w:color="CCEEFF"/>
            </w:tcBorders>
            <w:shd w:val="clear" w:color="auto" w:fill="CCEEFF"/>
          </w:tcPr>
          <w:p>
            <w:pPr>
              <w:spacing w:after="0"/>
              <w:rPr>
                <w:sz w:val="23"/>
                <w:szCs w:val="23"/>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w w:val="89"/>
              </w:rPr>
              <w:t>$</w:t>
            </w:r>
          </w:p>
        </w:tc>
        <w:tc>
          <w:tcPr>
            <w:tcW w:w="2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115,458</w:t>
            </w:r>
          </w:p>
        </w:tc>
        <w:tc>
          <w:tcPr>
            <w:tcW w:w="0" w:type="dxa"/>
            <w:vAlign w:val="bottom"/>
          </w:tcPr>
          <w:p>
            <w:pPr>
              <w:spacing w:after="0"/>
              <w:rPr>
                <w:sz w:val="1"/>
                <w:szCs w:val="1"/>
                <w:color w:val="auto"/>
              </w:rPr>
            </w:pPr>
          </w:p>
        </w:tc>
      </w:tr>
      <w:tr>
        <w:trPr>
          <w:trHeight w:val="282"/>
        </w:trPr>
        <w:tc>
          <w:tcPr>
            <w:tcW w:w="6540" w:type="dxa"/>
            <w:vAlign w:val="bottom"/>
          </w:tcPr>
          <w:p>
            <w:pPr>
              <w:ind w:left="20"/>
              <w:spacing w:after="0"/>
              <w:rPr>
                <w:sz w:val="20"/>
                <w:szCs w:val="20"/>
                <w:color w:val="auto"/>
              </w:rPr>
            </w:pPr>
            <w:r>
              <w:rPr>
                <w:rFonts w:ascii="Arial" w:cs="Arial" w:eastAsia="Arial" w:hAnsi="Arial"/>
                <w:sz w:val="20"/>
                <w:szCs w:val="20"/>
                <w:color w:val="auto"/>
              </w:rPr>
              <w:t>Prepaid taxes</w:t>
            </w:r>
          </w:p>
        </w:tc>
        <w:tc>
          <w:tcPr>
            <w:tcW w:w="180" w:type="dxa"/>
            <w:vAlign w:val="bottom"/>
          </w:tcPr>
          <w:p>
            <w:pPr>
              <w:spacing w:after="0"/>
              <w:rPr>
                <w:sz w:val="24"/>
                <w:szCs w:val="24"/>
                <w:color w:val="auto"/>
              </w:rPr>
            </w:pPr>
          </w:p>
        </w:tc>
        <w:tc>
          <w:tcPr>
            <w:tcW w:w="2140" w:type="dxa"/>
            <w:vAlign w:val="bottom"/>
          </w:tcPr>
          <w:p>
            <w:pPr>
              <w:jc w:val="right"/>
              <w:ind w:right="1"/>
              <w:spacing w:after="0"/>
              <w:rPr>
                <w:sz w:val="20"/>
                <w:szCs w:val="20"/>
                <w:color w:val="auto"/>
              </w:rPr>
            </w:pPr>
            <w:r>
              <w:rPr>
                <w:rFonts w:ascii="Arial" w:cs="Arial" w:eastAsia="Arial" w:hAnsi="Arial"/>
                <w:sz w:val="20"/>
                <w:szCs w:val="20"/>
                <w:color w:val="auto"/>
              </w:rPr>
              <w:t>24,088</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120" w:type="dxa"/>
            <w:vAlign w:val="bottom"/>
          </w:tcPr>
          <w:p>
            <w:pPr>
              <w:jc w:val="right"/>
              <w:spacing w:after="0"/>
              <w:rPr>
                <w:sz w:val="20"/>
                <w:szCs w:val="20"/>
                <w:color w:val="auto"/>
              </w:rPr>
            </w:pPr>
            <w:r>
              <w:rPr>
                <w:rFonts w:ascii="Arial" w:cs="Arial" w:eastAsia="Arial" w:hAnsi="Arial"/>
                <w:sz w:val="20"/>
                <w:szCs w:val="20"/>
                <w:color w:val="auto"/>
              </w:rPr>
              <w:t>14,650</w:t>
            </w:r>
          </w:p>
        </w:tc>
        <w:tc>
          <w:tcPr>
            <w:tcW w:w="0" w:type="dxa"/>
            <w:vAlign w:val="bottom"/>
          </w:tcPr>
          <w:p>
            <w:pPr>
              <w:spacing w:after="0"/>
              <w:rPr>
                <w:sz w:val="1"/>
                <w:szCs w:val="1"/>
                <w:color w:val="auto"/>
              </w:rPr>
            </w:pPr>
          </w:p>
        </w:tc>
      </w:tr>
      <w:tr>
        <w:trPr>
          <w:trHeight w:val="283"/>
        </w:trPr>
        <w:tc>
          <w:tcPr>
            <w:tcW w:w="6540" w:type="dxa"/>
            <w:vAlign w:val="bottom"/>
            <w:shd w:val="clear" w:color="auto" w:fill="CCEEFF"/>
          </w:tcPr>
          <w:p>
            <w:pPr>
              <w:ind w:left="20"/>
              <w:spacing w:after="0"/>
              <w:rPr>
                <w:sz w:val="20"/>
                <w:szCs w:val="20"/>
                <w:color w:val="auto"/>
              </w:rPr>
            </w:pPr>
            <w:r>
              <w:rPr>
                <w:rFonts w:ascii="Arial" w:cs="Arial" w:eastAsia="Arial" w:hAnsi="Arial"/>
                <w:sz w:val="20"/>
                <w:szCs w:val="20"/>
                <w:color w:val="auto"/>
              </w:rPr>
              <w:t>Other</w:t>
            </w:r>
          </w:p>
        </w:tc>
        <w:tc>
          <w:tcPr>
            <w:tcW w:w="180" w:type="dxa"/>
            <w:vAlign w:val="bottom"/>
            <w:tcBorders>
              <w:bottom w:val="single" w:sz="8" w:color="auto"/>
            </w:tcBorders>
            <w:shd w:val="clear" w:color="auto" w:fill="CCEEFF"/>
          </w:tcPr>
          <w:p>
            <w:pPr>
              <w:spacing w:after="0"/>
              <w:rPr>
                <w:sz w:val="24"/>
                <w:szCs w:val="24"/>
                <w:color w:val="auto"/>
              </w:rPr>
            </w:pPr>
          </w:p>
        </w:tc>
        <w:tc>
          <w:tcPr>
            <w:tcW w:w="21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20"/>
                <w:szCs w:val="20"/>
                <w:color w:val="auto"/>
              </w:rPr>
              <w:t>17,139</w:t>
            </w:r>
          </w:p>
        </w:tc>
        <w:tc>
          <w:tcPr>
            <w:tcW w:w="80" w:type="dxa"/>
            <w:vAlign w:val="bottom"/>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spacing w:after="0"/>
              <w:rPr>
                <w:sz w:val="24"/>
                <w:szCs w:val="24"/>
                <w:color w:val="auto"/>
              </w:rPr>
            </w:pPr>
          </w:p>
        </w:tc>
        <w:tc>
          <w:tcPr>
            <w:tcW w:w="2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27,819</w:t>
            </w:r>
          </w:p>
        </w:tc>
        <w:tc>
          <w:tcPr>
            <w:tcW w:w="0" w:type="dxa"/>
            <w:vAlign w:val="bottom"/>
          </w:tcPr>
          <w:p>
            <w:pPr>
              <w:spacing w:after="0"/>
              <w:rPr>
                <w:sz w:val="1"/>
                <w:szCs w:val="1"/>
                <w:color w:val="auto"/>
              </w:rPr>
            </w:pPr>
          </w:p>
        </w:tc>
      </w:tr>
      <w:tr>
        <w:trPr>
          <w:trHeight w:val="252"/>
        </w:trPr>
        <w:tc>
          <w:tcPr>
            <w:tcW w:w="6540" w:type="dxa"/>
            <w:vAlign w:val="bottom"/>
          </w:tcPr>
          <w:p>
            <w:pPr>
              <w:ind w:left="240"/>
              <w:spacing w:after="0"/>
              <w:rPr>
                <w:sz w:val="20"/>
                <w:szCs w:val="20"/>
                <w:color w:val="auto"/>
              </w:rPr>
            </w:pPr>
            <w:r>
              <w:rPr>
                <w:rFonts w:ascii="Arial" w:cs="Arial" w:eastAsia="Arial" w:hAnsi="Arial"/>
                <w:sz w:val="20"/>
                <w:szCs w:val="20"/>
                <w:color w:val="auto"/>
              </w:rPr>
              <w:t>Total prepaid expenses and other current assets</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2140" w:type="dxa"/>
            <w:vAlign w:val="bottom"/>
            <w:tcBorders>
              <w:bottom w:val="single" w:sz="8" w:color="auto"/>
            </w:tcBorders>
          </w:tcPr>
          <w:p>
            <w:pPr>
              <w:jc w:val="right"/>
              <w:ind w:right="1"/>
              <w:spacing w:after="0"/>
              <w:rPr>
                <w:sz w:val="20"/>
                <w:szCs w:val="20"/>
                <w:color w:val="auto"/>
              </w:rPr>
            </w:pPr>
            <w:r>
              <w:rPr>
                <w:rFonts w:ascii="Arial" w:cs="Arial" w:eastAsia="Arial" w:hAnsi="Arial"/>
                <w:sz w:val="20"/>
                <w:szCs w:val="20"/>
                <w:color w:val="auto"/>
              </w:rPr>
              <w:t>83,969</w:t>
            </w:r>
          </w:p>
        </w:tc>
        <w:tc>
          <w:tcPr>
            <w:tcW w:w="80" w:type="dxa"/>
            <w:vAlign w:val="bottom"/>
          </w:tcPr>
          <w:p>
            <w:pPr>
              <w:spacing w:after="0"/>
              <w:rPr>
                <w:sz w:val="21"/>
                <w:szCs w:val="21"/>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w w:val="89"/>
              </w:rPr>
              <w:t>$</w:t>
            </w:r>
          </w:p>
        </w:tc>
        <w:tc>
          <w:tcPr>
            <w:tcW w:w="21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157,927</w:t>
            </w:r>
          </w:p>
        </w:tc>
        <w:tc>
          <w:tcPr>
            <w:tcW w:w="0" w:type="dxa"/>
            <w:vAlign w:val="bottom"/>
          </w:tcPr>
          <w:p>
            <w:pPr>
              <w:spacing w:after="0"/>
              <w:rPr>
                <w:sz w:val="1"/>
                <w:szCs w:val="1"/>
                <w:color w:val="auto"/>
              </w:rPr>
            </w:pPr>
          </w:p>
        </w:tc>
      </w:tr>
      <w:tr>
        <w:trPr>
          <w:trHeight w:val="21"/>
        </w:trPr>
        <w:tc>
          <w:tcPr>
            <w:tcW w:w="6540" w:type="dxa"/>
            <w:vAlign w:val="bottom"/>
            <w:vMerge w:val="restart"/>
          </w:tcPr>
          <w:p>
            <w:pPr>
              <w:spacing w:after="0"/>
              <w:rPr>
                <w:sz w:val="20"/>
                <w:szCs w:val="20"/>
                <w:color w:val="auto"/>
              </w:rPr>
            </w:pPr>
            <w:r>
              <w:rPr>
                <w:rFonts w:ascii="Arial" w:cs="Arial" w:eastAsia="Arial" w:hAnsi="Arial"/>
                <w:sz w:val="20"/>
                <w:szCs w:val="20"/>
                <w:i w:val="1"/>
                <w:iCs w:val="1"/>
                <w:color w:val="auto"/>
              </w:rPr>
              <w:t>Other assets</w:t>
            </w:r>
          </w:p>
        </w:tc>
        <w:tc>
          <w:tcPr>
            <w:tcW w:w="180" w:type="dxa"/>
            <w:vAlign w:val="bottom"/>
            <w:tcBorders>
              <w:bottom w:val="single" w:sz="8" w:color="auto"/>
            </w:tcBorders>
          </w:tcPr>
          <w:p>
            <w:pPr>
              <w:spacing w:after="0" w:line="20" w:lineRule="exact"/>
              <w:rPr>
                <w:sz w:val="1"/>
                <w:szCs w:val="1"/>
                <w:color w:val="auto"/>
              </w:rPr>
            </w:pPr>
          </w:p>
        </w:tc>
        <w:tc>
          <w:tcPr>
            <w:tcW w:w="2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70"/>
        </w:trPr>
        <w:tc>
          <w:tcPr>
            <w:tcW w:w="654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6540" w:type="dxa"/>
            <w:vAlign w:val="bottom"/>
          </w:tcPr>
          <w:p>
            <w:pPr>
              <w:spacing w:after="0"/>
              <w:rPr>
                <w:sz w:val="20"/>
                <w:szCs w:val="20"/>
                <w:color w:val="auto"/>
              </w:rPr>
            </w:pPr>
            <w:r>
              <w:rPr>
                <w:rFonts w:ascii="Arial" w:cs="Arial" w:eastAsia="Arial" w:hAnsi="Arial"/>
                <w:sz w:val="20"/>
                <w:szCs w:val="20"/>
                <w:color w:val="auto"/>
                <w:w w:val="99"/>
              </w:rPr>
              <w:t>The following table shows the components of Other assets (in thousands):</w:t>
            </w:r>
          </w:p>
        </w:tc>
        <w:tc>
          <w:tcPr>
            <w:tcW w:w="18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6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20" w:type="dxa"/>
            <w:vAlign w:val="bottom"/>
            <w:gridSpan w:val="2"/>
          </w:tcPr>
          <w:p>
            <w:pPr>
              <w:ind w:left="60"/>
              <w:spacing w:after="0"/>
              <w:rPr>
                <w:sz w:val="20"/>
                <w:szCs w:val="20"/>
                <w:color w:val="auto"/>
              </w:rPr>
            </w:pPr>
            <w:r>
              <w:rPr>
                <w:rFonts w:ascii="Arial" w:cs="Arial" w:eastAsia="Arial" w:hAnsi="Arial"/>
                <w:sz w:val="20"/>
                <w:szCs w:val="20"/>
                <w:b w:val="1"/>
                <w:bCs w:val="1"/>
                <w:color w:val="auto"/>
              </w:rPr>
              <w:t>September 30, 2025</w:t>
            </w:r>
          </w:p>
        </w:tc>
        <w:tc>
          <w:tcPr>
            <w:tcW w:w="180" w:type="dxa"/>
            <w:vAlign w:val="bottom"/>
          </w:tcPr>
          <w:p>
            <w:pPr>
              <w:spacing w:after="0"/>
              <w:rPr>
                <w:sz w:val="24"/>
                <w:szCs w:val="24"/>
                <w:color w:val="auto"/>
              </w:rPr>
            </w:pPr>
          </w:p>
        </w:tc>
        <w:tc>
          <w:tcPr>
            <w:tcW w:w="2120" w:type="dxa"/>
            <w:vAlign w:val="bottom"/>
          </w:tcPr>
          <w:p>
            <w:pPr>
              <w:jc w:val="right"/>
              <w:ind w:right="161"/>
              <w:spacing w:after="0"/>
              <w:rPr>
                <w:sz w:val="20"/>
                <w:szCs w:val="20"/>
                <w:color w:val="auto"/>
              </w:rPr>
            </w:pPr>
            <w:r>
              <w:rPr>
                <w:rFonts w:ascii="Arial" w:cs="Arial" w:eastAsia="Arial" w:hAnsi="Arial"/>
                <w:sz w:val="20"/>
                <w:szCs w:val="20"/>
                <w:b w:val="1"/>
                <w:bCs w:val="1"/>
                <w:color w:val="auto"/>
              </w:rPr>
              <w:t>December 31, 2024</w:t>
            </w:r>
          </w:p>
        </w:tc>
        <w:tc>
          <w:tcPr>
            <w:tcW w:w="0" w:type="dxa"/>
            <w:vAlign w:val="bottom"/>
          </w:tcPr>
          <w:p>
            <w:pPr>
              <w:spacing w:after="0"/>
              <w:rPr>
                <w:sz w:val="1"/>
                <w:szCs w:val="1"/>
                <w:color w:val="auto"/>
              </w:rPr>
            </w:pPr>
          </w:p>
        </w:tc>
      </w:tr>
      <w:tr>
        <w:trPr>
          <w:trHeight w:val="267"/>
        </w:trPr>
        <w:tc>
          <w:tcPr>
            <w:tcW w:w="65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20"/>
                <w:szCs w:val="20"/>
                <w:color w:val="auto"/>
              </w:rPr>
              <w:t>IRA vendor rebates</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214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20"/>
                <w:szCs w:val="20"/>
                <w:color w:val="auto"/>
              </w:rPr>
              <w:t>110,593</w:t>
            </w:r>
          </w:p>
        </w:tc>
        <w:tc>
          <w:tcPr>
            <w:tcW w:w="80" w:type="dxa"/>
            <w:vAlign w:val="bottom"/>
            <w:tcBorders>
              <w:top w:val="single" w:sz="8" w:color="CCEEFF"/>
            </w:tcBorders>
            <w:shd w:val="clear" w:color="auto" w:fill="CCEEFF"/>
          </w:tcPr>
          <w:p>
            <w:pPr>
              <w:spacing w:after="0"/>
              <w:rPr>
                <w:sz w:val="23"/>
                <w:szCs w:val="23"/>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w w:val="89"/>
              </w:rPr>
              <w:t>$</w:t>
            </w:r>
          </w:p>
        </w:tc>
        <w:tc>
          <w:tcPr>
            <w:tcW w:w="2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82"/>
        </w:trPr>
        <w:tc>
          <w:tcPr>
            <w:tcW w:w="6540" w:type="dxa"/>
            <w:vAlign w:val="bottom"/>
            <w:tcBorders>
              <w:bottom w:val="single" w:sz="8" w:color="CCEEFF"/>
            </w:tcBorders>
          </w:tcPr>
          <w:p>
            <w:pPr>
              <w:ind w:left="20"/>
              <w:spacing w:after="0"/>
              <w:rPr>
                <w:sz w:val="20"/>
                <w:szCs w:val="20"/>
                <w:color w:val="auto"/>
              </w:rPr>
            </w:pPr>
            <w:r>
              <w:rPr>
                <w:rFonts w:ascii="Arial" w:cs="Arial" w:eastAsia="Arial" w:hAnsi="Arial"/>
                <w:sz w:val="20"/>
                <w:szCs w:val="20"/>
                <w:color w:val="auto"/>
              </w:rPr>
              <w:t>Other</w:t>
            </w:r>
          </w:p>
        </w:tc>
        <w:tc>
          <w:tcPr>
            <w:tcW w:w="180" w:type="dxa"/>
            <w:vAlign w:val="bottom"/>
            <w:tcBorders>
              <w:bottom w:val="single" w:sz="8" w:color="auto"/>
            </w:tcBorders>
          </w:tcPr>
          <w:p>
            <w:pPr>
              <w:spacing w:after="0"/>
              <w:rPr>
                <w:sz w:val="24"/>
                <w:szCs w:val="24"/>
                <w:color w:val="auto"/>
              </w:rPr>
            </w:pPr>
          </w:p>
        </w:tc>
        <w:tc>
          <w:tcPr>
            <w:tcW w:w="2140" w:type="dxa"/>
            <w:vAlign w:val="bottom"/>
            <w:tcBorders>
              <w:bottom w:val="single" w:sz="8" w:color="auto"/>
            </w:tcBorders>
          </w:tcPr>
          <w:p>
            <w:pPr>
              <w:jc w:val="right"/>
              <w:ind w:right="1"/>
              <w:spacing w:after="0"/>
              <w:rPr>
                <w:sz w:val="20"/>
                <w:szCs w:val="20"/>
                <w:color w:val="auto"/>
              </w:rPr>
            </w:pPr>
            <w:r>
              <w:rPr>
                <w:rFonts w:ascii="Arial" w:cs="Arial" w:eastAsia="Arial" w:hAnsi="Arial"/>
                <w:sz w:val="20"/>
                <w:szCs w:val="20"/>
                <w:color w:val="auto"/>
              </w:rPr>
              <w:t>72,344</w:t>
            </w:r>
          </w:p>
        </w:tc>
        <w:tc>
          <w:tcPr>
            <w:tcW w:w="8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1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41,701</w:t>
            </w:r>
          </w:p>
        </w:tc>
        <w:tc>
          <w:tcPr>
            <w:tcW w:w="0" w:type="dxa"/>
            <w:vAlign w:val="bottom"/>
          </w:tcPr>
          <w:p>
            <w:pPr>
              <w:spacing w:after="0"/>
              <w:rPr>
                <w:sz w:val="1"/>
                <w:szCs w:val="1"/>
                <w:color w:val="auto"/>
              </w:rPr>
            </w:pPr>
          </w:p>
        </w:tc>
      </w:tr>
      <w:tr>
        <w:trPr>
          <w:trHeight w:val="277"/>
        </w:trPr>
        <w:tc>
          <w:tcPr>
            <w:tcW w:w="654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20"/>
                <w:szCs w:val="20"/>
                <w:color w:val="auto"/>
              </w:rPr>
              <w:t>Total other assets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21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20"/>
                <w:szCs w:val="20"/>
                <w:color w:val="auto"/>
              </w:rPr>
              <w:t>182,937</w:t>
            </w:r>
          </w:p>
        </w:tc>
        <w:tc>
          <w:tcPr>
            <w:tcW w:w="8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w w:val="89"/>
              </w:rPr>
              <w:t>$</w:t>
            </w:r>
          </w:p>
        </w:tc>
        <w:tc>
          <w:tcPr>
            <w:tcW w:w="2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41,701</w:t>
            </w:r>
          </w:p>
        </w:tc>
        <w:tc>
          <w:tcPr>
            <w:tcW w:w="0" w:type="dxa"/>
            <w:vAlign w:val="bottom"/>
          </w:tcPr>
          <w:p>
            <w:pPr>
              <w:spacing w:after="0"/>
              <w:rPr>
                <w:sz w:val="1"/>
                <w:szCs w:val="1"/>
                <w:color w:val="auto"/>
              </w:rPr>
            </w:pPr>
          </w:p>
        </w:tc>
      </w:tr>
      <w:tr>
        <w:trPr>
          <w:trHeight w:val="20"/>
        </w:trPr>
        <w:tc>
          <w:tcPr>
            <w:tcW w:w="654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20"/>
                <w:szCs w:val="20"/>
                <w:i w:val="1"/>
                <w:iCs w:val="1"/>
                <w:color w:val="auto"/>
              </w:rPr>
              <w:t>Contingent consideration</w:t>
            </w: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2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2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65"/>
        </w:trPr>
        <w:tc>
          <w:tcPr>
            <w:tcW w:w="654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8940" w:type="dxa"/>
            <w:vAlign w:val="bottom"/>
            <w:gridSpan w:val="4"/>
          </w:tcPr>
          <w:p>
            <w:pPr>
              <w:spacing w:after="0"/>
              <w:rPr>
                <w:sz w:val="20"/>
                <w:szCs w:val="20"/>
                <w:color w:val="auto"/>
              </w:rPr>
            </w:pPr>
            <w:r>
              <w:rPr>
                <w:rFonts w:ascii="Arial" w:cs="Arial" w:eastAsia="Arial" w:hAnsi="Arial"/>
                <w:sz w:val="20"/>
                <w:szCs w:val="20"/>
                <w:color w:val="auto"/>
              </w:rPr>
              <w:t>The following table shows the components of contingent consideration (in thousands):</w:t>
            </w:r>
          </w:p>
        </w:tc>
        <w:tc>
          <w:tcPr>
            <w:tcW w:w="18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6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20" w:type="dxa"/>
            <w:vAlign w:val="bottom"/>
            <w:gridSpan w:val="2"/>
          </w:tcPr>
          <w:p>
            <w:pPr>
              <w:ind w:left="60"/>
              <w:spacing w:after="0"/>
              <w:rPr>
                <w:sz w:val="20"/>
                <w:szCs w:val="20"/>
                <w:color w:val="auto"/>
              </w:rPr>
            </w:pPr>
            <w:r>
              <w:rPr>
                <w:rFonts w:ascii="Arial" w:cs="Arial" w:eastAsia="Arial" w:hAnsi="Arial"/>
                <w:sz w:val="20"/>
                <w:szCs w:val="20"/>
                <w:b w:val="1"/>
                <w:bCs w:val="1"/>
                <w:color w:val="auto"/>
              </w:rPr>
              <w:t>September 30, 2025</w:t>
            </w:r>
          </w:p>
        </w:tc>
        <w:tc>
          <w:tcPr>
            <w:tcW w:w="180" w:type="dxa"/>
            <w:vAlign w:val="bottom"/>
          </w:tcPr>
          <w:p>
            <w:pPr>
              <w:spacing w:after="0"/>
              <w:rPr>
                <w:sz w:val="24"/>
                <w:szCs w:val="24"/>
                <w:color w:val="auto"/>
              </w:rPr>
            </w:pPr>
          </w:p>
        </w:tc>
        <w:tc>
          <w:tcPr>
            <w:tcW w:w="2120" w:type="dxa"/>
            <w:vAlign w:val="bottom"/>
          </w:tcPr>
          <w:p>
            <w:pPr>
              <w:jc w:val="right"/>
              <w:ind w:right="161"/>
              <w:spacing w:after="0"/>
              <w:rPr>
                <w:sz w:val="20"/>
                <w:szCs w:val="20"/>
                <w:color w:val="auto"/>
              </w:rPr>
            </w:pPr>
            <w:r>
              <w:rPr>
                <w:rFonts w:ascii="Arial" w:cs="Arial" w:eastAsia="Arial" w:hAnsi="Arial"/>
                <w:sz w:val="20"/>
                <w:szCs w:val="20"/>
                <w:b w:val="1"/>
                <w:bCs w:val="1"/>
                <w:color w:val="auto"/>
              </w:rPr>
              <w:t>December 31, 2024</w:t>
            </w:r>
          </w:p>
        </w:tc>
        <w:tc>
          <w:tcPr>
            <w:tcW w:w="0" w:type="dxa"/>
            <w:vAlign w:val="bottom"/>
          </w:tcPr>
          <w:p>
            <w:pPr>
              <w:spacing w:after="0"/>
              <w:rPr>
                <w:sz w:val="1"/>
                <w:szCs w:val="1"/>
                <w:color w:val="auto"/>
              </w:rPr>
            </w:pPr>
          </w:p>
        </w:tc>
      </w:tr>
      <w:tr>
        <w:trPr>
          <w:trHeight w:val="267"/>
        </w:trPr>
        <w:tc>
          <w:tcPr>
            <w:tcW w:w="65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20"/>
                <w:szCs w:val="20"/>
                <w:color w:val="auto"/>
              </w:rPr>
              <w:t>Current portion of contingent consideration</w:t>
            </w:r>
          </w:p>
        </w:tc>
        <w:tc>
          <w:tcPr>
            <w:tcW w:w="180" w:type="dxa"/>
            <w:vAlign w:val="bottom"/>
            <w:tcBorders>
              <w:top w:val="single" w:sz="8" w:color="auto"/>
            </w:tcBorders>
            <w:shd w:val="clear" w:color="auto" w:fill="CCEEFF"/>
          </w:tcPr>
          <w:p>
            <w:pPr>
              <w:spacing w:after="0"/>
              <w:rPr>
                <w:sz w:val="23"/>
                <w:szCs w:val="23"/>
                <w:color w:val="auto"/>
              </w:rPr>
            </w:pPr>
          </w:p>
        </w:tc>
        <w:tc>
          <w:tcPr>
            <w:tcW w:w="2140" w:type="dxa"/>
            <w:vAlign w:val="bottom"/>
            <w:tcBorders>
              <w:top w:val="single" w:sz="8" w:color="auto"/>
            </w:tcBorders>
            <w:shd w:val="clear" w:color="auto" w:fill="CCEEFF"/>
          </w:tcPr>
          <w:p>
            <w:pPr>
              <w:spacing w:after="0"/>
              <w:rPr>
                <w:sz w:val="23"/>
                <w:szCs w:val="23"/>
                <w:color w:val="auto"/>
              </w:rPr>
            </w:pPr>
          </w:p>
        </w:tc>
        <w:tc>
          <w:tcPr>
            <w:tcW w:w="80" w:type="dxa"/>
            <w:vAlign w:val="bottom"/>
            <w:tcBorders>
              <w:top w:val="single" w:sz="8" w:color="CCEEFF"/>
            </w:tcBorders>
            <w:shd w:val="clear" w:color="auto" w:fill="CCEEFF"/>
          </w:tcPr>
          <w:p>
            <w:pPr>
              <w:spacing w:after="0"/>
              <w:rPr>
                <w:sz w:val="23"/>
                <w:szCs w:val="23"/>
                <w:color w:val="auto"/>
              </w:rPr>
            </w:pPr>
          </w:p>
        </w:tc>
        <w:tc>
          <w:tcPr>
            <w:tcW w:w="180" w:type="dxa"/>
            <w:vAlign w:val="bottom"/>
            <w:tcBorders>
              <w:top w:val="single" w:sz="8" w:color="auto"/>
            </w:tcBorders>
            <w:shd w:val="clear" w:color="auto" w:fill="CCEEFF"/>
          </w:tcPr>
          <w:p>
            <w:pPr>
              <w:spacing w:after="0"/>
              <w:rPr>
                <w:sz w:val="23"/>
                <w:szCs w:val="23"/>
                <w:color w:val="auto"/>
              </w:rPr>
            </w:pPr>
          </w:p>
        </w:tc>
        <w:tc>
          <w:tcPr>
            <w:tcW w:w="2120" w:type="dxa"/>
            <w:vAlign w:val="bottom"/>
            <w:tcBorders>
              <w:top w:val="single" w:sz="8" w:color="auto"/>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82"/>
        </w:trPr>
        <w:tc>
          <w:tcPr>
            <w:tcW w:w="6540" w:type="dxa"/>
            <w:vAlign w:val="bottom"/>
          </w:tcPr>
          <w:p>
            <w:pPr>
              <w:ind w:left="140"/>
              <w:spacing w:after="0"/>
              <w:rPr>
                <w:sz w:val="20"/>
                <w:szCs w:val="20"/>
                <w:color w:val="auto"/>
              </w:rPr>
            </w:pPr>
            <w:r>
              <w:rPr>
                <w:rFonts w:ascii="Arial" w:cs="Arial" w:eastAsia="Arial" w:hAnsi="Arial"/>
                <w:sz w:val="20"/>
                <w:szCs w:val="20"/>
                <w:color w:val="auto"/>
              </w:rPr>
              <w:t>TRA</w:t>
            </w:r>
          </w:p>
        </w:tc>
        <w:tc>
          <w:tcPr>
            <w:tcW w:w="180" w:type="dxa"/>
            <w:vAlign w:val="bottom"/>
          </w:tcPr>
          <w:p>
            <w:pPr>
              <w:jc w:val="right"/>
              <w:spacing w:after="0"/>
              <w:rPr>
                <w:sz w:val="20"/>
                <w:szCs w:val="20"/>
                <w:color w:val="auto"/>
              </w:rPr>
            </w:pPr>
            <w:r>
              <w:rPr>
                <w:rFonts w:ascii="Arial" w:cs="Arial" w:eastAsia="Arial" w:hAnsi="Arial"/>
                <w:sz w:val="20"/>
                <w:szCs w:val="20"/>
                <w:color w:val="auto"/>
              </w:rPr>
              <w:t>$</w:t>
            </w:r>
          </w:p>
        </w:tc>
        <w:tc>
          <w:tcPr>
            <w:tcW w:w="2140" w:type="dxa"/>
            <w:vAlign w:val="bottom"/>
          </w:tcPr>
          <w:p>
            <w:pPr>
              <w:jc w:val="right"/>
              <w:ind w:right="1"/>
              <w:spacing w:after="0"/>
              <w:rPr>
                <w:sz w:val="20"/>
                <w:szCs w:val="20"/>
                <w:color w:val="auto"/>
              </w:rPr>
            </w:pPr>
            <w:r>
              <w:rPr>
                <w:rFonts w:ascii="Arial" w:cs="Arial" w:eastAsia="Arial" w:hAnsi="Arial"/>
                <w:sz w:val="20"/>
                <w:szCs w:val="20"/>
                <w:color w:val="auto"/>
              </w:rPr>
              <w:t>3,093</w:t>
            </w:r>
          </w:p>
        </w:tc>
        <w:tc>
          <w:tcPr>
            <w:tcW w:w="8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Arial" w:cs="Arial" w:eastAsia="Arial" w:hAnsi="Arial"/>
                <w:sz w:val="20"/>
                <w:szCs w:val="20"/>
                <w:color w:val="auto"/>
                <w:w w:val="89"/>
              </w:rPr>
              <w:t>$</w:t>
            </w:r>
          </w:p>
        </w:tc>
        <w:tc>
          <w:tcPr>
            <w:tcW w:w="2120" w:type="dxa"/>
            <w:vAlign w:val="bottom"/>
          </w:tcPr>
          <w:p>
            <w:pPr>
              <w:jc w:val="right"/>
              <w:spacing w:after="0"/>
              <w:rPr>
                <w:sz w:val="20"/>
                <w:szCs w:val="20"/>
                <w:color w:val="auto"/>
              </w:rPr>
            </w:pPr>
            <w:r>
              <w:rPr>
                <w:rFonts w:ascii="Arial" w:cs="Arial" w:eastAsia="Arial" w:hAnsi="Arial"/>
                <w:sz w:val="20"/>
                <w:szCs w:val="20"/>
                <w:color w:val="auto"/>
              </w:rPr>
              <w:t>1,193</w:t>
            </w:r>
          </w:p>
        </w:tc>
        <w:tc>
          <w:tcPr>
            <w:tcW w:w="0" w:type="dxa"/>
            <w:vAlign w:val="bottom"/>
          </w:tcPr>
          <w:p>
            <w:pPr>
              <w:spacing w:after="0"/>
              <w:rPr>
                <w:sz w:val="1"/>
                <w:szCs w:val="1"/>
                <w:color w:val="auto"/>
              </w:rPr>
            </w:pPr>
          </w:p>
        </w:tc>
      </w:tr>
      <w:tr>
        <w:trPr>
          <w:trHeight w:val="285"/>
        </w:trPr>
        <w:tc>
          <w:tcPr>
            <w:tcW w:w="6540" w:type="dxa"/>
            <w:vAlign w:val="bottom"/>
            <w:shd w:val="clear" w:color="auto" w:fill="CCEEFF"/>
          </w:tcPr>
          <w:p>
            <w:pPr>
              <w:ind w:left="140"/>
              <w:spacing w:after="0"/>
              <w:rPr>
                <w:sz w:val="20"/>
                <w:szCs w:val="20"/>
                <w:color w:val="auto"/>
              </w:rPr>
            </w:pPr>
            <w:r>
              <w:rPr>
                <w:rFonts w:ascii="Arial" w:cs="Arial" w:eastAsia="Arial" w:hAnsi="Arial"/>
                <w:sz w:val="20"/>
                <w:szCs w:val="20"/>
                <w:color w:val="auto"/>
              </w:rPr>
              <w:t>Earnout Consideration</w:t>
            </w:r>
          </w:p>
        </w:tc>
        <w:tc>
          <w:tcPr>
            <w:tcW w:w="180" w:type="dxa"/>
            <w:vAlign w:val="bottom"/>
            <w:tcBorders>
              <w:bottom w:val="single" w:sz="8" w:color="auto"/>
            </w:tcBorders>
            <w:shd w:val="clear" w:color="auto" w:fill="CCEEFF"/>
          </w:tcPr>
          <w:p>
            <w:pPr>
              <w:spacing w:after="0"/>
              <w:rPr>
                <w:sz w:val="24"/>
                <w:szCs w:val="24"/>
                <w:color w:val="auto"/>
              </w:rPr>
            </w:pPr>
          </w:p>
        </w:tc>
        <w:tc>
          <w:tcPr>
            <w:tcW w:w="21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20"/>
                <w:szCs w:val="20"/>
                <w:color w:val="auto"/>
              </w:rPr>
              <w:t>14,573</w:t>
            </w:r>
          </w:p>
        </w:tc>
        <w:tc>
          <w:tcPr>
            <w:tcW w:w="80" w:type="dxa"/>
            <w:vAlign w:val="bottom"/>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spacing w:after="0"/>
              <w:rPr>
                <w:sz w:val="24"/>
                <w:szCs w:val="24"/>
                <w:color w:val="auto"/>
              </w:rPr>
            </w:pPr>
          </w:p>
        </w:tc>
        <w:tc>
          <w:tcPr>
            <w:tcW w:w="2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62"/>
        </w:trPr>
        <w:tc>
          <w:tcPr>
            <w:tcW w:w="6540" w:type="dxa"/>
            <w:vAlign w:val="bottom"/>
          </w:tcPr>
          <w:p>
            <w:pPr>
              <w:ind w:left="20"/>
              <w:spacing w:after="0"/>
              <w:rPr>
                <w:sz w:val="20"/>
                <w:szCs w:val="20"/>
                <w:color w:val="auto"/>
              </w:rPr>
            </w:pPr>
            <w:r>
              <w:rPr>
                <w:rFonts w:ascii="Arial" w:cs="Arial" w:eastAsia="Arial" w:hAnsi="Arial"/>
                <w:sz w:val="20"/>
                <w:szCs w:val="20"/>
                <w:color w:val="auto"/>
              </w:rPr>
              <w:t>Total current portion of contingent consideration</w:t>
            </w:r>
          </w:p>
        </w:tc>
        <w:tc>
          <w:tcPr>
            <w:tcW w:w="180" w:type="dxa"/>
            <w:vAlign w:val="bottom"/>
          </w:tcPr>
          <w:p>
            <w:pPr>
              <w:jc w:val="right"/>
              <w:spacing w:after="0"/>
              <w:rPr>
                <w:sz w:val="20"/>
                <w:szCs w:val="20"/>
                <w:color w:val="auto"/>
              </w:rPr>
            </w:pPr>
            <w:r>
              <w:rPr>
                <w:rFonts w:ascii="Arial" w:cs="Arial" w:eastAsia="Arial" w:hAnsi="Arial"/>
                <w:sz w:val="20"/>
                <w:szCs w:val="20"/>
                <w:color w:val="auto"/>
              </w:rPr>
              <w:t>$</w:t>
            </w:r>
          </w:p>
        </w:tc>
        <w:tc>
          <w:tcPr>
            <w:tcW w:w="2140" w:type="dxa"/>
            <w:vAlign w:val="bottom"/>
          </w:tcPr>
          <w:p>
            <w:pPr>
              <w:jc w:val="right"/>
              <w:ind w:right="1"/>
              <w:spacing w:after="0"/>
              <w:rPr>
                <w:sz w:val="20"/>
                <w:szCs w:val="20"/>
                <w:color w:val="auto"/>
              </w:rPr>
            </w:pPr>
            <w:r>
              <w:rPr>
                <w:rFonts w:ascii="Arial" w:cs="Arial" w:eastAsia="Arial" w:hAnsi="Arial"/>
                <w:sz w:val="20"/>
                <w:szCs w:val="20"/>
                <w:color w:val="auto"/>
              </w:rPr>
              <w:t>17,666</w:t>
            </w:r>
          </w:p>
        </w:tc>
        <w:tc>
          <w:tcPr>
            <w:tcW w:w="8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Arial" w:cs="Arial" w:eastAsia="Arial" w:hAnsi="Arial"/>
                <w:sz w:val="20"/>
                <w:szCs w:val="20"/>
                <w:color w:val="auto"/>
                <w:w w:val="89"/>
              </w:rPr>
              <w:t>$</w:t>
            </w:r>
          </w:p>
        </w:tc>
        <w:tc>
          <w:tcPr>
            <w:tcW w:w="2120" w:type="dxa"/>
            <w:vAlign w:val="bottom"/>
          </w:tcPr>
          <w:p>
            <w:pPr>
              <w:jc w:val="right"/>
              <w:spacing w:after="0"/>
              <w:rPr>
                <w:sz w:val="20"/>
                <w:szCs w:val="20"/>
                <w:color w:val="auto"/>
              </w:rPr>
            </w:pPr>
            <w:r>
              <w:rPr>
                <w:rFonts w:ascii="Arial" w:cs="Arial" w:eastAsia="Arial" w:hAnsi="Arial"/>
                <w:sz w:val="20"/>
                <w:szCs w:val="20"/>
                <w:color w:val="auto"/>
              </w:rPr>
              <w:t>1,193</w:t>
            </w:r>
          </w:p>
        </w:tc>
        <w:tc>
          <w:tcPr>
            <w:tcW w:w="0" w:type="dxa"/>
            <w:vAlign w:val="bottom"/>
          </w:tcPr>
          <w:p>
            <w:pPr>
              <w:spacing w:after="0"/>
              <w:rPr>
                <w:sz w:val="1"/>
                <w:szCs w:val="1"/>
                <w:color w:val="auto"/>
              </w:rPr>
            </w:pPr>
          </w:p>
        </w:tc>
      </w:tr>
      <w:tr>
        <w:trPr>
          <w:trHeight w:val="272"/>
        </w:trPr>
        <w:tc>
          <w:tcPr>
            <w:tcW w:w="654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21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21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75"/>
        </w:trPr>
        <w:tc>
          <w:tcPr>
            <w:tcW w:w="6540" w:type="dxa"/>
            <w:vAlign w:val="bottom"/>
          </w:tcPr>
          <w:p>
            <w:pPr>
              <w:ind w:left="20"/>
              <w:spacing w:after="0"/>
              <w:rPr>
                <w:sz w:val="20"/>
                <w:szCs w:val="20"/>
                <w:color w:val="auto"/>
              </w:rPr>
            </w:pPr>
            <w:r>
              <w:rPr>
                <w:rFonts w:ascii="Arial" w:cs="Arial" w:eastAsia="Arial" w:hAnsi="Arial"/>
                <w:sz w:val="20"/>
                <w:szCs w:val="20"/>
                <w:color w:val="auto"/>
              </w:rPr>
              <w:t>Contingent consideration, net of current portion</w:t>
            </w:r>
          </w:p>
        </w:tc>
        <w:tc>
          <w:tcPr>
            <w:tcW w:w="180" w:type="dxa"/>
            <w:vAlign w:val="bottom"/>
          </w:tcPr>
          <w:p>
            <w:pPr>
              <w:spacing w:after="0"/>
              <w:rPr>
                <w:sz w:val="23"/>
                <w:szCs w:val="23"/>
                <w:color w:val="auto"/>
              </w:rPr>
            </w:pPr>
          </w:p>
        </w:tc>
        <w:tc>
          <w:tcPr>
            <w:tcW w:w="21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92"/>
        </w:trPr>
        <w:tc>
          <w:tcPr>
            <w:tcW w:w="6540" w:type="dxa"/>
            <w:vAlign w:val="bottom"/>
            <w:shd w:val="clear" w:color="auto" w:fill="CCEEFF"/>
          </w:tcPr>
          <w:p>
            <w:pPr>
              <w:ind w:left="140"/>
              <w:spacing w:after="0"/>
              <w:rPr>
                <w:sz w:val="20"/>
                <w:szCs w:val="20"/>
                <w:color w:val="auto"/>
              </w:rPr>
            </w:pPr>
            <w:r>
              <w:rPr>
                <w:rFonts w:ascii="Arial" w:cs="Arial" w:eastAsia="Arial" w:hAnsi="Arial"/>
                <w:sz w:val="20"/>
                <w:szCs w:val="20"/>
                <w:color w:val="auto"/>
              </w:rPr>
              <w:t>TRA</w:t>
            </w:r>
          </w:p>
        </w:tc>
        <w:tc>
          <w:tcPr>
            <w:tcW w:w="1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2140" w:type="dxa"/>
            <w:vAlign w:val="bottom"/>
            <w:shd w:val="clear" w:color="auto" w:fill="CCEEFF"/>
          </w:tcPr>
          <w:p>
            <w:pPr>
              <w:jc w:val="right"/>
              <w:ind w:right="1"/>
              <w:spacing w:after="0"/>
              <w:rPr>
                <w:sz w:val="20"/>
                <w:szCs w:val="20"/>
                <w:color w:val="auto"/>
              </w:rPr>
            </w:pPr>
            <w:r>
              <w:rPr>
                <w:rFonts w:ascii="Arial" w:cs="Arial" w:eastAsia="Arial" w:hAnsi="Arial"/>
                <w:sz w:val="20"/>
                <w:szCs w:val="20"/>
                <w:color w:val="auto"/>
              </w:rPr>
              <w:t>5,375</w:t>
            </w:r>
          </w:p>
        </w:tc>
        <w:tc>
          <w:tcPr>
            <w:tcW w:w="80" w:type="dxa"/>
            <w:vAlign w:val="bottom"/>
            <w:shd w:val="clear" w:color="auto" w:fill="CCEEFF"/>
          </w:tcPr>
          <w:p>
            <w:pPr>
              <w:spacing w:after="0"/>
              <w:rPr>
                <w:sz w:val="24"/>
                <w:szCs w:val="24"/>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20"/>
                <w:szCs w:val="20"/>
                <w:color w:val="auto"/>
                <w:w w:val="89"/>
              </w:rPr>
              <w:t>$</w:t>
            </w:r>
          </w:p>
        </w:tc>
        <w:tc>
          <w:tcPr>
            <w:tcW w:w="21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7,868</w:t>
            </w:r>
          </w:p>
        </w:tc>
        <w:tc>
          <w:tcPr>
            <w:tcW w:w="0" w:type="dxa"/>
            <w:vAlign w:val="bottom"/>
          </w:tcPr>
          <w:p>
            <w:pPr>
              <w:spacing w:after="0"/>
              <w:rPr>
                <w:sz w:val="1"/>
                <w:szCs w:val="1"/>
                <w:color w:val="auto"/>
              </w:rPr>
            </w:pPr>
          </w:p>
        </w:tc>
      </w:tr>
      <w:tr>
        <w:trPr>
          <w:trHeight w:val="282"/>
        </w:trPr>
        <w:tc>
          <w:tcPr>
            <w:tcW w:w="6540" w:type="dxa"/>
            <w:vAlign w:val="bottom"/>
            <w:tcBorders>
              <w:bottom w:val="single" w:sz="8" w:color="CCEEFF"/>
            </w:tcBorders>
          </w:tcPr>
          <w:p>
            <w:pPr>
              <w:ind w:left="140"/>
              <w:spacing w:after="0"/>
              <w:rPr>
                <w:sz w:val="20"/>
                <w:szCs w:val="20"/>
                <w:color w:val="auto"/>
              </w:rPr>
            </w:pPr>
            <w:r>
              <w:rPr>
                <w:rFonts w:ascii="Arial" w:cs="Arial" w:eastAsia="Arial" w:hAnsi="Arial"/>
                <w:sz w:val="20"/>
                <w:szCs w:val="20"/>
                <w:color w:val="auto"/>
              </w:rPr>
              <w:t>Earnout Consideration</w:t>
            </w:r>
          </w:p>
        </w:tc>
        <w:tc>
          <w:tcPr>
            <w:tcW w:w="180" w:type="dxa"/>
            <w:vAlign w:val="bottom"/>
            <w:tcBorders>
              <w:bottom w:val="single" w:sz="8" w:color="auto"/>
            </w:tcBorders>
          </w:tcPr>
          <w:p>
            <w:pPr>
              <w:spacing w:after="0"/>
              <w:rPr>
                <w:sz w:val="24"/>
                <w:szCs w:val="24"/>
                <w:color w:val="auto"/>
              </w:rPr>
            </w:pPr>
          </w:p>
        </w:tc>
        <w:tc>
          <w:tcPr>
            <w:tcW w:w="2140" w:type="dxa"/>
            <w:vAlign w:val="bottom"/>
            <w:tcBorders>
              <w:bottom w:val="single" w:sz="8" w:color="auto"/>
            </w:tcBorders>
          </w:tcPr>
          <w:p>
            <w:pPr>
              <w:jc w:val="right"/>
              <w:ind w:right="1"/>
              <w:spacing w:after="0"/>
              <w:rPr>
                <w:sz w:val="20"/>
                <w:szCs w:val="20"/>
                <w:color w:val="auto"/>
              </w:rPr>
            </w:pPr>
            <w:r>
              <w:rPr>
                <w:rFonts w:ascii="Arial" w:cs="Arial" w:eastAsia="Arial" w:hAnsi="Arial"/>
                <w:sz w:val="20"/>
                <w:szCs w:val="20"/>
                <w:color w:val="auto"/>
              </w:rPr>
              <w:t>5,837</w:t>
            </w:r>
          </w:p>
        </w:tc>
        <w:tc>
          <w:tcPr>
            <w:tcW w:w="8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1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65"/>
        </w:trPr>
        <w:tc>
          <w:tcPr>
            <w:tcW w:w="6540" w:type="dxa"/>
            <w:vAlign w:val="bottom"/>
            <w:shd w:val="clear" w:color="auto" w:fill="CCEEFF"/>
          </w:tcPr>
          <w:p>
            <w:pPr>
              <w:ind w:left="20"/>
              <w:spacing w:after="0"/>
              <w:rPr>
                <w:sz w:val="20"/>
                <w:szCs w:val="20"/>
                <w:color w:val="auto"/>
              </w:rPr>
            </w:pPr>
            <w:r>
              <w:rPr>
                <w:rFonts w:ascii="Arial" w:cs="Arial" w:eastAsia="Arial" w:hAnsi="Arial"/>
                <w:sz w:val="20"/>
                <w:szCs w:val="20"/>
                <w:color w:val="auto"/>
              </w:rPr>
              <w:t>Total contingent consideration, net of current portion</w:t>
            </w:r>
          </w:p>
        </w:tc>
        <w:tc>
          <w:tcPr>
            <w:tcW w:w="1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2140" w:type="dxa"/>
            <w:vAlign w:val="bottom"/>
            <w:shd w:val="clear" w:color="auto" w:fill="CCEEFF"/>
          </w:tcPr>
          <w:p>
            <w:pPr>
              <w:jc w:val="right"/>
              <w:ind w:right="1"/>
              <w:spacing w:after="0"/>
              <w:rPr>
                <w:sz w:val="20"/>
                <w:szCs w:val="20"/>
                <w:color w:val="auto"/>
              </w:rPr>
            </w:pPr>
            <w:r>
              <w:rPr>
                <w:rFonts w:ascii="Arial" w:cs="Arial" w:eastAsia="Arial" w:hAnsi="Arial"/>
                <w:sz w:val="20"/>
                <w:szCs w:val="20"/>
                <w:color w:val="auto"/>
              </w:rPr>
              <w:t>11,212</w:t>
            </w:r>
          </w:p>
        </w:tc>
        <w:tc>
          <w:tcPr>
            <w:tcW w:w="80" w:type="dxa"/>
            <w:vAlign w:val="bottom"/>
            <w:shd w:val="clear" w:color="auto" w:fill="CCEEFF"/>
          </w:tcPr>
          <w:p>
            <w:pPr>
              <w:spacing w:after="0"/>
              <w:rPr>
                <w:sz w:val="23"/>
                <w:szCs w:val="23"/>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20"/>
                <w:szCs w:val="20"/>
                <w:color w:val="auto"/>
                <w:w w:val="89"/>
              </w:rPr>
              <w:t>$</w:t>
            </w:r>
          </w:p>
        </w:tc>
        <w:tc>
          <w:tcPr>
            <w:tcW w:w="21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7,868</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22" w:name="page23"/>
    <w:bookmarkEnd w:id="22"/>
    <w:p>
      <w:pPr>
        <w:spacing w:after="0" w:line="310" w:lineRule="exact"/>
        <w:rPr>
          <w:sz w:val="20"/>
          <w:szCs w:val="20"/>
          <w:color w:val="auto"/>
        </w:rPr>
      </w:pPr>
    </w:p>
    <w:p>
      <w:pPr>
        <w:ind w:left="400" w:hanging="392"/>
        <w:spacing w:after="0"/>
        <w:tabs>
          <w:tab w:leader="none" w:pos="400" w:val="left"/>
        </w:tabs>
        <w:numPr>
          <w:ilvl w:val="0"/>
          <w:numId w:val="10"/>
        </w:numPr>
        <w:rPr>
          <w:rFonts w:ascii="Arial" w:cs="Arial" w:eastAsia="Arial" w:hAnsi="Arial"/>
          <w:sz w:val="20"/>
          <w:szCs w:val="20"/>
          <w:b w:val="1"/>
          <w:bCs w:val="1"/>
          <w:color w:val="auto"/>
        </w:rPr>
      </w:pPr>
      <w:r>
        <w:rPr>
          <w:rFonts w:ascii="Arial" w:cs="Arial" w:eastAsia="Arial" w:hAnsi="Arial"/>
          <w:sz w:val="20"/>
          <w:szCs w:val="20"/>
          <w:b w:val="1"/>
          <w:bCs w:val="1"/>
          <w:color w:val="auto"/>
        </w:rPr>
        <w:t>Property, Plant and Equipment, Net</w:t>
      </w:r>
    </w:p>
    <w:p>
      <w:pPr>
        <w:spacing w:after="0" w:line="258" w:lineRule="exact"/>
        <w:rPr>
          <w:sz w:val="20"/>
          <w:szCs w:val="20"/>
          <w:color w:val="auto"/>
        </w:rPr>
      </w:pPr>
    </w:p>
    <w:p>
      <w:pPr>
        <w:spacing w:after="0"/>
        <w:rPr>
          <w:sz w:val="20"/>
          <w:szCs w:val="20"/>
          <w:color w:val="auto"/>
        </w:rPr>
      </w:pPr>
      <w:r>
        <w:rPr>
          <w:rFonts w:ascii="Arial" w:cs="Arial" w:eastAsia="Arial" w:hAnsi="Arial"/>
          <w:sz w:val="20"/>
          <w:szCs w:val="20"/>
          <w:color w:val="auto"/>
        </w:rPr>
        <w:t>Property, plant and equipment, net consisted of the following (in thousands, except useful lives):</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560" w:type="dxa"/>
            <w:vAlign w:val="bottom"/>
          </w:tcPr>
          <w:p>
            <w:pPr>
              <w:spacing w:after="0"/>
              <w:rPr>
                <w:sz w:val="19"/>
                <w:szCs w:val="19"/>
                <w:color w:val="auto"/>
              </w:rPr>
            </w:pPr>
          </w:p>
        </w:tc>
        <w:tc>
          <w:tcPr>
            <w:tcW w:w="2760" w:type="dxa"/>
            <w:vAlign w:val="bottom"/>
          </w:tcPr>
          <w:p>
            <w:pPr>
              <w:jc w:val="center"/>
              <w:ind w:left="301"/>
              <w:spacing w:after="0"/>
              <w:rPr>
                <w:sz w:val="20"/>
                <w:szCs w:val="20"/>
                <w:color w:val="auto"/>
              </w:rPr>
            </w:pPr>
            <w:r>
              <w:rPr>
                <w:rFonts w:ascii="Arial" w:cs="Arial" w:eastAsia="Arial" w:hAnsi="Arial"/>
                <w:sz w:val="20"/>
                <w:szCs w:val="20"/>
                <w:b w:val="1"/>
                <w:bCs w:val="1"/>
                <w:color w:val="auto"/>
                <w:w w:val="98"/>
              </w:rPr>
              <w:t>Estimated Useful Lives</w:t>
            </w:r>
          </w:p>
        </w:tc>
        <w:tc>
          <w:tcPr>
            <w:tcW w:w="2500" w:type="dxa"/>
            <w:vAlign w:val="bottom"/>
            <w:gridSpan w:val="3"/>
            <w:vMerge w:val="restart"/>
          </w:tcPr>
          <w:p>
            <w:pPr>
              <w:ind w:left="300"/>
              <w:spacing w:after="0"/>
              <w:rPr>
                <w:sz w:val="20"/>
                <w:szCs w:val="20"/>
                <w:color w:val="auto"/>
              </w:rPr>
            </w:pPr>
            <w:r>
              <w:rPr>
                <w:rFonts w:ascii="Arial" w:cs="Arial" w:eastAsia="Arial" w:hAnsi="Arial"/>
                <w:sz w:val="20"/>
                <w:szCs w:val="20"/>
                <w:b w:val="1"/>
                <w:bCs w:val="1"/>
                <w:color w:val="auto"/>
              </w:rPr>
              <w:t>September 30, 2025</w:t>
            </w:r>
          </w:p>
        </w:tc>
        <w:tc>
          <w:tcPr>
            <w:tcW w:w="300" w:type="dxa"/>
            <w:vAlign w:val="bottom"/>
          </w:tcPr>
          <w:p>
            <w:pPr>
              <w:spacing w:after="0"/>
              <w:rPr>
                <w:sz w:val="19"/>
                <w:szCs w:val="19"/>
                <w:color w:val="auto"/>
              </w:rPr>
            </w:pPr>
          </w:p>
        </w:tc>
        <w:tc>
          <w:tcPr>
            <w:tcW w:w="2120" w:type="dxa"/>
            <w:vAlign w:val="bottom"/>
            <w:vMerge w:val="restart"/>
          </w:tcPr>
          <w:p>
            <w:pPr>
              <w:jc w:val="right"/>
              <w:ind w:right="221"/>
              <w:spacing w:after="0"/>
              <w:rPr>
                <w:sz w:val="20"/>
                <w:szCs w:val="20"/>
                <w:color w:val="auto"/>
              </w:rPr>
            </w:pPr>
            <w:r>
              <w:rPr>
                <w:rFonts w:ascii="Arial" w:cs="Arial" w:eastAsia="Arial" w:hAnsi="Arial"/>
                <w:sz w:val="20"/>
                <w:szCs w:val="20"/>
                <w:b w:val="1"/>
                <w:bCs w:val="1"/>
                <w:color w:val="auto"/>
                <w:w w:val="98"/>
              </w:rPr>
              <w:t>December 31, 2024</w:t>
            </w:r>
          </w:p>
        </w:tc>
        <w:tc>
          <w:tcPr>
            <w:tcW w:w="0" w:type="dxa"/>
            <w:vAlign w:val="bottom"/>
          </w:tcPr>
          <w:p>
            <w:pPr>
              <w:spacing w:after="0"/>
              <w:rPr>
                <w:sz w:val="1"/>
                <w:szCs w:val="1"/>
                <w:color w:val="auto"/>
              </w:rPr>
            </w:pPr>
          </w:p>
        </w:tc>
      </w:tr>
      <w:tr>
        <w:trPr>
          <w:trHeight w:val="280"/>
        </w:trPr>
        <w:tc>
          <w:tcPr>
            <w:tcW w:w="3560" w:type="dxa"/>
            <w:vAlign w:val="bottom"/>
          </w:tcPr>
          <w:p>
            <w:pPr>
              <w:spacing w:after="0"/>
              <w:rPr>
                <w:sz w:val="24"/>
                <w:szCs w:val="24"/>
                <w:color w:val="auto"/>
              </w:rPr>
            </w:pPr>
          </w:p>
        </w:tc>
        <w:tc>
          <w:tcPr>
            <w:tcW w:w="2760" w:type="dxa"/>
            <w:vAlign w:val="bottom"/>
          </w:tcPr>
          <w:p>
            <w:pPr>
              <w:jc w:val="center"/>
              <w:ind w:left="281"/>
              <w:spacing w:after="0"/>
              <w:rPr>
                <w:sz w:val="20"/>
                <w:szCs w:val="20"/>
                <w:color w:val="auto"/>
              </w:rPr>
            </w:pPr>
            <w:r>
              <w:rPr>
                <w:rFonts w:ascii="Arial" w:cs="Arial" w:eastAsia="Arial" w:hAnsi="Arial"/>
                <w:sz w:val="20"/>
                <w:szCs w:val="20"/>
                <w:b w:val="1"/>
                <w:bCs w:val="1"/>
                <w:color w:val="auto"/>
                <w:w w:val="97"/>
              </w:rPr>
              <w:t>(Years)</w:t>
            </w:r>
          </w:p>
        </w:tc>
        <w:tc>
          <w:tcPr>
            <w:tcW w:w="2500" w:type="dxa"/>
            <w:vAlign w:val="bottom"/>
            <w:gridSpan w:val="3"/>
            <w:vMerge w:val="continue"/>
          </w:tcPr>
          <w:p>
            <w:pPr>
              <w:spacing w:after="0"/>
              <w:rPr>
                <w:sz w:val="24"/>
                <w:szCs w:val="24"/>
                <w:color w:val="auto"/>
              </w:rPr>
            </w:pPr>
          </w:p>
        </w:tc>
        <w:tc>
          <w:tcPr>
            <w:tcW w:w="300" w:type="dxa"/>
            <w:vAlign w:val="bottom"/>
          </w:tcPr>
          <w:p>
            <w:pPr>
              <w:spacing w:after="0"/>
              <w:rPr>
                <w:sz w:val="24"/>
                <w:szCs w:val="24"/>
                <w:color w:val="auto"/>
              </w:rPr>
            </w:pPr>
          </w:p>
        </w:tc>
        <w:tc>
          <w:tcPr>
            <w:tcW w:w="21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35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20"/>
                <w:szCs w:val="20"/>
                <w:color w:val="auto"/>
              </w:rPr>
              <w:t>Land</w:t>
            </w:r>
          </w:p>
        </w:tc>
        <w:tc>
          <w:tcPr>
            <w:tcW w:w="2760" w:type="dxa"/>
            <w:vAlign w:val="bottom"/>
            <w:tcBorders>
              <w:top w:val="single" w:sz="8" w:color="CCEEFF"/>
            </w:tcBorders>
            <w:shd w:val="clear" w:color="auto" w:fill="CCEEFF"/>
          </w:tcPr>
          <w:p>
            <w:pPr>
              <w:jc w:val="center"/>
              <w:ind w:left="301"/>
              <w:spacing w:after="0"/>
              <w:rPr>
                <w:sz w:val="20"/>
                <w:szCs w:val="20"/>
                <w:color w:val="auto"/>
              </w:rPr>
            </w:pPr>
            <w:r>
              <w:rPr>
                <w:rFonts w:ascii="Arial" w:cs="Arial" w:eastAsia="Arial" w:hAnsi="Arial"/>
                <w:sz w:val="20"/>
                <w:szCs w:val="20"/>
                <w:color w:val="auto"/>
                <w:w w:val="95"/>
              </w:rPr>
              <w:t>N/A</w:t>
            </w:r>
          </w:p>
        </w:tc>
        <w:tc>
          <w:tcPr>
            <w:tcW w:w="980" w:type="dxa"/>
            <w:vAlign w:val="bottom"/>
            <w:tcBorders>
              <w:top w:val="single" w:sz="8" w:color="auto"/>
            </w:tcBorders>
            <w:shd w:val="clear" w:color="auto" w:fill="CCEEFF"/>
          </w:tcPr>
          <w:p>
            <w:pPr>
              <w:jc w:val="right"/>
              <w:ind w:right="581"/>
              <w:spacing w:after="0"/>
              <w:rPr>
                <w:sz w:val="20"/>
                <w:szCs w:val="20"/>
                <w:color w:val="auto"/>
              </w:rPr>
            </w:pPr>
            <w:r>
              <w:rPr>
                <w:rFonts w:ascii="Arial" w:cs="Arial" w:eastAsia="Arial" w:hAnsi="Arial"/>
                <w:sz w:val="20"/>
                <w:szCs w:val="20"/>
                <w:color w:val="auto"/>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1,676</w:t>
            </w:r>
          </w:p>
        </w:tc>
        <w:tc>
          <w:tcPr>
            <w:tcW w:w="80" w:type="dxa"/>
            <w:vAlign w:val="bottom"/>
            <w:tcBorders>
              <w:top w:val="single" w:sz="8" w:color="CCEEFF"/>
            </w:tcBorders>
            <w:shd w:val="clear" w:color="auto" w:fill="CCEEFF"/>
          </w:tcPr>
          <w:p>
            <w:pPr>
              <w:spacing w:after="0"/>
              <w:rPr>
                <w:sz w:val="24"/>
                <w:szCs w:val="24"/>
                <w:color w:val="auto"/>
              </w:rPr>
            </w:pPr>
          </w:p>
        </w:tc>
        <w:tc>
          <w:tcPr>
            <w:tcW w:w="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2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1,585</w:t>
            </w:r>
          </w:p>
        </w:tc>
        <w:tc>
          <w:tcPr>
            <w:tcW w:w="0" w:type="dxa"/>
            <w:vAlign w:val="bottom"/>
          </w:tcPr>
          <w:p>
            <w:pPr>
              <w:spacing w:after="0"/>
              <w:rPr>
                <w:sz w:val="1"/>
                <w:szCs w:val="1"/>
                <w:color w:val="auto"/>
              </w:rPr>
            </w:pPr>
          </w:p>
        </w:tc>
      </w:tr>
      <w:tr>
        <w:trPr>
          <w:trHeight w:val="275"/>
        </w:trPr>
        <w:tc>
          <w:tcPr>
            <w:tcW w:w="3560" w:type="dxa"/>
            <w:vAlign w:val="bottom"/>
          </w:tcPr>
          <w:p>
            <w:pPr>
              <w:ind w:left="20"/>
              <w:spacing w:after="0"/>
              <w:rPr>
                <w:sz w:val="20"/>
                <w:szCs w:val="20"/>
                <w:color w:val="auto"/>
              </w:rPr>
            </w:pPr>
            <w:r>
              <w:rPr>
                <w:rFonts w:ascii="Arial" w:cs="Arial" w:eastAsia="Arial" w:hAnsi="Arial"/>
                <w:sz w:val="20"/>
                <w:szCs w:val="20"/>
                <w:color w:val="auto"/>
              </w:rPr>
              <w:t>Buildings and land improvements</w:t>
            </w:r>
          </w:p>
        </w:tc>
        <w:tc>
          <w:tcPr>
            <w:tcW w:w="2760" w:type="dxa"/>
            <w:vAlign w:val="bottom"/>
          </w:tcPr>
          <w:p>
            <w:pPr>
              <w:jc w:val="center"/>
              <w:ind w:left="301"/>
              <w:spacing w:after="0"/>
              <w:rPr>
                <w:sz w:val="20"/>
                <w:szCs w:val="20"/>
                <w:color w:val="auto"/>
              </w:rPr>
            </w:pPr>
            <w:r>
              <w:rPr>
                <w:rFonts w:ascii="Arial" w:cs="Arial" w:eastAsia="Arial" w:hAnsi="Arial"/>
                <w:sz w:val="20"/>
                <w:szCs w:val="20"/>
                <w:color w:val="auto"/>
              </w:rPr>
              <w:t>15-39</w:t>
            </w:r>
          </w:p>
        </w:tc>
        <w:tc>
          <w:tcPr>
            <w:tcW w:w="980" w:type="dxa"/>
            <w:vAlign w:val="bottom"/>
          </w:tcPr>
          <w:p>
            <w:pPr>
              <w:spacing w:after="0"/>
              <w:rPr>
                <w:sz w:val="23"/>
                <w:szCs w:val="23"/>
                <w:color w:val="auto"/>
              </w:rPr>
            </w:pPr>
          </w:p>
        </w:tc>
        <w:tc>
          <w:tcPr>
            <w:tcW w:w="1440" w:type="dxa"/>
            <w:vAlign w:val="bottom"/>
          </w:tcPr>
          <w:p>
            <w:pPr>
              <w:jc w:val="right"/>
              <w:spacing w:after="0"/>
              <w:rPr>
                <w:sz w:val="20"/>
                <w:szCs w:val="20"/>
                <w:color w:val="auto"/>
              </w:rPr>
            </w:pPr>
            <w:r>
              <w:rPr>
                <w:rFonts w:ascii="Arial" w:cs="Arial" w:eastAsia="Arial" w:hAnsi="Arial"/>
                <w:sz w:val="20"/>
                <w:szCs w:val="20"/>
                <w:color w:val="auto"/>
              </w:rPr>
              <w:t>12,443</w:t>
            </w:r>
          </w:p>
        </w:tc>
        <w:tc>
          <w:tcPr>
            <w:tcW w:w="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120" w:type="dxa"/>
            <w:vAlign w:val="bottom"/>
          </w:tcPr>
          <w:p>
            <w:pPr>
              <w:jc w:val="right"/>
              <w:spacing w:after="0"/>
              <w:rPr>
                <w:sz w:val="20"/>
                <w:szCs w:val="20"/>
                <w:color w:val="auto"/>
              </w:rPr>
            </w:pPr>
            <w:r>
              <w:rPr>
                <w:rFonts w:ascii="Arial" w:cs="Arial" w:eastAsia="Arial" w:hAnsi="Arial"/>
                <w:sz w:val="20"/>
                <w:szCs w:val="20"/>
                <w:color w:val="auto"/>
              </w:rPr>
              <w:t>9,108</w:t>
            </w:r>
          </w:p>
        </w:tc>
        <w:tc>
          <w:tcPr>
            <w:tcW w:w="0" w:type="dxa"/>
            <w:vAlign w:val="bottom"/>
          </w:tcPr>
          <w:p>
            <w:pPr>
              <w:spacing w:after="0"/>
              <w:rPr>
                <w:sz w:val="1"/>
                <w:szCs w:val="1"/>
                <w:color w:val="auto"/>
              </w:rPr>
            </w:pPr>
          </w:p>
        </w:tc>
      </w:tr>
      <w:tr>
        <w:trPr>
          <w:trHeight w:val="292"/>
        </w:trPr>
        <w:tc>
          <w:tcPr>
            <w:tcW w:w="3560" w:type="dxa"/>
            <w:vAlign w:val="bottom"/>
            <w:shd w:val="clear" w:color="auto" w:fill="CCEEFF"/>
          </w:tcPr>
          <w:p>
            <w:pPr>
              <w:ind w:left="20"/>
              <w:spacing w:after="0"/>
              <w:rPr>
                <w:sz w:val="20"/>
                <w:szCs w:val="20"/>
                <w:color w:val="auto"/>
              </w:rPr>
            </w:pPr>
            <w:r>
              <w:rPr>
                <w:rFonts w:ascii="Arial" w:cs="Arial" w:eastAsia="Arial" w:hAnsi="Arial"/>
                <w:sz w:val="20"/>
                <w:szCs w:val="20"/>
                <w:color w:val="auto"/>
              </w:rPr>
              <w:t>Manufacturing equipment</w:t>
            </w:r>
          </w:p>
        </w:tc>
        <w:tc>
          <w:tcPr>
            <w:tcW w:w="2760" w:type="dxa"/>
            <w:vAlign w:val="bottom"/>
            <w:shd w:val="clear" w:color="auto" w:fill="CCEEFF"/>
          </w:tcPr>
          <w:p>
            <w:pPr>
              <w:jc w:val="center"/>
              <w:ind w:left="301"/>
              <w:spacing w:after="0"/>
              <w:rPr>
                <w:sz w:val="20"/>
                <w:szCs w:val="20"/>
                <w:color w:val="auto"/>
              </w:rPr>
            </w:pPr>
            <w:r>
              <w:rPr>
                <w:rFonts w:ascii="Arial" w:cs="Arial" w:eastAsia="Arial" w:hAnsi="Arial"/>
                <w:sz w:val="20"/>
                <w:szCs w:val="20"/>
                <w:color w:val="auto"/>
              </w:rPr>
              <w:t>7</w:t>
            </w:r>
          </w:p>
        </w:tc>
        <w:tc>
          <w:tcPr>
            <w:tcW w:w="980" w:type="dxa"/>
            <w:vAlign w:val="bottom"/>
            <w:shd w:val="clear" w:color="auto" w:fill="CCEEFF"/>
          </w:tcPr>
          <w:p>
            <w:pPr>
              <w:spacing w:after="0"/>
              <w:rPr>
                <w:sz w:val="24"/>
                <w:szCs w:val="24"/>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42,748</w:t>
            </w:r>
          </w:p>
        </w:tc>
        <w:tc>
          <w:tcPr>
            <w:tcW w:w="8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21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27,853</w:t>
            </w:r>
          </w:p>
        </w:tc>
        <w:tc>
          <w:tcPr>
            <w:tcW w:w="0" w:type="dxa"/>
            <w:vAlign w:val="bottom"/>
          </w:tcPr>
          <w:p>
            <w:pPr>
              <w:spacing w:after="0"/>
              <w:rPr>
                <w:sz w:val="1"/>
                <w:szCs w:val="1"/>
                <w:color w:val="auto"/>
              </w:rPr>
            </w:pPr>
          </w:p>
        </w:tc>
      </w:tr>
      <w:tr>
        <w:trPr>
          <w:trHeight w:val="275"/>
        </w:trPr>
        <w:tc>
          <w:tcPr>
            <w:tcW w:w="3560" w:type="dxa"/>
            <w:vAlign w:val="bottom"/>
          </w:tcPr>
          <w:p>
            <w:pPr>
              <w:ind w:left="20"/>
              <w:spacing w:after="0"/>
              <w:rPr>
                <w:sz w:val="20"/>
                <w:szCs w:val="20"/>
                <w:color w:val="auto"/>
              </w:rPr>
            </w:pPr>
            <w:r>
              <w:rPr>
                <w:rFonts w:ascii="Arial" w:cs="Arial" w:eastAsia="Arial" w:hAnsi="Arial"/>
                <w:sz w:val="20"/>
                <w:szCs w:val="20"/>
                <w:color w:val="auto"/>
              </w:rPr>
              <w:t>Furniture, fixtures and equipment</w:t>
            </w:r>
          </w:p>
        </w:tc>
        <w:tc>
          <w:tcPr>
            <w:tcW w:w="2760" w:type="dxa"/>
            <w:vAlign w:val="bottom"/>
          </w:tcPr>
          <w:p>
            <w:pPr>
              <w:jc w:val="center"/>
              <w:ind w:left="301"/>
              <w:spacing w:after="0"/>
              <w:rPr>
                <w:sz w:val="20"/>
                <w:szCs w:val="20"/>
                <w:color w:val="auto"/>
              </w:rPr>
            </w:pPr>
            <w:r>
              <w:rPr>
                <w:rFonts w:ascii="Arial" w:cs="Arial" w:eastAsia="Arial" w:hAnsi="Arial"/>
                <w:sz w:val="20"/>
                <w:szCs w:val="20"/>
                <w:color w:val="auto"/>
                <w:w w:val="96"/>
              </w:rPr>
              <w:t>5-7</w:t>
            </w:r>
          </w:p>
        </w:tc>
        <w:tc>
          <w:tcPr>
            <w:tcW w:w="980" w:type="dxa"/>
            <w:vAlign w:val="bottom"/>
          </w:tcPr>
          <w:p>
            <w:pPr>
              <w:spacing w:after="0"/>
              <w:rPr>
                <w:sz w:val="23"/>
                <w:szCs w:val="23"/>
                <w:color w:val="auto"/>
              </w:rPr>
            </w:pPr>
          </w:p>
        </w:tc>
        <w:tc>
          <w:tcPr>
            <w:tcW w:w="1440" w:type="dxa"/>
            <w:vAlign w:val="bottom"/>
          </w:tcPr>
          <w:p>
            <w:pPr>
              <w:jc w:val="right"/>
              <w:spacing w:after="0"/>
              <w:rPr>
                <w:sz w:val="20"/>
                <w:szCs w:val="20"/>
                <w:color w:val="auto"/>
              </w:rPr>
            </w:pPr>
            <w:r>
              <w:rPr>
                <w:rFonts w:ascii="Arial" w:cs="Arial" w:eastAsia="Arial" w:hAnsi="Arial"/>
                <w:sz w:val="20"/>
                <w:szCs w:val="20"/>
                <w:color w:val="auto"/>
              </w:rPr>
              <w:t>6,014</w:t>
            </w:r>
          </w:p>
        </w:tc>
        <w:tc>
          <w:tcPr>
            <w:tcW w:w="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120" w:type="dxa"/>
            <w:vAlign w:val="bottom"/>
          </w:tcPr>
          <w:p>
            <w:pPr>
              <w:jc w:val="right"/>
              <w:spacing w:after="0"/>
              <w:rPr>
                <w:sz w:val="20"/>
                <w:szCs w:val="20"/>
                <w:color w:val="auto"/>
              </w:rPr>
            </w:pPr>
            <w:r>
              <w:rPr>
                <w:rFonts w:ascii="Arial" w:cs="Arial" w:eastAsia="Arial" w:hAnsi="Arial"/>
                <w:sz w:val="20"/>
                <w:szCs w:val="20"/>
                <w:color w:val="auto"/>
              </w:rPr>
              <w:t>4,287</w:t>
            </w:r>
          </w:p>
        </w:tc>
        <w:tc>
          <w:tcPr>
            <w:tcW w:w="0" w:type="dxa"/>
            <w:vAlign w:val="bottom"/>
          </w:tcPr>
          <w:p>
            <w:pPr>
              <w:spacing w:after="0"/>
              <w:rPr>
                <w:sz w:val="1"/>
                <w:szCs w:val="1"/>
                <w:color w:val="auto"/>
              </w:rPr>
            </w:pPr>
          </w:p>
        </w:tc>
      </w:tr>
      <w:tr>
        <w:trPr>
          <w:trHeight w:val="292"/>
        </w:trPr>
        <w:tc>
          <w:tcPr>
            <w:tcW w:w="3560" w:type="dxa"/>
            <w:vAlign w:val="bottom"/>
            <w:shd w:val="clear" w:color="auto" w:fill="CCEEFF"/>
          </w:tcPr>
          <w:p>
            <w:pPr>
              <w:ind w:left="20"/>
              <w:spacing w:after="0"/>
              <w:rPr>
                <w:sz w:val="20"/>
                <w:szCs w:val="20"/>
                <w:color w:val="auto"/>
              </w:rPr>
            </w:pPr>
            <w:r>
              <w:rPr>
                <w:rFonts w:ascii="Arial" w:cs="Arial" w:eastAsia="Arial" w:hAnsi="Arial"/>
                <w:sz w:val="20"/>
                <w:szCs w:val="20"/>
                <w:color w:val="auto"/>
              </w:rPr>
              <w:t>Vehicles</w:t>
            </w:r>
          </w:p>
        </w:tc>
        <w:tc>
          <w:tcPr>
            <w:tcW w:w="2760" w:type="dxa"/>
            <w:vAlign w:val="bottom"/>
            <w:shd w:val="clear" w:color="auto" w:fill="CCEEFF"/>
          </w:tcPr>
          <w:p>
            <w:pPr>
              <w:jc w:val="center"/>
              <w:ind w:left="301"/>
              <w:spacing w:after="0"/>
              <w:rPr>
                <w:sz w:val="20"/>
                <w:szCs w:val="20"/>
                <w:color w:val="auto"/>
              </w:rPr>
            </w:pPr>
            <w:r>
              <w:rPr>
                <w:rFonts w:ascii="Arial" w:cs="Arial" w:eastAsia="Arial" w:hAnsi="Arial"/>
                <w:sz w:val="20"/>
                <w:szCs w:val="20"/>
                <w:color w:val="auto"/>
              </w:rPr>
              <w:t>5</w:t>
            </w:r>
          </w:p>
        </w:tc>
        <w:tc>
          <w:tcPr>
            <w:tcW w:w="980" w:type="dxa"/>
            <w:vAlign w:val="bottom"/>
            <w:shd w:val="clear" w:color="auto" w:fill="CCEEFF"/>
          </w:tcPr>
          <w:p>
            <w:pPr>
              <w:spacing w:after="0"/>
              <w:rPr>
                <w:sz w:val="24"/>
                <w:szCs w:val="24"/>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1,324</w:t>
            </w:r>
          </w:p>
        </w:tc>
        <w:tc>
          <w:tcPr>
            <w:tcW w:w="8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21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603</w:t>
            </w:r>
          </w:p>
        </w:tc>
        <w:tc>
          <w:tcPr>
            <w:tcW w:w="0" w:type="dxa"/>
            <w:vAlign w:val="bottom"/>
          </w:tcPr>
          <w:p>
            <w:pPr>
              <w:spacing w:after="0"/>
              <w:rPr>
                <w:sz w:val="1"/>
                <w:szCs w:val="1"/>
                <w:color w:val="auto"/>
              </w:rPr>
            </w:pPr>
          </w:p>
        </w:tc>
      </w:tr>
      <w:tr>
        <w:trPr>
          <w:trHeight w:val="275"/>
        </w:trPr>
        <w:tc>
          <w:tcPr>
            <w:tcW w:w="3560" w:type="dxa"/>
            <w:vAlign w:val="bottom"/>
          </w:tcPr>
          <w:p>
            <w:pPr>
              <w:ind w:left="20"/>
              <w:spacing w:after="0"/>
              <w:rPr>
                <w:sz w:val="20"/>
                <w:szCs w:val="20"/>
                <w:color w:val="auto"/>
              </w:rPr>
            </w:pPr>
            <w:r>
              <w:rPr>
                <w:rFonts w:ascii="Arial" w:cs="Arial" w:eastAsia="Arial" w:hAnsi="Arial"/>
                <w:sz w:val="20"/>
                <w:szCs w:val="20"/>
                <w:color w:val="auto"/>
              </w:rPr>
              <w:t>Hardware</w:t>
            </w:r>
          </w:p>
        </w:tc>
        <w:tc>
          <w:tcPr>
            <w:tcW w:w="2760" w:type="dxa"/>
            <w:vAlign w:val="bottom"/>
          </w:tcPr>
          <w:p>
            <w:pPr>
              <w:jc w:val="center"/>
              <w:ind w:left="301"/>
              <w:spacing w:after="0"/>
              <w:rPr>
                <w:sz w:val="20"/>
                <w:szCs w:val="20"/>
                <w:color w:val="auto"/>
              </w:rPr>
            </w:pPr>
            <w:r>
              <w:rPr>
                <w:rFonts w:ascii="Arial" w:cs="Arial" w:eastAsia="Arial" w:hAnsi="Arial"/>
                <w:sz w:val="20"/>
                <w:szCs w:val="20"/>
                <w:color w:val="auto"/>
                <w:w w:val="96"/>
              </w:rPr>
              <w:t>3-5</w:t>
            </w:r>
          </w:p>
        </w:tc>
        <w:tc>
          <w:tcPr>
            <w:tcW w:w="980" w:type="dxa"/>
            <w:vAlign w:val="bottom"/>
          </w:tcPr>
          <w:p>
            <w:pPr>
              <w:spacing w:after="0"/>
              <w:rPr>
                <w:sz w:val="23"/>
                <w:szCs w:val="23"/>
                <w:color w:val="auto"/>
              </w:rPr>
            </w:pPr>
          </w:p>
        </w:tc>
        <w:tc>
          <w:tcPr>
            <w:tcW w:w="1440" w:type="dxa"/>
            <w:vAlign w:val="bottom"/>
          </w:tcPr>
          <w:p>
            <w:pPr>
              <w:jc w:val="right"/>
              <w:spacing w:after="0"/>
              <w:rPr>
                <w:sz w:val="20"/>
                <w:szCs w:val="20"/>
                <w:color w:val="auto"/>
              </w:rPr>
            </w:pPr>
            <w:r>
              <w:rPr>
                <w:rFonts w:ascii="Arial" w:cs="Arial" w:eastAsia="Arial" w:hAnsi="Arial"/>
                <w:sz w:val="20"/>
                <w:szCs w:val="20"/>
                <w:color w:val="auto"/>
              </w:rPr>
              <w:t>4,669</w:t>
            </w:r>
          </w:p>
        </w:tc>
        <w:tc>
          <w:tcPr>
            <w:tcW w:w="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120" w:type="dxa"/>
            <w:vAlign w:val="bottom"/>
          </w:tcPr>
          <w:p>
            <w:pPr>
              <w:jc w:val="right"/>
              <w:spacing w:after="0"/>
              <w:rPr>
                <w:sz w:val="20"/>
                <w:szCs w:val="20"/>
                <w:color w:val="auto"/>
              </w:rPr>
            </w:pPr>
            <w:r>
              <w:rPr>
                <w:rFonts w:ascii="Arial" w:cs="Arial" w:eastAsia="Arial" w:hAnsi="Arial"/>
                <w:sz w:val="20"/>
                <w:szCs w:val="20"/>
                <w:color w:val="auto"/>
              </w:rPr>
              <w:t>3,603</w:t>
            </w:r>
          </w:p>
        </w:tc>
        <w:tc>
          <w:tcPr>
            <w:tcW w:w="0" w:type="dxa"/>
            <w:vAlign w:val="bottom"/>
          </w:tcPr>
          <w:p>
            <w:pPr>
              <w:spacing w:after="0"/>
              <w:rPr>
                <w:sz w:val="1"/>
                <w:szCs w:val="1"/>
                <w:color w:val="auto"/>
              </w:rPr>
            </w:pPr>
          </w:p>
        </w:tc>
      </w:tr>
      <w:tr>
        <w:trPr>
          <w:trHeight w:val="292"/>
        </w:trPr>
        <w:tc>
          <w:tcPr>
            <w:tcW w:w="3560" w:type="dxa"/>
            <w:vAlign w:val="bottom"/>
            <w:shd w:val="clear" w:color="auto" w:fill="CCEEFF"/>
          </w:tcPr>
          <w:p>
            <w:pPr>
              <w:ind w:left="20"/>
              <w:spacing w:after="0"/>
              <w:rPr>
                <w:sz w:val="20"/>
                <w:szCs w:val="20"/>
                <w:color w:val="auto"/>
              </w:rPr>
            </w:pPr>
            <w:r>
              <w:rPr>
                <w:rFonts w:ascii="Arial" w:cs="Arial" w:eastAsia="Arial" w:hAnsi="Arial"/>
                <w:sz w:val="20"/>
                <w:szCs w:val="20"/>
                <w:color w:val="auto"/>
              </w:rPr>
              <w:t>Construction in progress</w:t>
            </w:r>
          </w:p>
        </w:tc>
        <w:tc>
          <w:tcPr>
            <w:tcW w:w="2760" w:type="dxa"/>
            <w:vAlign w:val="bottom"/>
            <w:shd w:val="clear" w:color="auto" w:fill="CCEEFF"/>
          </w:tcPr>
          <w:p>
            <w:pPr>
              <w:jc w:val="center"/>
              <w:ind w:left="301"/>
              <w:spacing w:after="0"/>
              <w:rPr>
                <w:sz w:val="20"/>
                <w:szCs w:val="20"/>
                <w:color w:val="auto"/>
              </w:rPr>
            </w:pPr>
            <w:r>
              <w:rPr>
                <w:rFonts w:ascii="Arial" w:cs="Arial" w:eastAsia="Arial" w:hAnsi="Arial"/>
                <w:sz w:val="20"/>
                <w:szCs w:val="20"/>
                <w:color w:val="auto"/>
                <w:w w:val="95"/>
              </w:rPr>
              <w:t>N/A</w:t>
            </w:r>
          </w:p>
        </w:tc>
        <w:tc>
          <w:tcPr>
            <w:tcW w:w="980" w:type="dxa"/>
            <w:vAlign w:val="bottom"/>
            <w:tcBorders>
              <w:bottom w:val="single" w:sz="8" w:color="auto"/>
            </w:tcBorders>
            <w:shd w:val="clear" w:color="auto" w:fill="CCEEFF"/>
          </w:tcPr>
          <w:p>
            <w:pPr>
              <w:spacing w:after="0"/>
              <w:rPr>
                <w:sz w:val="24"/>
                <w:szCs w:val="24"/>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14,260</w:t>
            </w:r>
          </w:p>
        </w:tc>
        <w:tc>
          <w:tcPr>
            <w:tcW w:w="80" w:type="dxa"/>
            <w:vAlign w:val="bottom"/>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spacing w:after="0"/>
              <w:rPr>
                <w:sz w:val="24"/>
                <w:szCs w:val="24"/>
                <w:color w:val="auto"/>
              </w:rPr>
            </w:pPr>
          </w:p>
        </w:tc>
        <w:tc>
          <w:tcPr>
            <w:tcW w:w="2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3,948</w:t>
            </w:r>
          </w:p>
        </w:tc>
        <w:tc>
          <w:tcPr>
            <w:tcW w:w="0" w:type="dxa"/>
            <w:vAlign w:val="bottom"/>
          </w:tcPr>
          <w:p>
            <w:pPr>
              <w:spacing w:after="0"/>
              <w:rPr>
                <w:sz w:val="1"/>
                <w:szCs w:val="1"/>
                <w:color w:val="auto"/>
              </w:rPr>
            </w:pPr>
          </w:p>
        </w:tc>
      </w:tr>
      <w:tr>
        <w:trPr>
          <w:trHeight w:val="262"/>
        </w:trPr>
        <w:tc>
          <w:tcPr>
            <w:tcW w:w="3560" w:type="dxa"/>
            <w:vAlign w:val="bottom"/>
          </w:tcPr>
          <w:p>
            <w:pPr>
              <w:ind w:left="240"/>
              <w:spacing w:after="0"/>
              <w:rPr>
                <w:sz w:val="20"/>
                <w:szCs w:val="20"/>
                <w:color w:val="auto"/>
              </w:rPr>
            </w:pPr>
            <w:r>
              <w:rPr>
                <w:rFonts w:ascii="Arial" w:cs="Arial" w:eastAsia="Arial" w:hAnsi="Arial"/>
                <w:sz w:val="20"/>
                <w:szCs w:val="20"/>
                <w:color w:val="auto"/>
              </w:rPr>
              <w:t>Total</w:t>
            </w:r>
          </w:p>
        </w:tc>
        <w:tc>
          <w:tcPr>
            <w:tcW w:w="27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440" w:type="dxa"/>
            <w:vAlign w:val="bottom"/>
          </w:tcPr>
          <w:p>
            <w:pPr>
              <w:jc w:val="right"/>
              <w:spacing w:after="0"/>
              <w:rPr>
                <w:sz w:val="20"/>
                <w:szCs w:val="20"/>
                <w:color w:val="auto"/>
              </w:rPr>
            </w:pPr>
            <w:r>
              <w:rPr>
                <w:rFonts w:ascii="Arial" w:cs="Arial" w:eastAsia="Arial" w:hAnsi="Arial"/>
                <w:sz w:val="20"/>
                <w:szCs w:val="20"/>
                <w:color w:val="auto"/>
              </w:rPr>
              <w:t>83,134</w:t>
            </w:r>
          </w:p>
        </w:tc>
        <w:tc>
          <w:tcPr>
            <w:tcW w:w="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120" w:type="dxa"/>
            <w:vAlign w:val="bottom"/>
          </w:tcPr>
          <w:p>
            <w:pPr>
              <w:jc w:val="right"/>
              <w:spacing w:after="0"/>
              <w:rPr>
                <w:sz w:val="20"/>
                <w:szCs w:val="20"/>
                <w:color w:val="auto"/>
              </w:rPr>
            </w:pPr>
            <w:r>
              <w:rPr>
                <w:rFonts w:ascii="Arial" w:cs="Arial" w:eastAsia="Arial" w:hAnsi="Arial"/>
                <w:sz w:val="20"/>
                <w:szCs w:val="20"/>
                <w:color w:val="auto"/>
              </w:rPr>
              <w:t>50,987</w:t>
            </w:r>
          </w:p>
        </w:tc>
        <w:tc>
          <w:tcPr>
            <w:tcW w:w="0" w:type="dxa"/>
            <w:vAlign w:val="bottom"/>
          </w:tcPr>
          <w:p>
            <w:pPr>
              <w:spacing w:after="0"/>
              <w:rPr>
                <w:sz w:val="1"/>
                <w:szCs w:val="1"/>
                <w:color w:val="auto"/>
              </w:rPr>
            </w:pPr>
          </w:p>
        </w:tc>
      </w:tr>
      <w:tr>
        <w:trPr>
          <w:trHeight w:val="285"/>
        </w:trPr>
        <w:tc>
          <w:tcPr>
            <w:tcW w:w="3560" w:type="dxa"/>
            <w:vAlign w:val="bottom"/>
            <w:shd w:val="clear" w:color="auto" w:fill="CCEEFF"/>
          </w:tcPr>
          <w:p>
            <w:pPr>
              <w:ind w:left="20"/>
              <w:spacing w:after="0"/>
              <w:rPr>
                <w:sz w:val="20"/>
                <w:szCs w:val="20"/>
                <w:color w:val="auto"/>
              </w:rPr>
            </w:pPr>
            <w:r>
              <w:rPr>
                <w:rFonts w:ascii="Arial" w:cs="Arial" w:eastAsia="Arial" w:hAnsi="Arial"/>
                <w:sz w:val="20"/>
                <w:szCs w:val="20"/>
                <w:color w:val="auto"/>
              </w:rPr>
              <w:t>Less: accumulated depreciation</w:t>
            </w:r>
          </w:p>
        </w:tc>
        <w:tc>
          <w:tcPr>
            <w:tcW w:w="2760" w:type="dxa"/>
            <w:vAlign w:val="bottom"/>
            <w:shd w:val="clear" w:color="auto" w:fill="CCEEFF"/>
          </w:tcPr>
          <w:p>
            <w:pPr>
              <w:spacing w:after="0"/>
              <w:rPr>
                <w:sz w:val="24"/>
                <w:szCs w:val="24"/>
                <w:color w:val="auto"/>
              </w:rPr>
            </w:pPr>
          </w:p>
        </w:tc>
        <w:tc>
          <w:tcPr>
            <w:tcW w:w="980" w:type="dxa"/>
            <w:vAlign w:val="bottom"/>
            <w:tcBorders>
              <w:bottom w:val="single" w:sz="8" w:color="auto"/>
            </w:tcBorders>
            <w:shd w:val="clear" w:color="auto" w:fill="CCEEFF"/>
          </w:tcPr>
          <w:p>
            <w:pPr>
              <w:spacing w:after="0"/>
              <w:rPr>
                <w:sz w:val="24"/>
                <w:szCs w:val="24"/>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(28,470)</w:t>
            </w:r>
          </w:p>
        </w:tc>
        <w:tc>
          <w:tcPr>
            <w:tcW w:w="80" w:type="dxa"/>
            <w:vAlign w:val="bottom"/>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spacing w:after="0"/>
              <w:rPr>
                <w:sz w:val="24"/>
                <w:szCs w:val="24"/>
                <w:color w:val="auto"/>
              </w:rPr>
            </w:pPr>
          </w:p>
        </w:tc>
        <w:tc>
          <w:tcPr>
            <w:tcW w:w="2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(24,765)</w:t>
            </w:r>
          </w:p>
        </w:tc>
        <w:tc>
          <w:tcPr>
            <w:tcW w:w="0" w:type="dxa"/>
            <w:vAlign w:val="bottom"/>
          </w:tcPr>
          <w:p>
            <w:pPr>
              <w:spacing w:after="0"/>
              <w:rPr>
                <w:sz w:val="1"/>
                <w:szCs w:val="1"/>
                <w:color w:val="auto"/>
              </w:rPr>
            </w:pPr>
          </w:p>
        </w:tc>
      </w:tr>
      <w:tr>
        <w:trPr>
          <w:trHeight w:val="270"/>
        </w:trPr>
        <w:tc>
          <w:tcPr>
            <w:tcW w:w="3560" w:type="dxa"/>
            <w:vAlign w:val="bottom"/>
          </w:tcPr>
          <w:p>
            <w:pPr>
              <w:ind w:left="20"/>
              <w:spacing w:after="0"/>
              <w:rPr>
                <w:sz w:val="20"/>
                <w:szCs w:val="20"/>
                <w:color w:val="auto"/>
              </w:rPr>
            </w:pPr>
            <w:r>
              <w:rPr>
                <w:rFonts w:ascii="Arial" w:cs="Arial" w:eastAsia="Arial" w:hAnsi="Arial"/>
                <w:sz w:val="20"/>
                <w:szCs w:val="20"/>
                <w:color w:val="auto"/>
              </w:rPr>
              <w:t>Property, plant and equipment, net</w:t>
            </w:r>
          </w:p>
        </w:tc>
        <w:tc>
          <w:tcPr>
            <w:tcW w:w="2760" w:type="dxa"/>
            <w:vAlign w:val="bottom"/>
          </w:tcPr>
          <w:p>
            <w:pPr>
              <w:spacing w:after="0"/>
              <w:rPr>
                <w:sz w:val="23"/>
                <w:szCs w:val="23"/>
                <w:color w:val="auto"/>
              </w:rPr>
            </w:pPr>
          </w:p>
        </w:tc>
        <w:tc>
          <w:tcPr>
            <w:tcW w:w="980" w:type="dxa"/>
            <w:vAlign w:val="bottom"/>
            <w:tcBorders>
              <w:bottom w:val="single" w:sz="8" w:color="auto"/>
            </w:tcBorders>
          </w:tcPr>
          <w:p>
            <w:pPr>
              <w:jc w:val="right"/>
              <w:ind w:right="661"/>
              <w:spacing w:after="0"/>
              <w:rPr>
                <w:sz w:val="20"/>
                <w:szCs w:val="20"/>
                <w:color w:val="auto"/>
              </w:rPr>
            </w:pPr>
            <w:r>
              <w:rPr>
                <w:rFonts w:ascii="Arial" w:cs="Arial" w:eastAsia="Arial" w:hAnsi="Arial"/>
                <w:sz w:val="20"/>
                <w:szCs w:val="20"/>
                <w:color w:val="auto"/>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54,664</w:t>
            </w:r>
          </w:p>
        </w:tc>
        <w:tc>
          <w:tcPr>
            <w:tcW w:w="80" w:type="dxa"/>
            <w:vAlign w:val="bottom"/>
          </w:tcPr>
          <w:p>
            <w:pPr>
              <w:spacing w:after="0"/>
              <w:rPr>
                <w:sz w:val="23"/>
                <w:szCs w:val="23"/>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21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26,222</w:t>
            </w:r>
          </w:p>
        </w:tc>
        <w:tc>
          <w:tcPr>
            <w:tcW w:w="0" w:type="dxa"/>
            <w:vAlign w:val="bottom"/>
          </w:tcPr>
          <w:p>
            <w:pPr>
              <w:spacing w:after="0"/>
              <w:rPr>
                <w:sz w:val="1"/>
                <w:szCs w:val="1"/>
                <w:color w:val="auto"/>
              </w:rPr>
            </w:pPr>
          </w:p>
        </w:tc>
      </w:tr>
      <w:tr>
        <w:trPr>
          <w:trHeight w:val="27"/>
        </w:trPr>
        <w:tc>
          <w:tcPr>
            <w:tcW w:w="3560" w:type="dxa"/>
            <w:vAlign w:val="bottom"/>
          </w:tcPr>
          <w:p>
            <w:pPr>
              <w:spacing w:after="0"/>
              <w:rPr>
                <w:sz w:val="2"/>
                <w:szCs w:val="2"/>
                <w:color w:val="auto"/>
              </w:rPr>
            </w:pPr>
          </w:p>
        </w:tc>
        <w:tc>
          <w:tcPr>
            <w:tcW w:w="276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316" w:lineRule="exact"/>
        <w:rPr>
          <w:sz w:val="20"/>
          <w:szCs w:val="20"/>
          <w:color w:val="auto"/>
        </w:rPr>
      </w:pPr>
    </w:p>
    <w:p>
      <w:pPr>
        <w:jc w:val="both"/>
        <w:spacing w:after="0" w:line="269" w:lineRule="auto"/>
        <w:rPr>
          <w:sz w:val="20"/>
          <w:szCs w:val="20"/>
          <w:color w:val="auto"/>
        </w:rPr>
      </w:pPr>
      <w:r>
        <w:rPr>
          <w:rFonts w:ascii="Arial" w:cs="Arial" w:eastAsia="Arial" w:hAnsi="Arial"/>
          <w:sz w:val="20"/>
          <w:szCs w:val="20"/>
          <w:color w:val="auto"/>
        </w:rPr>
        <w:t>Depreciation expense was $1.6 million and $1.3 million for the three months ended September 30, 2025 and 2024, respectively, of which $0.8 million and $0.7 million, respectively, was included in Cost of product and service revenue and $0.8 million and $0.6 million, respectively, was included in Depreciation and amortization on the accompanying condensed consolidated statements of operations.</w:t>
      </w:r>
    </w:p>
    <w:p>
      <w:pPr>
        <w:spacing w:after="0" w:line="211" w:lineRule="exact"/>
        <w:rPr>
          <w:sz w:val="20"/>
          <w:szCs w:val="20"/>
          <w:color w:val="auto"/>
        </w:rPr>
      </w:pPr>
    </w:p>
    <w:p>
      <w:pPr>
        <w:jc w:val="both"/>
        <w:spacing w:after="0" w:line="269" w:lineRule="auto"/>
        <w:rPr>
          <w:sz w:val="20"/>
          <w:szCs w:val="20"/>
          <w:color w:val="auto"/>
        </w:rPr>
      </w:pPr>
      <w:r>
        <w:rPr>
          <w:rFonts w:ascii="Arial" w:cs="Arial" w:eastAsia="Arial" w:hAnsi="Arial"/>
          <w:sz w:val="20"/>
          <w:szCs w:val="20"/>
          <w:color w:val="auto"/>
        </w:rPr>
        <w:t>Depreciation expense was $3.8 million and $3.3 million for the nine months ended September 30, 2025 and 2024, respectively, of which $2.0 million and $1.6 million, respectively, was included in Cost of product and service revenue and $1.8 million and $1.7 million, respectively, was included in Depreciation and amortization on the accompanying condensed consolidated statements of operations.</w:t>
      </w:r>
    </w:p>
    <w:p>
      <w:pPr>
        <w:spacing w:after="0" w:line="195" w:lineRule="exact"/>
        <w:rPr>
          <w:sz w:val="20"/>
          <w:szCs w:val="20"/>
          <w:color w:val="auto"/>
        </w:rPr>
      </w:pPr>
    </w:p>
    <w:p>
      <w:pPr>
        <w:ind w:left="400" w:hanging="392"/>
        <w:spacing w:after="0"/>
        <w:tabs>
          <w:tab w:leader="none" w:pos="400" w:val="left"/>
        </w:tabs>
        <w:numPr>
          <w:ilvl w:val="0"/>
          <w:numId w:val="11"/>
        </w:numPr>
        <w:rPr>
          <w:rFonts w:ascii="Arial" w:cs="Arial" w:eastAsia="Arial" w:hAnsi="Arial"/>
          <w:sz w:val="20"/>
          <w:szCs w:val="20"/>
          <w:b w:val="1"/>
          <w:bCs w:val="1"/>
          <w:color w:val="auto"/>
        </w:rPr>
      </w:pPr>
      <w:r>
        <w:rPr>
          <w:rFonts w:ascii="Arial" w:cs="Arial" w:eastAsia="Arial" w:hAnsi="Arial"/>
          <w:sz w:val="20"/>
          <w:szCs w:val="20"/>
          <w:b w:val="1"/>
          <w:bCs w:val="1"/>
          <w:color w:val="auto"/>
        </w:rPr>
        <w:t>Goodwill and Other Intangible Assets, Net</w:t>
      </w:r>
    </w:p>
    <w:p>
      <w:pPr>
        <w:spacing w:after="0" w:line="25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Goodwill</w:t>
      </w:r>
    </w:p>
    <w:p>
      <w:pPr>
        <w:spacing w:after="0" w:line="137" w:lineRule="exact"/>
        <w:rPr>
          <w:sz w:val="20"/>
          <w:szCs w:val="20"/>
          <w:color w:val="auto"/>
        </w:rPr>
      </w:pPr>
    </w:p>
    <w:p>
      <w:pPr>
        <w:ind w:right="20"/>
        <w:spacing w:after="0" w:line="273" w:lineRule="auto"/>
        <w:rPr>
          <w:sz w:val="20"/>
          <w:szCs w:val="20"/>
          <w:color w:val="auto"/>
        </w:rPr>
      </w:pPr>
      <w:r>
        <w:rPr>
          <w:rFonts w:ascii="Arial" w:cs="Arial" w:eastAsia="Arial" w:hAnsi="Arial"/>
          <w:sz w:val="20"/>
          <w:szCs w:val="20"/>
          <w:color w:val="auto"/>
        </w:rPr>
        <w:t>Changes in the carrying amount of goodwill by operating segment during the nine months ended September 30, 2025, consisted of the following (in thousands):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60" w:type="dxa"/>
            <w:vAlign w:val="bottom"/>
            <w:gridSpan w:val="2"/>
          </w:tcPr>
          <w:p>
            <w:pPr>
              <w:jc w:val="center"/>
              <w:ind w:right="400"/>
              <w:spacing w:after="0"/>
              <w:rPr>
                <w:sz w:val="20"/>
                <w:szCs w:val="20"/>
                <w:color w:val="auto"/>
              </w:rPr>
            </w:pPr>
            <w:r>
              <w:rPr>
                <w:rFonts w:ascii="Arial" w:cs="Arial" w:eastAsia="Arial" w:hAnsi="Arial"/>
                <w:sz w:val="20"/>
                <w:szCs w:val="20"/>
                <w:b w:val="1"/>
                <w:bCs w:val="1"/>
                <w:color w:val="auto"/>
                <w:w w:val="99"/>
              </w:rPr>
              <w:t>Array Legacy</w:t>
            </w:r>
          </w:p>
        </w:tc>
        <w:tc>
          <w:tcPr>
            <w:tcW w:w="30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780" w:type="dxa"/>
            <w:vAlign w:val="bottom"/>
          </w:tcPr>
          <w:p>
            <w:pPr>
              <w:spacing w:after="0"/>
              <w:rPr>
                <w:sz w:val="19"/>
                <w:szCs w:val="19"/>
                <w:color w:val="auto"/>
              </w:rPr>
            </w:pPr>
          </w:p>
        </w:tc>
      </w:tr>
      <w:tr>
        <w:trPr>
          <w:trHeight w:val="267"/>
        </w:trPr>
        <w:tc>
          <w:tcPr>
            <w:tcW w:w="41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2060" w:type="dxa"/>
            <w:vAlign w:val="bottom"/>
            <w:gridSpan w:val="2"/>
          </w:tcPr>
          <w:p>
            <w:pPr>
              <w:jc w:val="center"/>
              <w:ind w:right="420"/>
              <w:spacing w:after="0"/>
              <w:rPr>
                <w:sz w:val="20"/>
                <w:szCs w:val="20"/>
                <w:color w:val="auto"/>
              </w:rPr>
            </w:pPr>
            <w:r>
              <w:rPr>
                <w:rFonts w:ascii="Arial" w:cs="Arial" w:eastAsia="Arial" w:hAnsi="Arial"/>
                <w:sz w:val="20"/>
                <w:szCs w:val="20"/>
                <w:b w:val="1"/>
                <w:bCs w:val="1"/>
                <w:color w:val="auto"/>
                <w:w w:val="98"/>
              </w:rPr>
              <w:t>Operations</w:t>
            </w:r>
          </w:p>
        </w:tc>
        <w:tc>
          <w:tcPr>
            <w:tcW w:w="300" w:type="dxa"/>
            <w:vAlign w:val="bottom"/>
          </w:tcPr>
          <w:p>
            <w:pPr>
              <w:spacing w:after="0"/>
              <w:rPr>
                <w:sz w:val="23"/>
                <w:szCs w:val="23"/>
                <w:color w:val="auto"/>
              </w:rPr>
            </w:pPr>
          </w:p>
        </w:tc>
        <w:tc>
          <w:tcPr>
            <w:tcW w:w="2100" w:type="dxa"/>
            <w:vAlign w:val="bottom"/>
            <w:gridSpan w:val="2"/>
          </w:tcPr>
          <w:p>
            <w:pPr>
              <w:ind w:left="160"/>
              <w:spacing w:after="0"/>
              <w:rPr>
                <w:sz w:val="20"/>
                <w:szCs w:val="20"/>
                <w:color w:val="auto"/>
              </w:rPr>
            </w:pPr>
            <w:r>
              <w:rPr>
                <w:rFonts w:ascii="Arial" w:cs="Arial" w:eastAsia="Arial" w:hAnsi="Arial"/>
                <w:sz w:val="20"/>
                <w:szCs w:val="20"/>
                <w:b w:val="1"/>
                <w:bCs w:val="1"/>
                <w:color w:val="auto"/>
              </w:rPr>
              <w:t>STI Operations</w:t>
            </w:r>
          </w:p>
        </w:tc>
        <w:tc>
          <w:tcPr>
            <w:tcW w:w="520" w:type="dxa"/>
            <w:vAlign w:val="bottom"/>
          </w:tcPr>
          <w:p>
            <w:pPr>
              <w:spacing w:after="0"/>
              <w:rPr>
                <w:sz w:val="23"/>
                <w:szCs w:val="23"/>
                <w:color w:val="auto"/>
              </w:rPr>
            </w:pPr>
          </w:p>
        </w:tc>
        <w:tc>
          <w:tcPr>
            <w:tcW w:w="1780" w:type="dxa"/>
            <w:vAlign w:val="bottom"/>
          </w:tcPr>
          <w:p>
            <w:pPr>
              <w:jc w:val="right"/>
              <w:ind w:right="821"/>
              <w:spacing w:after="0"/>
              <w:rPr>
                <w:sz w:val="20"/>
                <w:szCs w:val="20"/>
                <w:color w:val="auto"/>
              </w:rPr>
            </w:pPr>
            <w:r>
              <w:rPr>
                <w:rFonts w:ascii="Arial" w:cs="Arial" w:eastAsia="Arial" w:hAnsi="Arial"/>
                <w:sz w:val="20"/>
                <w:szCs w:val="20"/>
                <w:b w:val="1"/>
                <w:bCs w:val="1"/>
                <w:color w:val="auto"/>
              </w:rPr>
              <w:t>Total</w:t>
            </w:r>
          </w:p>
        </w:tc>
      </w:tr>
      <w:tr>
        <w:trPr>
          <w:trHeight w:val="263"/>
        </w:trPr>
        <w:tc>
          <w:tcPr>
            <w:tcW w:w="41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20"/>
                <w:szCs w:val="20"/>
                <w:color w:val="auto"/>
              </w:rPr>
              <w:t>Beginning balance</w:t>
            </w:r>
          </w:p>
        </w:tc>
        <w:tc>
          <w:tcPr>
            <w:tcW w:w="320" w:type="dxa"/>
            <w:vAlign w:val="bottom"/>
            <w:tcBorders>
              <w:top w:val="single" w:sz="8" w:color="auto"/>
            </w:tcBorders>
            <w:shd w:val="clear" w:color="auto" w:fill="CCEEFF"/>
          </w:tcPr>
          <w:p>
            <w:pPr>
              <w:jc w:val="right"/>
              <w:ind w:right="101"/>
              <w:spacing w:after="0"/>
              <w:rPr>
                <w:sz w:val="20"/>
                <w:szCs w:val="20"/>
                <w:color w:val="auto"/>
              </w:rPr>
            </w:pPr>
            <w:r>
              <w:rPr>
                <w:rFonts w:ascii="Arial" w:cs="Arial" w:eastAsia="Arial" w:hAnsi="Arial"/>
                <w:sz w:val="20"/>
                <w:szCs w:val="20"/>
                <w:color w:val="auto"/>
                <w:w w:val="89"/>
              </w:rPr>
              <w:t>$</w:t>
            </w:r>
          </w:p>
        </w:tc>
        <w:tc>
          <w:tcPr>
            <w:tcW w:w="1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69,727</w:t>
            </w:r>
          </w:p>
        </w:tc>
        <w:tc>
          <w:tcPr>
            <w:tcW w:w="80" w:type="dxa"/>
            <w:vAlign w:val="bottom"/>
            <w:tcBorders>
              <w:top w:val="single" w:sz="8" w:color="CCEEFF"/>
            </w:tcBorders>
            <w:shd w:val="clear" w:color="auto" w:fill="CCEEFF"/>
          </w:tcPr>
          <w:p>
            <w:pPr>
              <w:spacing w:after="0"/>
              <w:rPr>
                <w:sz w:val="22"/>
                <w:szCs w:val="22"/>
                <w:color w:val="auto"/>
              </w:rPr>
            </w:pPr>
          </w:p>
        </w:tc>
        <w:tc>
          <w:tcPr>
            <w:tcW w:w="300" w:type="dxa"/>
            <w:vAlign w:val="bottom"/>
            <w:tcBorders>
              <w:top w:val="single" w:sz="8" w:color="auto"/>
            </w:tcBorders>
            <w:shd w:val="clear" w:color="auto" w:fill="CCEEFF"/>
          </w:tcPr>
          <w:p>
            <w:pPr>
              <w:jc w:val="right"/>
              <w:ind w:right="61"/>
              <w:spacing w:after="0"/>
              <w:rPr>
                <w:sz w:val="20"/>
                <w:szCs w:val="20"/>
                <w:color w:val="auto"/>
              </w:rPr>
            </w:pPr>
            <w:r>
              <w:rPr>
                <w:rFonts w:ascii="Arial" w:cs="Arial" w:eastAsia="Arial" w:hAnsi="Arial"/>
                <w:sz w:val="20"/>
                <w:szCs w:val="20"/>
                <w:color w:val="auto"/>
              </w:rPr>
              <w:t>$</w:t>
            </w:r>
          </w:p>
        </w:tc>
        <w:tc>
          <w:tcPr>
            <w:tcW w:w="202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20"/>
                <w:szCs w:val="20"/>
                <w:color w:val="auto"/>
              </w:rPr>
              <w:t>90,462</w:t>
            </w:r>
          </w:p>
        </w:tc>
        <w:tc>
          <w:tcPr>
            <w:tcW w:w="80" w:type="dxa"/>
            <w:vAlign w:val="bottom"/>
            <w:tcBorders>
              <w:top w:val="single" w:sz="8" w:color="CCEEFF"/>
            </w:tcBorders>
            <w:shd w:val="clear" w:color="auto" w:fill="CCEEFF"/>
          </w:tcPr>
          <w:p>
            <w:pPr>
              <w:spacing w:after="0"/>
              <w:rPr>
                <w:sz w:val="22"/>
                <w:szCs w:val="22"/>
                <w:color w:val="auto"/>
              </w:rPr>
            </w:pPr>
          </w:p>
        </w:tc>
        <w:tc>
          <w:tcPr>
            <w:tcW w:w="520" w:type="dxa"/>
            <w:vAlign w:val="bottom"/>
            <w:tcBorders>
              <w:top w:val="single" w:sz="8" w:color="auto"/>
            </w:tcBorders>
            <w:shd w:val="clear" w:color="auto" w:fill="CCEEFF"/>
          </w:tcPr>
          <w:p>
            <w:pPr>
              <w:jc w:val="right"/>
              <w:ind w:right="301"/>
              <w:spacing w:after="0"/>
              <w:rPr>
                <w:sz w:val="20"/>
                <w:szCs w:val="20"/>
                <w:color w:val="auto"/>
              </w:rPr>
            </w:pPr>
            <w:r>
              <w:rPr>
                <w:rFonts w:ascii="Arial" w:cs="Arial" w:eastAsia="Arial" w:hAnsi="Arial"/>
                <w:sz w:val="20"/>
                <w:szCs w:val="20"/>
                <w:color w:val="auto"/>
                <w:w w:val="89"/>
              </w:rPr>
              <w:t>$</w:t>
            </w:r>
          </w:p>
        </w:tc>
        <w:tc>
          <w:tcPr>
            <w:tcW w:w="1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160,189</w:t>
            </w:r>
          </w:p>
        </w:tc>
      </w:tr>
      <w:tr>
        <w:trPr>
          <w:trHeight w:val="268"/>
        </w:trPr>
        <w:tc>
          <w:tcPr>
            <w:tcW w:w="4160" w:type="dxa"/>
            <w:vAlign w:val="bottom"/>
          </w:tcPr>
          <w:p>
            <w:pPr>
              <w:ind w:left="20"/>
              <w:spacing w:after="0"/>
              <w:rPr>
                <w:sz w:val="20"/>
                <w:szCs w:val="20"/>
                <w:color w:val="auto"/>
              </w:rPr>
            </w:pPr>
            <w:r>
              <w:rPr>
                <w:rFonts w:ascii="Arial" w:cs="Arial" w:eastAsia="Arial" w:hAnsi="Arial"/>
                <w:sz w:val="20"/>
                <w:szCs w:val="20"/>
                <w:color w:val="auto"/>
              </w:rPr>
              <w:t>Acquisition</w:t>
            </w:r>
          </w:p>
        </w:tc>
        <w:tc>
          <w:tcPr>
            <w:tcW w:w="320" w:type="dxa"/>
            <w:vAlign w:val="bottom"/>
          </w:tcPr>
          <w:p>
            <w:pPr>
              <w:spacing w:after="0"/>
              <w:rPr>
                <w:sz w:val="23"/>
                <w:szCs w:val="23"/>
                <w:color w:val="auto"/>
              </w:rPr>
            </w:pPr>
          </w:p>
        </w:tc>
        <w:tc>
          <w:tcPr>
            <w:tcW w:w="1980" w:type="dxa"/>
            <w:vAlign w:val="bottom"/>
          </w:tcPr>
          <w:p>
            <w:pPr>
              <w:jc w:val="right"/>
              <w:spacing w:after="0"/>
              <w:rPr>
                <w:sz w:val="20"/>
                <w:szCs w:val="20"/>
                <w:color w:val="auto"/>
              </w:rPr>
            </w:pPr>
            <w:r>
              <w:rPr>
                <w:rFonts w:ascii="Arial" w:cs="Arial" w:eastAsia="Arial" w:hAnsi="Arial"/>
                <w:sz w:val="20"/>
                <w:szCs w:val="20"/>
                <w:color w:val="auto"/>
              </w:rPr>
              <w:t>72,911</w:t>
            </w:r>
          </w:p>
        </w:tc>
        <w:tc>
          <w:tcPr>
            <w:tcW w:w="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100" w:type="dxa"/>
            <w:vAlign w:val="bottom"/>
            <w:gridSpan w:val="2"/>
          </w:tcPr>
          <w:p>
            <w:pPr>
              <w:jc w:val="right"/>
              <w:ind w:right="180"/>
              <w:spacing w:after="0"/>
              <w:rPr>
                <w:sz w:val="20"/>
                <w:szCs w:val="20"/>
                <w:color w:val="auto"/>
              </w:rPr>
            </w:pPr>
            <w:r>
              <w:rPr>
                <w:rFonts w:ascii="Arial" w:cs="Arial" w:eastAsia="Arial" w:hAnsi="Arial"/>
                <w:sz w:val="20"/>
                <w:szCs w:val="20"/>
                <w:color w:val="auto"/>
              </w:rPr>
              <w:t>—</w:t>
            </w:r>
          </w:p>
        </w:tc>
        <w:tc>
          <w:tcPr>
            <w:tcW w:w="520" w:type="dxa"/>
            <w:vAlign w:val="bottom"/>
          </w:tcPr>
          <w:p>
            <w:pPr>
              <w:spacing w:after="0"/>
              <w:rPr>
                <w:sz w:val="23"/>
                <w:szCs w:val="23"/>
                <w:color w:val="auto"/>
              </w:rPr>
            </w:pPr>
          </w:p>
        </w:tc>
        <w:tc>
          <w:tcPr>
            <w:tcW w:w="1780" w:type="dxa"/>
            <w:vAlign w:val="bottom"/>
          </w:tcPr>
          <w:p>
            <w:pPr>
              <w:jc w:val="right"/>
              <w:spacing w:after="0"/>
              <w:rPr>
                <w:sz w:val="20"/>
                <w:szCs w:val="20"/>
                <w:color w:val="auto"/>
              </w:rPr>
            </w:pPr>
            <w:r>
              <w:rPr>
                <w:rFonts w:ascii="Arial" w:cs="Arial" w:eastAsia="Arial" w:hAnsi="Arial"/>
                <w:sz w:val="20"/>
                <w:szCs w:val="20"/>
                <w:color w:val="auto"/>
              </w:rPr>
              <w:t>72,911</w:t>
            </w:r>
          </w:p>
        </w:tc>
      </w:tr>
      <w:tr>
        <w:trPr>
          <w:trHeight w:val="272"/>
        </w:trPr>
        <w:tc>
          <w:tcPr>
            <w:tcW w:w="4160" w:type="dxa"/>
            <w:vAlign w:val="bottom"/>
            <w:shd w:val="clear" w:color="auto" w:fill="CCEEFF"/>
          </w:tcPr>
          <w:p>
            <w:pPr>
              <w:ind w:left="20"/>
              <w:spacing w:after="0"/>
              <w:rPr>
                <w:sz w:val="20"/>
                <w:szCs w:val="20"/>
                <w:color w:val="auto"/>
              </w:rPr>
            </w:pPr>
            <w:r>
              <w:rPr>
                <w:rFonts w:ascii="Arial" w:cs="Arial" w:eastAsia="Arial" w:hAnsi="Arial"/>
                <w:sz w:val="20"/>
                <w:szCs w:val="20"/>
                <w:color w:val="auto"/>
              </w:rPr>
              <w:t>Foreign currency translation</w:t>
            </w:r>
          </w:p>
        </w:tc>
        <w:tc>
          <w:tcPr>
            <w:tcW w:w="320" w:type="dxa"/>
            <w:vAlign w:val="bottom"/>
            <w:shd w:val="clear" w:color="auto" w:fill="CCEEFF"/>
          </w:tcPr>
          <w:p>
            <w:pPr>
              <w:spacing w:after="0"/>
              <w:rPr>
                <w:sz w:val="23"/>
                <w:szCs w:val="23"/>
                <w:color w:val="auto"/>
              </w:rPr>
            </w:pPr>
          </w:p>
        </w:tc>
        <w:tc>
          <w:tcPr>
            <w:tcW w:w="2060" w:type="dxa"/>
            <w:vAlign w:val="bottom"/>
            <w:gridSpan w:val="2"/>
            <w:shd w:val="clear" w:color="auto" w:fill="CCEEFF"/>
          </w:tcPr>
          <w:p>
            <w:pPr>
              <w:jc w:val="right"/>
              <w:ind w:right="160"/>
              <w:spacing w:after="0"/>
              <w:rPr>
                <w:sz w:val="20"/>
                <w:szCs w:val="20"/>
                <w:color w:val="auto"/>
              </w:rPr>
            </w:pPr>
            <w:r>
              <w:rPr>
                <w:rFonts w:ascii="Arial" w:cs="Arial" w:eastAsia="Arial" w:hAnsi="Arial"/>
                <w:sz w:val="20"/>
                <w:szCs w:val="20"/>
                <w:color w:val="auto"/>
              </w:rPr>
              <w:t>—</w:t>
            </w:r>
          </w:p>
        </w:tc>
        <w:tc>
          <w:tcPr>
            <w:tcW w:w="300" w:type="dxa"/>
            <w:vAlign w:val="bottom"/>
            <w:shd w:val="clear" w:color="auto" w:fill="CCEEFF"/>
          </w:tcPr>
          <w:p>
            <w:pPr>
              <w:spacing w:after="0"/>
              <w:rPr>
                <w:sz w:val="23"/>
                <w:szCs w:val="23"/>
                <w:color w:val="auto"/>
              </w:rPr>
            </w:pPr>
          </w:p>
        </w:tc>
        <w:tc>
          <w:tcPr>
            <w:tcW w:w="2020" w:type="dxa"/>
            <w:vAlign w:val="bottom"/>
            <w:shd w:val="clear" w:color="auto" w:fill="CCEEFF"/>
          </w:tcPr>
          <w:p>
            <w:pPr>
              <w:jc w:val="right"/>
              <w:ind w:right="1"/>
              <w:spacing w:after="0"/>
              <w:rPr>
                <w:sz w:val="20"/>
                <w:szCs w:val="20"/>
                <w:color w:val="auto"/>
              </w:rPr>
            </w:pPr>
            <w:r>
              <w:rPr>
                <w:rFonts w:ascii="Arial" w:cs="Arial" w:eastAsia="Arial" w:hAnsi="Arial"/>
                <w:sz w:val="20"/>
                <w:szCs w:val="20"/>
                <w:color w:val="auto"/>
              </w:rPr>
              <w:t>12,115</w:t>
            </w:r>
          </w:p>
        </w:tc>
        <w:tc>
          <w:tcPr>
            <w:tcW w:w="8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12,115</w:t>
            </w:r>
          </w:p>
        </w:tc>
      </w:tr>
      <w:tr>
        <w:trPr>
          <w:trHeight w:val="263"/>
        </w:trPr>
        <w:tc>
          <w:tcPr>
            <w:tcW w:w="4160" w:type="dxa"/>
            <w:vAlign w:val="bottom"/>
          </w:tcPr>
          <w:p>
            <w:pPr>
              <w:ind w:left="20"/>
              <w:spacing w:after="0" w:line="263" w:lineRule="exact"/>
              <w:rPr>
                <w:sz w:val="20"/>
                <w:szCs w:val="20"/>
                <w:color w:val="auto"/>
              </w:rPr>
            </w:pPr>
            <w:r>
              <w:rPr>
                <w:rFonts w:ascii="Arial" w:cs="Arial" w:eastAsia="Arial" w:hAnsi="Arial"/>
                <w:sz w:val="20"/>
                <w:szCs w:val="20"/>
                <w:color w:val="auto"/>
              </w:rPr>
              <w:t xml:space="preserve">Ending balance </w:t>
            </w:r>
            <w:r>
              <w:rPr>
                <w:rFonts w:ascii="Arial" w:cs="Arial" w:eastAsia="Arial" w:hAnsi="Arial"/>
                <w:sz w:val="25"/>
                <w:szCs w:val="25"/>
                <w:color w:val="auto"/>
                <w:vertAlign w:val="superscript"/>
              </w:rPr>
              <w:t>(1)</w:t>
            </w:r>
          </w:p>
        </w:tc>
        <w:tc>
          <w:tcPr>
            <w:tcW w:w="320" w:type="dxa"/>
            <w:vAlign w:val="bottom"/>
            <w:tcBorders>
              <w:top w:val="single" w:sz="8" w:color="auto"/>
              <w:bottom w:val="single" w:sz="8" w:color="auto"/>
            </w:tcBorders>
          </w:tcPr>
          <w:p>
            <w:pPr>
              <w:jc w:val="right"/>
              <w:ind w:right="101"/>
              <w:spacing w:after="0"/>
              <w:rPr>
                <w:sz w:val="20"/>
                <w:szCs w:val="20"/>
                <w:color w:val="auto"/>
              </w:rPr>
            </w:pPr>
            <w:r>
              <w:rPr>
                <w:rFonts w:ascii="Arial" w:cs="Arial" w:eastAsia="Arial" w:hAnsi="Arial"/>
                <w:sz w:val="20"/>
                <w:szCs w:val="20"/>
                <w:color w:val="auto"/>
                <w:w w:val="89"/>
              </w:rPr>
              <w:t>$</w:t>
            </w:r>
          </w:p>
        </w:tc>
        <w:tc>
          <w:tcPr>
            <w:tcW w:w="1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142,638</w:t>
            </w:r>
          </w:p>
        </w:tc>
        <w:tc>
          <w:tcPr>
            <w:tcW w:w="8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61"/>
              <w:spacing w:after="0"/>
              <w:rPr>
                <w:sz w:val="20"/>
                <w:szCs w:val="20"/>
                <w:color w:val="auto"/>
              </w:rPr>
            </w:pPr>
            <w:r>
              <w:rPr>
                <w:rFonts w:ascii="Arial" w:cs="Arial" w:eastAsia="Arial" w:hAnsi="Arial"/>
                <w:sz w:val="20"/>
                <w:szCs w:val="20"/>
                <w:color w:val="auto"/>
              </w:rPr>
              <w:t>$</w:t>
            </w:r>
          </w:p>
        </w:tc>
        <w:tc>
          <w:tcPr>
            <w:tcW w:w="202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20"/>
                <w:szCs w:val="20"/>
                <w:color w:val="auto"/>
              </w:rPr>
              <w:t>102,577</w:t>
            </w:r>
          </w:p>
        </w:tc>
        <w:tc>
          <w:tcPr>
            <w:tcW w:w="80" w:type="dxa"/>
            <w:vAlign w:val="bottom"/>
          </w:tcPr>
          <w:p>
            <w:pPr>
              <w:spacing w:after="0"/>
              <w:rPr>
                <w:sz w:val="22"/>
                <w:szCs w:val="22"/>
                <w:color w:val="auto"/>
              </w:rPr>
            </w:pPr>
          </w:p>
        </w:tc>
        <w:tc>
          <w:tcPr>
            <w:tcW w:w="520" w:type="dxa"/>
            <w:vAlign w:val="bottom"/>
            <w:tcBorders>
              <w:top w:val="single" w:sz="8" w:color="auto"/>
              <w:bottom w:val="single" w:sz="8" w:color="auto"/>
            </w:tcBorders>
          </w:tcPr>
          <w:p>
            <w:pPr>
              <w:jc w:val="right"/>
              <w:ind w:right="301"/>
              <w:spacing w:after="0"/>
              <w:rPr>
                <w:sz w:val="20"/>
                <w:szCs w:val="20"/>
                <w:color w:val="auto"/>
              </w:rPr>
            </w:pPr>
            <w:r>
              <w:rPr>
                <w:rFonts w:ascii="Arial" w:cs="Arial" w:eastAsia="Arial" w:hAnsi="Arial"/>
                <w:sz w:val="20"/>
                <w:szCs w:val="20"/>
                <w:color w:val="auto"/>
                <w:w w:val="89"/>
              </w:rPr>
              <w:t>$</w:t>
            </w:r>
          </w:p>
        </w:tc>
        <w:tc>
          <w:tcPr>
            <w:tcW w:w="1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245,215</w:t>
            </w:r>
          </w:p>
        </w:tc>
      </w:tr>
      <w:tr>
        <w:trPr>
          <w:trHeight w:val="21"/>
        </w:trPr>
        <w:tc>
          <w:tcPr>
            <w:tcW w:w="41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r>
    </w:tbl>
    <w:p>
      <w:pPr>
        <w:spacing w:after="0" w:line="80" w:lineRule="exact"/>
        <w:rPr>
          <w:sz w:val="20"/>
          <w:szCs w:val="20"/>
          <w:color w:val="auto"/>
        </w:rPr>
      </w:pPr>
    </w:p>
    <w:p>
      <w:pPr>
        <w:ind w:firstLine="8"/>
        <w:spacing w:after="0" w:line="207" w:lineRule="auto"/>
        <w:tabs>
          <w:tab w:leader="none" w:pos="228" w:val="left"/>
        </w:tabs>
        <w:numPr>
          <w:ilvl w:val="0"/>
          <w:numId w:val="12"/>
        </w:numPr>
        <w:rPr>
          <w:rFonts w:ascii="Arial" w:cs="Arial" w:eastAsia="Arial" w:hAnsi="Arial"/>
          <w:sz w:val="26"/>
          <w:szCs w:val="26"/>
          <w:color w:val="auto"/>
          <w:vertAlign w:val="superscript"/>
        </w:rPr>
      </w:pPr>
      <w:r>
        <w:rPr>
          <w:rFonts w:ascii="Arial" w:cs="Arial" w:eastAsia="Arial" w:hAnsi="Arial"/>
          <w:sz w:val="16"/>
          <w:szCs w:val="16"/>
          <w:color w:val="auto"/>
        </w:rPr>
        <w:t>Goodwill attributable to Array Legacy Operations is net of cumulative impairments of $51.9 million. Goodwill attributable to STI Operations is net of cumulative impairments of $236.0 million.</w:t>
      </w:r>
    </w:p>
    <w:p>
      <w:pPr>
        <w:spacing w:after="0" w:line="237" w:lineRule="exact"/>
        <w:rPr>
          <w:sz w:val="20"/>
          <w:szCs w:val="20"/>
          <w:color w:val="auto"/>
        </w:rPr>
      </w:pPr>
    </w:p>
    <w:p>
      <w:pPr>
        <w:jc w:val="both"/>
        <w:spacing w:after="0" w:line="265" w:lineRule="auto"/>
        <w:rPr>
          <w:sz w:val="20"/>
          <w:szCs w:val="20"/>
          <w:color w:val="auto"/>
        </w:rPr>
      </w:pPr>
      <w:r>
        <w:rPr>
          <w:rFonts w:ascii="Arial" w:cs="Arial" w:eastAsia="Arial" w:hAnsi="Arial"/>
          <w:sz w:val="20"/>
          <w:szCs w:val="20"/>
          <w:color w:val="auto"/>
        </w:rPr>
        <w:t xml:space="preserve">As discussed in </w:t>
      </w:r>
      <w:r>
        <w:rPr>
          <w:rFonts w:ascii="Arial" w:cs="Arial" w:eastAsia="Arial" w:hAnsi="Arial"/>
          <w:sz w:val="20"/>
          <w:szCs w:val="20"/>
          <w:u w:val="single" w:color="auto"/>
          <w:color w:val="0000FF"/>
        </w:rPr>
        <w:t>Note 3 - Acquisition</w:t>
      </w:r>
      <w:r>
        <w:rPr>
          <w:rFonts w:ascii="Arial" w:cs="Arial" w:eastAsia="Arial" w:hAnsi="Arial"/>
          <w:sz w:val="20"/>
          <w:szCs w:val="20"/>
          <w:color w:val="auto"/>
        </w:rPr>
        <w:t>, on the Closing Date, the Company acquired APA. A preliminary goodwill balance of $72.9 million was recognized for the excess of the consideration transferred over the net assets acquired. Goodwill resulting from this transaction has not yet been allocated at the reporting unit level. Goodwill will be allocated to the appropriate reporting unit during the measurement period once the Company has completed its analysis of the impact of the acquisition on its reporting units.</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23" w:name="page24"/>
    <w:bookmarkEnd w:id="23"/>
    <w:p>
      <w:pPr>
        <w:spacing w:after="0" w:line="200" w:lineRule="exact"/>
        <w:rPr>
          <w:sz w:val="20"/>
          <w:szCs w:val="20"/>
          <w:color w:val="auto"/>
        </w:rPr>
      </w:pPr>
    </w:p>
    <w:p>
      <w:pPr>
        <w:spacing w:after="0" w:line="355" w:lineRule="exact"/>
        <w:rPr>
          <w:sz w:val="20"/>
          <w:szCs w:val="20"/>
          <w:color w:val="auto"/>
        </w:rPr>
      </w:pPr>
    </w:p>
    <w:p>
      <w:pPr>
        <w:jc w:val="both"/>
        <w:spacing w:after="0" w:line="276" w:lineRule="auto"/>
        <w:rPr>
          <w:sz w:val="20"/>
          <w:szCs w:val="20"/>
          <w:color w:val="auto"/>
        </w:rPr>
      </w:pPr>
      <w:r>
        <w:rPr>
          <w:rFonts w:ascii="Arial" w:cs="Arial" w:eastAsia="Arial" w:hAnsi="Arial"/>
          <w:sz w:val="20"/>
          <w:szCs w:val="20"/>
          <w:color w:val="auto"/>
        </w:rPr>
        <w:t>The Company tests goodwill for impairment annually, or more frequently if facts and circumstances indicate that it is more likely than not that the fair value of its reporting units is less than their carrying value, which would require the Company to perform an interim goodwill impairment test. There were no indicators of impairment as of September 30, 2025.</w:t>
      </w:r>
    </w:p>
    <w:p>
      <w:pPr>
        <w:spacing w:after="0" w:line="192" w:lineRule="exact"/>
        <w:rPr>
          <w:sz w:val="20"/>
          <w:szCs w:val="20"/>
          <w:color w:val="auto"/>
        </w:rPr>
      </w:pPr>
    </w:p>
    <w:p>
      <w:pPr>
        <w:jc w:val="both"/>
        <w:spacing w:after="0" w:line="262" w:lineRule="auto"/>
        <w:rPr>
          <w:sz w:val="20"/>
          <w:szCs w:val="20"/>
          <w:color w:val="auto"/>
        </w:rPr>
      </w:pPr>
      <w:r>
        <w:rPr>
          <w:rFonts w:ascii="Arial" w:cs="Arial" w:eastAsia="Arial" w:hAnsi="Arial"/>
          <w:sz w:val="20"/>
          <w:szCs w:val="20"/>
          <w:color w:val="auto"/>
        </w:rPr>
        <w:t>During the three months ended September 30, 2024, the Company identified indicators of impairment related to the Company’s reporting units. The Company experienced a sustained decline in its stock price, which hit a 52-week low during the quarter, resulting in a decrease in market capitalization. In addition, the Company updated its long-term projections for the Company’s reporting units and further evaluated the execution risk associated with the Company’s projections. The fair value of the Array Legacy Operations and STI Operations reporting units were determined using the income approach and then compared to the Guideline publicly traded companies (“GPC”) marketplace EBITDA multiples to corroborate the fair value of the reporting unit. As the fair value of the STI Operations reporting unit was less than its carrying value, the Company recorded a goodwill impairment charge of $162.0 million related to the STI Operations reporting unit during the third quarter of 2024.</w:t>
      </w:r>
    </w:p>
    <w:p>
      <w:pPr>
        <w:spacing w:after="0" w:line="21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Long Lived Assets</w:t>
      </w:r>
    </w:p>
    <w:p>
      <w:pPr>
        <w:spacing w:after="0" w:line="123" w:lineRule="exact"/>
        <w:rPr>
          <w:sz w:val="20"/>
          <w:szCs w:val="20"/>
          <w:color w:val="auto"/>
        </w:rPr>
      </w:pPr>
    </w:p>
    <w:p>
      <w:pPr>
        <w:jc w:val="both"/>
        <w:spacing w:after="0" w:line="276" w:lineRule="auto"/>
        <w:rPr>
          <w:sz w:val="20"/>
          <w:szCs w:val="20"/>
          <w:color w:val="auto"/>
        </w:rPr>
      </w:pPr>
      <w:r>
        <w:rPr>
          <w:rFonts w:ascii="Arial" w:cs="Arial" w:eastAsia="Arial" w:hAnsi="Arial"/>
          <w:sz w:val="20"/>
          <w:szCs w:val="20"/>
          <w:color w:val="auto"/>
        </w:rPr>
        <w:t>The Company assesses long-lived assets classified as “held and used,” including property, plant and equipment, lease assets and intangible assets for impairment whenever events or changes in circumstances arise, including consideration of technological obsolescence, that may indicate that the carrying amount of such assets may not be recoverable.</w:t>
      </w:r>
    </w:p>
    <w:p>
      <w:pPr>
        <w:spacing w:after="0" w:line="192" w:lineRule="exact"/>
        <w:rPr>
          <w:sz w:val="20"/>
          <w:szCs w:val="20"/>
          <w:color w:val="auto"/>
        </w:rPr>
      </w:pPr>
    </w:p>
    <w:p>
      <w:pPr>
        <w:ind w:right="540"/>
        <w:spacing w:after="0" w:line="286" w:lineRule="auto"/>
        <w:rPr>
          <w:sz w:val="20"/>
          <w:szCs w:val="20"/>
          <w:color w:val="auto"/>
        </w:rPr>
      </w:pPr>
      <w:r>
        <w:rPr>
          <w:rFonts w:ascii="Arial" w:cs="Arial" w:eastAsia="Arial" w:hAnsi="Arial"/>
          <w:sz w:val="20"/>
          <w:szCs w:val="20"/>
          <w:color w:val="auto"/>
        </w:rPr>
        <w:t>As of September 30, 2025, no events or circumstances were noted that would indicate the carrying amount of any of Array Legacy’s Operations or STI Operations assets may not be recoverable.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78105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4" w:name="page25"/>
    <w:bookmarkEnd w:id="24"/>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73"/>
        </w:trPr>
        <w:tc>
          <w:tcPr>
            <w:tcW w:w="3520" w:type="dxa"/>
            <w:vAlign w:val="bottom"/>
          </w:tcPr>
          <w:p>
            <w:pPr>
              <w:spacing w:after="0"/>
              <w:rPr>
                <w:sz w:val="20"/>
                <w:szCs w:val="20"/>
                <w:color w:val="auto"/>
              </w:rPr>
            </w:pPr>
            <w:r>
              <w:rPr>
                <w:rFonts w:ascii="Arial" w:cs="Arial" w:eastAsia="Arial" w:hAnsi="Arial"/>
                <w:sz w:val="20"/>
                <w:szCs w:val="20"/>
                <w:b w:val="1"/>
                <w:bCs w:val="1"/>
                <w:color w:val="auto"/>
              </w:rPr>
              <w:t>Other Intangible Assets, Net</w:t>
            </w:r>
          </w:p>
        </w:tc>
        <w:tc>
          <w:tcPr>
            <w:tcW w:w="29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1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2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41"/>
        </w:trPr>
        <w:tc>
          <w:tcPr>
            <w:tcW w:w="8880" w:type="dxa"/>
            <w:vAlign w:val="bottom"/>
            <w:gridSpan w:val="5"/>
          </w:tcPr>
          <w:p>
            <w:pPr>
              <w:spacing w:after="0"/>
              <w:rPr>
                <w:sz w:val="20"/>
                <w:szCs w:val="20"/>
                <w:color w:val="auto"/>
              </w:rPr>
            </w:pPr>
            <w:r>
              <w:rPr>
                <w:rFonts w:ascii="Arial" w:cs="Arial" w:eastAsia="Arial" w:hAnsi="Arial"/>
                <w:sz w:val="20"/>
                <w:szCs w:val="20"/>
                <w:color w:val="auto"/>
              </w:rPr>
              <w:t>Other intangible assets, net consisted of the following (in thousands, except useful lives):</w:t>
            </w:r>
          </w:p>
        </w:tc>
        <w:tc>
          <w:tcPr>
            <w:tcW w:w="26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3520" w:type="dxa"/>
            <w:vAlign w:val="bottom"/>
          </w:tcPr>
          <w:p>
            <w:pPr>
              <w:spacing w:after="0"/>
              <w:rPr>
                <w:sz w:val="19"/>
                <w:szCs w:val="19"/>
                <w:color w:val="auto"/>
              </w:rPr>
            </w:pPr>
          </w:p>
        </w:tc>
        <w:tc>
          <w:tcPr>
            <w:tcW w:w="2900" w:type="dxa"/>
            <w:vAlign w:val="bottom"/>
          </w:tcPr>
          <w:p>
            <w:pPr>
              <w:jc w:val="center"/>
              <w:ind w:left="401"/>
              <w:spacing w:after="0" w:line="223" w:lineRule="exact"/>
              <w:rPr>
                <w:sz w:val="20"/>
                <w:szCs w:val="20"/>
                <w:color w:val="auto"/>
              </w:rPr>
            </w:pPr>
            <w:r>
              <w:rPr>
                <w:rFonts w:ascii="Arial" w:cs="Arial" w:eastAsia="Arial" w:hAnsi="Arial"/>
                <w:sz w:val="20"/>
                <w:szCs w:val="20"/>
                <w:b w:val="1"/>
                <w:bCs w:val="1"/>
                <w:color w:val="auto"/>
                <w:w w:val="98"/>
              </w:rPr>
              <w:t>Estimated Useful Lives</w:t>
            </w:r>
          </w:p>
        </w:tc>
        <w:tc>
          <w:tcPr>
            <w:tcW w:w="240" w:type="dxa"/>
            <w:vAlign w:val="bottom"/>
          </w:tcPr>
          <w:p>
            <w:pPr>
              <w:spacing w:after="0"/>
              <w:rPr>
                <w:sz w:val="19"/>
                <w:szCs w:val="19"/>
                <w:color w:val="auto"/>
              </w:rPr>
            </w:pPr>
          </w:p>
        </w:tc>
        <w:tc>
          <w:tcPr>
            <w:tcW w:w="2220" w:type="dxa"/>
            <w:vAlign w:val="bottom"/>
            <w:gridSpan w:val="2"/>
            <w:vMerge w:val="restart"/>
          </w:tcPr>
          <w:p>
            <w:pPr>
              <w:ind w:left="20"/>
              <w:spacing w:after="0"/>
              <w:rPr>
                <w:sz w:val="20"/>
                <w:szCs w:val="20"/>
                <w:color w:val="auto"/>
              </w:rPr>
            </w:pPr>
            <w:r>
              <w:rPr>
                <w:rFonts w:ascii="Arial" w:cs="Arial" w:eastAsia="Arial" w:hAnsi="Arial"/>
                <w:sz w:val="20"/>
                <w:szCs w:val="20"/>
                <w:b w:val="1"/>
                <w:bCs w:val="1"/>
                <w:color w:val="auto"/>
              </w:rPr>
              <w:t>September 30, 2025</w:t>
            </w:r>
          </w:p>
        </w:tc>
        <w:tc>
          <w:tcPr>
            <w:tcW w:w="260" w:type="dxa"/>
            <w:vAlign w:val="bottom"/>
          </w:tcPr>
          <w:p>
            <w:pPr>
              <w:spacing w:after="0"/>
              <w:rPr>
                <w:sz w:val="19"/>
                <w:szCs w:val="19"/>
                <w:color w:val="auto"/>
              </w:rPr>
            </w:pPr>
          </w:p>
        </w:tc>
        <w:tc>
          <w:tcPr>
            <w:tcW w:w="2100" w:type="dxa"/>
            <w:vAlign w:val="bottom"/>
            <w:vMerge w:val="restart"/>
          </w:tcPr>
          <w:p>
            <w:pPr>
              <w:jc w:val="right"/>
              <w:ind w:right="201"/>
              <w:spacing w:after="0"/>
              <w:rPr>
                <w:sz w:val="20"/>
                <w:szCs w:val="20"/>
                <w:color w:val="auto"/>
              </w:rPr>
            </w:pPr>
            <w:r>
              <w:rPr>
                <w:rFonts w:ascii="Arial" w:cs="Arial" w:eastAsia="Arial" w:hAnsi="Arial"/>
                <w:sz w:val="20"/>
                <w:szCs w:val="20"/>
                <w:b w:val="1"/>
                <w:bCs w:val="1"/>
                <w:color w:val="auto"/>
                <w:w w:val="98"/>
              </w:rPr>
              <w:t>December 31, 2024</w:t>
            </w:r>
          </w:p>
        </w:tc>
        <w:tc>
          <w:tcPr>
            <w:tcW w:w="0" w:type="dxa"/>
            <w:vAlign w:val="bottom"/>
          </w:tcPr>
          <w:p>
            <w:pPr>
              <w:spacing w:after="0"/>
              <w:rPr>
                <w:sz w:val="1"/>
                <w:szCs w:val="1"/>
                <w:color w:val="auto"/>
              </w:rPr>
            </w:pPr>
          </w:p>
        </w:tc>
      </w:tr>
      <w:tr>
        <w:trPr>
          <w:trHeight w:val="280"/>
        </w:trPr>
        <w:tc>
          <w:tcPr>
            <w:tcW w:w="3520" w:type="dxa"/>
            <w:vAlign w:val="bottom"/>
          </w:tcPr>
          <w:p>
            <w:pPr>
              <w:spacing w:after="0"/>
              <w:rPr>
                <w:sz w:val="24"/>
                <w:szCs w:val="24"/>
                <w:color w:val="auto"/>
              </w:rPr>
            </w:pPr>
          </w:p>
        </w:tc>
        <w:tc>
          <w:tcPr>
            <w:tcW w:w="2900" w:type="dxa"/>
            <w:vAlign w:val="bottom"/>
          </w:tcPr>
          <w:p>
            <w:pPr>
              <w:jc w:val="center"/>
              <w:ind w:left="381"/>
              <w:spacing w:after="0"/>
              <w:rPr>
                <w:sz w:val="20"/>
                <w:szCs w:val="20"/>
                <w:color w:val="auto"/>
              </w:rPr>
            </w:pPr>
            <w:r>
              <w:rPr>
                <w:rFonts w:ascii="Arial" w:cs="Arial" w:eastAsia="Arial" w:hAnsi="Arial"/>
                <w:sz w:val="20"/>
                <w:szCs w:val="20"/>
                <w:b w:val="1"/>
                <w:bCs w:val="1"/>
                <w:color w:val="auto"/>
                <w:w w:val="97"/>
              </w:rPr>
              <w:t>(Years)</w:t>
            </w:r>
          </w:p>
        </w:tc>
        <w:tc>
          <w:tcPr>
            <w:tcW w:w="240" w:type="dxa"/>
            <w:vAlign w:val="bottom"/>
          </w:tcPr>
          <w:p>
            <w:pPr>
              <w:spacing w:after="0"/>
              <w:rPr>
                <w:sz w:val="24"/>
                <w:szCs w:val="24"/>
                <w:color w:val="auto"/>
              </w:rPr>
            </w:pPr>
          </w:p>
        </w:tc>
        <w:tc>
          <w:tcPr>
            <w:tcW w:w="2220" w:type="dxa"/>
            <w:vAlign w:val="bottom"/>
            <w:gridSpan w:val="2"/>
            <w:vMerge w:val="continue"/>
          </w:tcPr>
          <w:p>
            <w:pPr>
              <w:spacing w:after="0"/>
              <w:rPr>
                <w:sz w:val="24"/>
                <w:szCs w:val="24"/>
                <w:color w:val="auto"/>
              </w:rPr>
            </w:pPr>
          </w:p>
        </w:tc>
        <w:tc>
          <w:tcPr>
            <w:tcW w:w="260" w:type="dxa"/>
            <w:vAlign w:val="bottom"/>
          </w:tcPr>
          <w:p>
            <w:pPr>
              <w:spacing w:after="0"/>
              <w:rPr>
                <w:sz w:val="24"/>
                <w:szCs w:val="24"/>
                <w:color w:val="auto"/>
              </w:rPr>
            </w:pPr>
          </w:p>
        </w:tc>
        <w:tc>
          <w:tcPr>
            <w:tcW w:w="210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35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20"/>
                <w:szCs w:val="20"/>
                <w:color w:val="auto"/>
              </w:rPr>
              <w:t>Amortizable:</w:t>
            </w:r>
          </w:p>
        </w:tc>
        <w:tc>
          <w:tcPr>
            <w:tcW w:w="2900" w:type="dxa"/>
            <w:vAlign w:val="bottom"/>
            <w:tcBorders>
              <w:top w:val="single" w:sz="8" w:color="CCEEFF"/>
            </w:tcBorders>
            <w:shd w:val="clear" w:color="auto" w:fill="CCEEFF"/>
          </w:tcPr>
          <w:p>
            <w:pPr>
              <w:spacing w:after="0"/>
              <w:rPr>
                <w:sz w:val="22"/>
                <w:szCs w:val="22"/>
                <w:color w:val="auto"/>
              </w:rPr>
            </w:pPr>
          </w:p>
        </w:tc>
        <w:tc>
          <w:tcPr>
            <w:tcW w:w="240" w:type="dxa"/>
            <w:vAlign w:val="bottom"/>
            <w:tcBorders>
              <w:top w:val="single" w:sz="8" w:color="auto"/>
            </w:tcBorders>
            <w:shd w:val="clear" w:color="auto" w:fill="CCEEFF"/>
          </w:tcPr>
          <w:p>
            <w:pPr>
              <w:spacing w:after="0"/>
              <w:rPr>
                <w:sz w:val="22"/>
                <w:szCs w:val="22"/>
                <w:color w:val="auto"/>
              </w:rPr>
            </w:pPr>
          </w:p>
        </w:tc>
        <w:tc>
          <w:tcPr>
            <w:tcW w:w="2140" w:type="dxa"/>
            <w:vAlign w:val="bottom"/>
            <w:tcBorders>
              <w:top w:val="single" w:sz="8" w:color="auto"/>
            </w:tcBorders>
            <w:shd w:val="clear" w:color="auto" w:fill="CCEEFF"/>
          </w:tcPr>
          <w:p>
            <w:pPr>
              <w:spacing w:after="0"/>
              <w:rPr>
                <w:sz w:val="22"/>
                <w:szCs w:val="22"/>
                <w:color w:val="auto"/>
              </w:rPr>
            </w:pPr>
          </w:p>
        </w:tc>
        <w:tc>
          <w:tcPr>
            <w:tcW w:w="80" w:type="dxa"/>
            <w:vAlign w:val="bottom"/>
            <w:tcBorders>
              <w:top w:val="single" w:sz="8" w:color="CCEEFF"/>
            </w:tcBorders>
            <w:shd w:val="clear" w:color="auto" w:fill="CCEEFF"/>
          </w:tcPr>
          <w:p>
            <w:pPr>
              <w:spacing w:after="0"/>
              <w:rPr>
                <w:sz w:val="22"/>
                <w:szCs w:val="22"/>
                <w:color w:val="auto"/>
              </w:rPr>
            </w:pPr>
          </w:p>
        </w:tc>
        <w:tc>
          <w:tcPr>
            <w:tcW w:w="260" w:type="dxa"/>
            <w:vAlign w:val="bottom"/>
            <w:tcBorders>
              <w:top w:val="single" w:sz="8" w:color="auto"/>
            </w:tcBorders>
            <w:shd w:val="clear" w:color="auto" w:fill="CCEEFF"/>
          </w:tcPr>
          <w:p>
            <w:pPr>
              <w:spacing w:after="0"/>
              <w:rPr>
                <w:sz w:val="22"/>
                <w:szCs w:val="22"/>
                <w:color w:val="auto"/>
              </w:rPr>
            </w:pPr>
          </w:p>
        </w:tc>
        <w:tc>
          <w:tcPr>
            <w:tcW w:w="2100" w:type="dxa"/>
            <w:vAlign w:val="bottom"/>
            <w:tcBorders>
              <w:top w:val="single" w:sz="8" w:color="auto"/>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75"/>
        </w:trPr>
        <w:tc>
          <w:tcPr>
            <w:tcW w:w="3520" w:type="dxa"/>
            <w:vAlign w:val="bottom"/>
          </w:tcPr>
          <w:p>
            <w:pPr>
              <w:ind w:left="360"/>
              <w:spacing w:after="0"/>
              <w:rPr>
                <w:sz w:val="20"/>
                <w:szCs w:val="20"/>
                <w:color w:val="auto"/>
              </w:rPr>
            </w:pPr>
            <w:r>
              <w:rPr>
                <w:rFonts w:ascii="Arial" w:cs="Arial" w:eastAsia="Arial" w:hAnsi="Arial"/>
                <w:sz w:val="20"/>
                <w:szCs w:val="20"/>
                <w:color w:val="auto"/>
              </w:rPr>
              <w:t>Developed technology</w:t>
            </w:r>
          </w:p>
        </w:tc>
        <w:tc>
          <w:tcPr>
            <w:tcW w:w="2900" w:type="dxa"/>
            <w:vAlign w:val="bottom"/>
          </w:tcPr>
          <w:p>
            <w:pPr>
              <w:jc w:val="center"/>
              <w:ind w:left="401"/>
              <w:spacing w:after="0"/>
              <w:rPr>
                <w:sz w:val="20"/>
                <w:szCs w:val="20"/>
                <w:color w:val="auto"/>
              </w:rPr>
            </w:pPr>
            <w:r>
              <w:rPr>
                <w:rFonts w:ascii="Arial" w:cs="Arial" w:eastAsia="Arial" w:hAnsi="Arial"/>
                <w:sz w:val="20"/>
                <w:szCs w:val="20"/>
                <w:color w:val="auto"/>
                <w:w w:val="99"/>
              </w:rPr>
              <w:t>5-14</w:t>
            </w:r>
          </w:p>
        </w:tc>
        <w:tc>
          <w:tcPr>
            <w:tcW w:w="240" w:type="dxa"/>
            <w:vAlign w:val="bottom"/>
          </w:tcPr>
          <w:p>
            <w:pPr>
              <w:jc w:val="right"/>
              <w:spacing w:after="0"/>
              <w:rPr>
                <w:sz w:val="20"/>
                <w:szCs w:val="20"/>
                <w:color w:val="auto"/>
              </w:rPr>
            </w:pPr>
            <w:r>
              <w:rPr>
                <w:rFonts w:ascii="Arial" w:cs="Arial" w:eastAsia="Arial" w:hAnsi="Arial"/>
                <w:sz w:val="20"/>
                <w:szCs w:val="20"/>
                <w:color w:val="auto"/>
              </w:rPr>
              <w:t>$</w:t>
            </w:r>
          </w:p>
        </w:tc>
        <w:tc>
          <w:tcPr>
            <w:tcW w:w="2140" w:type="dxa"/>
            <w:vAlign w:val="bottom"/>
          </w:tcPr>
          <w:p>
            <w:pPr>
              <w:jc w:val="right"/>
              <w:spacing w:after="0"/>
              <w:rPr>
                <w:sz w:val="20"/>
                <w:szCs w:val="20"/>
                <w:color w:val="auto"/>
              </w:rPr>
            </w:pPr>
            <w:r>
              <w:rPr>
                <w:rFonts w:ascii="Arial" w:cs="Arial" w:eastAsia="Arial" w:hAnsi="Arial"/>
                <w:sz w:val="20"/>
                <w:szCs w:val="20"/>
                <w:color w:val="auto"/>
              </w:rPr>
              <w:t>225,600</w:t>
            </w:r>
          </w:p>
        </w:tc>
        <w:tc>
          <w:tcPr>
            <w:tcW w:w="80" w:type="dxa"/>
            <w:vAlign w:val="bottom"/>
          </w:tcPr>
          <w:p>
            <w:pPr>
              <w:spacing w:after="0"/>
              <w:rPr>
                <w:sz w:val="23"/>
                <w:szCs w:val="23"/>
                <w:color w:val="auto"/>
              </w:rPr>
            </w:pPr>
          </w:p>
        </w:tc>
        <w:tc>
          <w:tcPr>
            <w:tcW w:w="260" w:type="dxa"/>
            <w:vAlign w:val="bottom"/>
          </w:tcPr>
          <w:p>
            <w:pPr>
              <w:jc w:val="right"/>
              <w:spacing w:after="0"/>
              <w:rPr>
                <w:sz w:val="20"/>
                <w:szCs w:val="20"/>
                <w:color w:val="auto"/>
              </w:rPr>
            </w:pPr>
            <w:r>
              <w:rPr>
                <w:rFonts w:ascii="Arial" w:cs="Arial" w:eastAsia="Arial" w:hAnsi="Arial"/>
                <w:sz w:val="20"/>
                <w:szCs w:val="20"/>
                <w:color w:val="auto"/>
              </w:rPr>
              <w:t>$</w:t>
            </w:r>
          </w:p>
        </w:tc>
        <w:tc>
          <w:tcPr>
            <w:tcW w:w="2100" w:type="dxa"/>
            <w:vAlign w:val="bottom"/>
          </w:tcPr>
          <w:p>
            <w:pPr>
              <w:jc w:val="right"/>
              <w:spacing w:after="0"/>
              <w:rPr>
                <w:sz w:val="20"/>
                <w:szCs w:val="20"/>
                <w:color w:val="auto"/>
              </w:rPr>
            </w:pPr>
            <w:r>
              <w:rPr>
                <w:rFonts w:ascii="Arial" w:cs="Arial" w:eastAsia="Arial" w:hAnsi="Arial"/>
                <w:sz w:val="20"/>
                <w:szCs w:val="20"/>
                <w:color w:val="auto"/>
              </w:rPr>
              <w:t>203,800</w:t>
            </w:r>
          </w:p>
        </w:tc>
        <w:tc>
          <w:tcPr>
            <w:tcW w:w="0" w:type="dxa"/>
            <w:vAlign w:val="bottom"/>
          </w:tcPr>
          <w:p>
            <w:pPr>
              <w:spacing w:after="0"/>
              <w:rPr>
                <w:sz w:val="1"/>
                <w:szCs w:val="1"/>
                <w:color w:val="auto"/>
              </w:rPr>
            </w:pPr>
          </w:p>
        </w:tc>
      </w:tr>
      <w:tr>
        <w:trPr>
          <w:trHeight w:val="292"/>
        </w:trPr>
        <w:tc>
          <w:tcPr>
            <w:tcW w:w="3520" w:type="dxa"/>
            <w:vAlign w:val="bottom"/>
            <w:shd w:val="clear" w:color="auto" w:fill="CCEEFF"/>
          </w:tcPr>
          <w:p>
            <w:pPr>
              <w:ind w:left="360"/>
              <w:spacing w:after="0"/>
              <w:rPr>
                <w:sz w:val="20"/>
                <w:szCs w:val="20"/>
                <w:color w:val="auto"/>
              </w:rPr>
            </w:pPr>
            <w:r>
              <w:rPr>
                <w:rFonts w:ascii="Arial" w:cs="Arial" w:eastAsia="Arial" w:hAnsi="Arial"/>
                <w:sz w:val="20"/>
                <w:szCs w:val="20"/>
                <w:color w:val="auto"/>
              </w:rPr>
              <w:t>Computer software and other</w:t>
            </w:r>
          </w:p>
        </w:tc>
        <w:tc>
          <w:tcPr>
            <w:tcW w:w="2900" w:type="dxa"/>
            <w:vAlign w:val="bottom"/>
            <w:shd w:val="clear" w:color="auto" w:fill="CCEEFF"/>
          </w:tcPr>
          <w:p>
            <w:pPr>
              <w:jc w:val="center"/>
              <w:ind w:left="401"/>
              <w:spacing w:after="0"/>
              <w:rPr>
                <w:sz w:val="20"/>
                <w:szCs w:val="20"/>
                <w:color w:val="auto"/>
              </w:rPr>
            </w:pPr>
            <w:r>
              <w:rPr>
                <w:rFonts w:ascii="Arial" w:cs="Arial" w:eastAsia="Arial" w:hAnsi="Arial"/>
                <w:sz w:val="20"/>
                <w:szCs w:val="20"/>
                <w:color w:val="auto"/>
                <w:w w:val="96"/>
              </w:rPr>
              <w:t>3-5</w:t>
            </w:r>
          </w:p>
        </w:tc>
        <w:tc>
          <w:tcPr>
            <w:tcW w:w="240" w:type="dxa"/>
            <w:vAlign w:val="bottom"/>
            <w:shd w:val="clear" w:color="auto" w:fill="CCEEFF"/>
          </w:tcPr>
          <w:p>
            <w:pPr>
              <w:spacing w:after="0"/>
              <w:rPr>
                <w:sz w:val="24"/>
                <w:szCs w:val="24"/>
                <w:color w:val="auto"/>
              </w:rPr>
            </w:pPr>
          </w:p>
        </w:tc>
        <w:tc>
          <w:tcPr>
            <w:tcW w:w="21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29,040</w:t>
            </w:r>
          </w:p>
        </w:tc>
        <w:tc>
          <w:tcPr>
            <w:tcW w:w="8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21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15,826</w:t>
            </w:r>
          </w:p>
        </w:tc>
        <w:tc>
          <w:tcPr>
            <w:tcW w:w="0" w:type="dxa"/>
            <w:vAlign w:val="bottom"/>
          </w:tcPr>
          <w:p>
            <w:pPr>
              <w:spacing w:after="0"/>
              <w:rPr>
                <w:sz w:val="1"/>
                <w:szCs w:val="1"/>
                <w:color w:val="auto"/>
              </w:rPr>
            </w:pPr>
          </w:p>
        </w:tc>
      </w:tr>
      <w:tr>
        <w:trPr>
          <w:trHeight w:val="275"/>
        </w:trPr>
        <w:tc>
          <w:tcPr>
            <w:tcW w:w="3520" w:type="dxa"/>
            <w:vAlign w:val="bottom"/>
          </w:tcPr>
          <w:p>
            <w:pPr>
              <w:ind w:left="360"/>
              <w:spacing w:after="0"/>
              <w:rPr>
                <w:sz w:val="20"/>
                <w:szCs w:val="20"/>
                <w:color w:val="auto"/>
              </w:rPr>
            </w:pPr>
            <w:r>
              <w:rPr>
                <w:rFonts w:ascii="Arial" w:cs="Arial" w:eastAsia="Arial" w:hAnsi="Arial"/>
                <w:sz w:val="20"/>
                <w:szCs w:val="20"/>
                <w:color w:val="auto"/>
              </w:rPr>
              <w:t>Customer relationships</w:t>
            </w:r>
          </w:p>
        </w:tc>
        <w:tc>
          <w:tcPr>
            <w:tcW w:w="2900" w:type="dxa"/>
            <w:vAlign w:val="bottom"/>
          </w:tcPr>
          <w:p>
            <w:pPr>
              <w:jc w:val="center"/>
              <w:ind w:left="401"/>
              <w:spacing w:after="0"/>
              <w:rPr>
                <w:sz w:val="20"/>
                <w:szCs w:val="20"/>
                <w:color w:val="auto"/>
              </w:rPr>
            </w:pPr>
            <w:r>
              <w:rPr>
                <w:rFonts w:ascii="Arial" w:cs="Arial" w:eastAsia="Arial" w:hAnsi="Arial"/>
                <w:sz w:val="20"/>
                <w:szCs w:val="20"/>
                <w:color w:val="auto"/>
                <w:w w:val="99"/>
              </w:rPr>
              <w:t>5-10</w:t>
            </w:r>
          </w:p>
        </w:tc>
        <w:tc>
          <w:tcPr>
            <w:tcW w:w="240" w:type="dxa"/>
            <w:vAlign w:val="bottom"/>
          </w:tcPr>
          <w:p>
            <w:pPr>
              <w:spacing w:after="0"/>
              <w:rPr>
                <w:sz w:val="23"/>
                <w:szCs w:val="23"/>
                <w:color w:val="auto"/>
              </w:rPr>
            </w:pPr>
          </w:p>
        </w:tc>
        <w:tc>
          <w:tcPr>
            <w:tcW w:w="2140" w:type="dxa"/>
            <w:vAlign w:val="bottom"/>
          </w:tcPr>
          <w:p>
            <w:pPr>
              <w:jc w:val="right"/>
              <w:spacing w:after="0"/>
              <w:rPr>
                <w:sz w:val="20"/>
                <w:szCs w:val="20"/>
                <w:color w:val="auto"/>
              </w:rPr>
            </w:pPr>
            <w:r>
              <w:rPr>
                <w:rFonts w:ascii="Arial" w:cs="Arial" w:eastAsia="Arial" w:hAnsi="Arial"/>
                <w:sz w:val="20"/>
                <w:szCs w:val="20"/>
                <w:color w:val="auto"/>
              </w:rPr>
              <w:t>225,177</w:t>
            </w:r>
          </w:p>
        </w:tc>
        <w:tc>
          <w:tcPr>
            <w:tcW w:w="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2100" w:type="dxa"/>
            <w:vAlign w:val="bottom"/>
          </w:tcPr>
          <w:p>
            <w:pPr>
              <w:jc w:val="right"/>
              <w:spacing w:after="0"/>
              <w:rPr>
                <w:sz w:val="20"/>
                <w:szCs w:val="20"/>
                <w:color w:val="auto"/>
              </w:rPr>
            </w:pPr>
            <w:r>
              <w:rPr>
                <w:rFonts w:ascii="Arial" w:cs="Arial" w:eastAsia="Arial" w:hAnsi="Arial"/>
                <w:sz w:val="20"/>
                <w:szCs w:val="20"/>
                <w:color w:val="auto"/>
              </w:rPr>
              <w:t>179,166</w:t>
            </w:r>
          </w:p>
        </w:tc>
        <w:tc>
          <w:tcPr>
            <w:tcW w:w="0" w:type="dxa"/>
            <w:vAlign w:val="bottom"/>
          </w:tcPr>
          <w:p>
            <w:pPr>
              <w:spacing w:after="0"/>
              <w:rPr>
                <w:sz w:val="1"/>
                <w:szCs w:val="1"/>
                <w:color w:val="auto"/>
              </w:rPr>
            </w:pPr>
          </w:p>
        </w:tc>
      </w:tr>
      <w:tr>
        <w:trPr>
          <w:trHeight w:val="292"/>
        </w:trPr>
        <w:tc>
          <w:tcPr>
            <w:tcW w:w="3520" w:type="dxa"/>
            <w:vAlign w:val="bottom"/>
            <w:shd w:val="clear" w:color="auto" w:fill="CCEEFF"/>
          </w:tcPr>
          <w:p>
            <w:pPr>
              <w:ind w:left="360"/>
              <w:spacing w:after="0"/>
              <w:rPr>
                <w:sz w:val="20"/>
                <w:szCs w:val="20"/>
                <w:color w:val="auto"/>
              </w:rPr>
            </w:pPr>
            <w:r>
              <w:rPr>
                <w:rFonts w:ascii="Arial" w:cs="Arial" w:eastAsia="Arial" w:hAnsi="Arial"/>
                <w:sz w:val="20"/>
                <w:szCs w:val="20"/>
                <w:color w:val="auto"/>
              </w:rPr>
              <w:t>Backlog</w:t>
            </w:r>
          </w:p>
        </w:tc>
        <w:tc>
          <w:tcPr>
            <w:tcW w:w="2900" w:type="dxa"/>
            <w:vAlign w:val="bottom"/>
            <w:shd w:val="clear" w:color="auto" w:fill="CCEEFF"/>
          </w:tcPr>
          <w:p>
            <w:pPr>
              <w:jc w:val="center"/>
              <w:ind w:left="401"/>
              <w:spacing w:after="0"/>
              <w:rPr>
                <w:sz w:val="20"/>
                <w:szCs w:val="20"/>
                <w:color w:val="auto"/>
              </w:rPr>
            </w:pPr>
            <w:r>
              <w:rPr>
                <w:rFonts w:ascii="Arial" w:cs="Arial" w:eastAsia="Arial" w:hAnsi="Arial"/>
                <w:sz w:val="20"/>
                <w:szCs w:val="20"/>
                <w:color w:val="auto"/>
              </w:rPr>
              <w:t>1</w:t>
            </w:r>
          </w:p>
        </w:tc>
        <w:tc>
          <w:tcPr>
            <w:tcW w:w="240" w:type="dxa"/>
            <w:vAlign w:val="bottom"/>
            <w:shd w:val="clear" w:color="auto" w:fill="CCEEFF"/>
          </w:tcPr>
          <w:p>
            <w:pPr>
              <w:spacing w:after="0"/>
              <w:rPr>
                <w:sz w:val="24"/>
                <w:szCs w:val="24"/>
                <w:color w:val="auto"/>
              </w:rPr>
            </w:pPr>
          </w:p>
        </w:tc>
        <w:tc>
          <w:tcPr>
            <w:tcW w:w="21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21,138</w:t>
            </w:r>
          </w:p>
        </w:tc>
        <w:tc>
          <w:tcPr>
            <w:tcW w:w="8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21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16,877</w:t>
            </w:r>
          </w:p>
        </w:tc>
        <w:tc>
          <w:tcPr>
            <w:tcW w:w="0" w:type="dxa"/>
            <w:vAlign w:val="bottom"/>
          </w:tcPr>
          <w:p>
            <w:pPr>
              <w:spacing w:after="0"/>
              <w:rPr>
                <w:sz w:val="1"/>
                <w:szCs w:val="1"/>
                <w:color w:val="auto"/>
              </w:rPr>
            </w:pPr>
          </w:p>
        </w:tc>
      </w:tr>
      <w:tr>
        <w:trPr>
          <w:trHeight w:val="277"/>
        </w:trPr>
        <w:tc>
          <w:tcPr>
            <w:tcW w:w="3520" w:type="dxa"/>
            <w:vAlign w:val="bottom"/>
            <w:tcBorders>
              <w:bottom w:val="single" w:sz="8" w:color="CCEEFF"/>
            </w:tcBorders>
          </w:tcPr>
          <w:p>
            <w:pPr>
              <w:ind w:left="360"/>
              <w:spacing w:after="0"/>
              <w:rPr>
                <w:sz w:val="20"/>
                <w:szCs w:val="20"/>
                <w:color w:val="auto"/>
              </w:rPr>
            </w:pPr>
            <w:r>
              <w:rPr>
                <w:rFonts w:ascii="Arial" w:cs="Arial" w:eastAsia="Arial" w:hAnsi="Arial"/>
                <w:sz w:val="20"/>
                <w:szCs w:val="20"/>
                <w:color w:val="auto"/>
              </w:rPr>
              <w:t>Trade name</w:t>
            </w:r>
          </w:p>
        </w:tc>
        <w:tc>
          <w:tcPr>
            <w:tcW w:w="2900" w:type="dxa"/>
            <w:vAlign w:val="bottom"/>
            <w:tcBorders>
              <w:bottom w:val="single" w:sz="8" w:color="CCEEFF"/>
            </w:tcBorders>
          </w:tcPr>
          <w:p>
            <w:pPr>
              <w:jc w:val="center"/>
              <w:ind w:left="401"/>
              <w:spacing w:after="0"/>
              <w:rPr>
                <w:sz w:val="20"/>
                <w:szCs w:val="20"/>
                <w:color w:val="auto"/>
              </w:rPr>
            </w:pPr>
            <w:r>
              <w:rPr>
                <w:rFonts w:ascii="Arial" w:cs="Arial" w:eastAsia="Arial" w:hAnsi="Arial"/>
                <w:sz w:val="20"/>
                <w:szCs w:val="20"/>
                <w:color w:val="auto"/>
              </w:rPr>
              <w:t>10-20</w:t>
            </w:r>
          </w:p>
        </w:tc>
        <w:tc>
          <w:tcPr>
            <w:tcW w:w="240" w:type="dxa"/>
            <w:vAlign w:val="bottom"/>
            <w:tcBorders>
              <w:bottom w:val="single" w:sz="8" w:color="auto"/>
            </w:tcBorders>
          </w:tcPr>
          <w:p>
            <w:pPr>
              <w:spacing w:after="0"/>
              <w:rPr>
                <w:sz w:val="24"/>
                <w:szCs w:val="24"/>
                <w:color w:val="auto"/>
              </w:rPr>
            </w:pPr>
          </w:p>
        </w:tc>
        <w:tc>
          <w:tcPr>
            <w:tcW w:w="21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27,142</w:t>
            </w:r>
          </w:p>
        </w:tc>
        <w:tc>
          <w:tcPr>
            <w:tcW w:w="8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1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15,117</w:t>
            </w:r>
          </w:p>
        </w:tc>
        <w:tc>
          <w:tcPr>
            <w:tcW w:w="0" w:type="dxa"/>
            <w:vAlign w:val="bottom"/>
          </w:tcPr>
          <w:p>
            <w:pPr>
              <w:spacing w:after="0"/>
              <w:rPr>
                <w:sz w:val="1"/>
                <w:szCs w:val="1"/>
                <w:color w:val="auto"/>
              </w:rPr>
            </w:pPr>
          </w:p>
        </w:tc>
      </w:tr>
      <w:tr>
        <w:trPr>
          <w:trHeight w:val="283"/>
        </w:trPr>
        <w:tc>
          <w:tcPr>
            <w:tcW w:w="3520" w:type="dxa"/>
            <w:vAlign w:val="bottom"/>
            <w:shd w:val="clear" w:color="auto" w:fill="CCEEFF"/>
          </w:tcPr>
          <w:p>
            <w:pPr>
              <w:ind w:left="20"/>
              <w:spacing w:after="0"/>
              <w:rPr>
                <w:sz w:val="20"/>
                <w:szCs w:val="20"/>
                <w:color w:val="auto"/>
              </w:rPr>
            </w:pPr>
            <w:r>
              <w:rPr>
                <w:rFonts w:ascii="Arial" w:cs="Arial" w:eastAsia="Arial" w:hAnsi="Arial"/>
                <w:sz w:val="20"/>
                <w:szCs w:val="20"/>
                <w:color w:val="auto"/>
              </w:rPr>
              <w:t>Total amortizable intangibles</w:t>
            </w:r>
          </w:p>
        </w:tc>
        <w:tc>
          <w:tcPr>
            <w:tcW w:w="2900" w:type="dxa"/>
            <w:vAlign w:val="bottom"/>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spacing w:after="0"/>
              <w:rPr>
                <w:sz w:val="24"/>
                <w:szCs w:val="24"/>
                <w:color w:val="auto"/>
              </w:rPr>
            </w:pPr>
          </w:p>
        </w:tc>
        <w:tc>
          <w:tcPr>
            <w:tcW w:w="2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528,097</w:t>
            </w:r>
          </w:p>
        </w:tc>
        <w:tc>
          <w:tcPr>
            <w:tcW w:w="80" w:type="dxa"/>
            <w:vAlign w:val="bottom"/>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spacing w:after="0"/>
              <w:rPr>
                <w:sz w:val="24"/>
                <w:szCs w:val="24"/>
                <w:color w:val="auto"/>
              </w:rPr>
            </w:pPr>
          </w:p>
        </w:tc>
        <w:tc>
          <w:tcPr>
            <w:tcW w:w="2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430,786</w:t>
            </w:r>
          </w:p>
        </w:tc>
        <w:tc>
          <w:tcPr>
            <w:tcW w:w="0" w:type="dxa"/>
            <w:vAlign w:val="bottom"/>
          </w:tcPr>
          <w:p>
            <w:pPr>
              <w:spacing w:after="0"/>
              <w:rPr>
                <w:sz w:val="1"/>
                <w:szCs w:val="1"/>
                <w:color w:val="auto"/>
              </w:rPr>
            </w:pPr>
          </w:p>
        </w:tc>
      </w:tr>
      <w:tr>
        <w:trPr>
          <w:trHeight w:val="255"/>
        </w:trPr>
        <w:tc>
          <w:tcPr>
            <w:tcW w:w="3520" w:type="dxa"/>
            <w:vAlign w:val="bottom"/>
          </w:tcPr>
          <w:p>
            <w:pPr>
              <w:ind w:left="20"/>
              <w:spacing w:after="0"/>
              <w:rPr>
                <w:sz w:val="20"/>
                <w:szCs w:val="20"/>
                <w:color w:val="auto"/>
              </w:rPr>
            </w:pPr>
            <w:r>
              <w:rPr>
                <w:rFonts w:ascii="Arial" w:cs="Arial" w:eastAsia="Arial" w:hAnsi="Arial"/>
                <w:sz w:val="20"/>
                <w:szCs w:val="20"/>
                <w:color w:val="auto"/>
              </w:rPr>
              <w:t>Accumulated amortization:</w:t>
            </w:r>
          </w:p>
        </w:tc>
        <w:tc>
          <w:tcPr>
            <w:tcW w:w="29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92"/>
        </w:trPr>
        <w:tc>
          <w:tcPr>
            <w:tcW w:w="3520" w:type="dxa"/>
            <w:vAlign w:val="bottom"/>
            <w:shd w:val="clear" w:color="auto" w:fill="CCEEFF"/>
          </w:tcPr>
          <w:p>
            <w:pPr>
              <w:ind w:left="360"/>
              <w:spacing w:after="0"/>
              <w:rPr>
                <w:sz w:val="20"/>
                <w:szCs w:val="20"/>
                <w:color w:val="auto"/>
              </w:rPr>
            </w:pPr>
            <w:r>
              <w:rPr>
                <w:rFonts w:ascii="Arial" w:cs="Arial" w:eastAsia="Arial" w:hAnsi="Arial"/>
                <w:sz w:val="20"/>
                <w:szCs w:val="20"/>
                <w:color w:val="auto"/>
              </w:rPr>
              <w:t>Developed technology</w:t>
            </w:r>
          </w:p>
        </w:tc>
        <w:tc>
          <w:tcPr>
            <w:tcW w:w="29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21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134,925</w:t>
            </w:r>
          </w:p>
        </w:tc>
        <w:tc>
          <w:tcPr>
            <w:tcW w:w="8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21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123,462</w:t>
            </w:r>
          </w:p>
        </w:tc>
        <w:tc>
          <w:tcPr>
            <w:tcW w:w="0" w:type="dxa"/>
            <w:vAlign w:val="bottom"/>
          </w:tcPr>
          <w:p>
            <w:pPr>
              <w:spacing w:after="0"/>
              <w:rPr>
                <w:sz w:val="1"/>
                <w:szCs w:val="1"/>
                <w:color w:val="auto"/>
              </w:rPr>
            </w:pPr>
          </w:p>
        </w:tc>
      </w:tr>
      <w:tr>
        <w:trPr>
          <w:trHeight w:val="275"/>
        </w:trPr>
        <w:tc>
          <w:tcPr>
            <w:tcW w:w="3520" w:type="dxa"/>
            <w:vAlign w:val="bottom"/>
          </w:tcPr>
          <w:p>
            <w:pPr>
              <w:ind w:left="360"/>
              <w:spacing w:after="0"/>
              <w:rPr>
                <w:sz w:val="20"/>
                <w:szCs w:val="20"/>
                <w:color w:val="auto"/>
              </w:rPr>
            </w:pPr>
            <w:r>
              <w:rPr>
                <w:rFonts w:ascii="Arial" w:cs="Arial" w:eastAsia="Arial" w:hAnsi="Arial"/>
                <w:sz w:val="20"/>
                <w:szCs w:val="20"/>
                <w:color w:val="auto"/>
              </w:rPr>
              <w:t>Computer software and other</w:t>
            </w:r>
          </w:p>
        </w:tc>
        <w:tc>
          <w:tcPr>
            <w:tcW w:w="29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140" w:type="dxa"/>
            <w:vAlign w:val="bottom"/>
          </w:tcPr>
          <w:p>
            <w:pPr>
              <w:jc w:val="right"/>
              <w:spacing w:after="0"/>
              <w:rPr>
                <w:sz w:val="20"/>
                <w:szCs w:val="20"/>
                <w:color w:val="auto"/>
              </w:rPr>
            </w:pPr>
            <w:r>
              <w:rPr>
                <w:rFonts w:ascii="Arial" w:cs="Arial" w:eastAsia="Arial" w:hAnsi="Arial"/>
                <w:sz w:val="20"/>
                <w:szCs w:val="20"/>
                <w:color w:val="auto"/>
              </w:rPr>
              <w:t>15,251</w:t>
            </w:r>
          </w:p>
        </w:tc>
        <w:tc>
          <w:tcPr>
            <w:tcW w:w="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2100" w:type="dxa"/>
            <w:vAlign w:val="bottom"/>
          </w:tcPr>
          <w:p>
            <w:pPr>
              <w:jc w:val="right"/>
              <w:spacing w:after="0"/>
              <w:rPr>
                <w:sz w:val="20"/>
                <w:szCs w:val="20"/>
                <w:color w:val="auto"/>
              </w:rPr>
            </w:pPr>
            <w:r>
              <w:rPr>
                <w:rFonts w:ascii="Arial" w:cs="Arial" w:eastAsia="Arial" w:hAnsi="Arial"/>
                <w:sz w:val="20"/>
                <w:szCs w:val="20"/>
                <w:color w:val="auto"/>
              </w:rPr>
              <w:t>14,552</w:t>
            </w:r>
          </w:p>
        </w:tc>
        <w:tc>
          <w:tcPr>
            <w:tcW w:w="0" w:type="dxa"/>
            <w:vAlign w:val="bottom"/>
          </w:tcPr>
          <w:p>
            <w:pPr>
              <w:spacing w:after="0"/>
              <w:rPr>
                <w:sz w:val="1"/>
                <w:szCs w:val="1"/>
                <w:color w:val="auto"/>
              </w:rPr>
            </w:pPr>
          </w:p>
        </w:tc>
      </w:tr>
      <w:tr>
        <w:trPr>
          <w:trHeight w:val="292"/>
        </w:trPr>
        <w:tc>
          <w:tcPr>
            <w:tcW w:w="3520" w:type="dxa"/>
            <w:vAlign w:val="bottom"/>
            <w:shd w:val="clear" w:color="auto" w:fill="CCEEFF"/>
          </w:tcPr>
          <w:p>
            <w:pPr>
              <w:ind w:left="360"/>
              <w:spacing w:after="0"/>
              <w:rPr>
                <w:sz w:val="20"/>
                <w:szCs w:val="20"/>
                <w:color w:val="auto"/>
              </w:rPr>
            </w:pPr>
            <w:r>
              <w:rPr>
                <w:rFonts w:ascii="Arial" w:cs="Arial" w:eastAsia="Arial" w:hAnsi="Arial"/>
                <w:sz w:val="20"/>
                <w:szCs w:val="20"/>
                <w:color w:val="auto"/>
              </w:rPr>
              <w:t>Customer relationships</w:t>
            </w:r>
          </w:p>
        </w:tc>
        <w:tc>
          <w:tcPr>
            <w:tcW w:w="29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21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121,065</w:t>
            </w:r>
          </w:p>
        </w:tc>
        <w:tc>
          <w:tcPr>
            <w:tcW w:w="8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21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102,541</w:t>
            </w:r>
          </w:p>
        </w:tc>
        <w:tc>
          <w:tcPr>
            <w:tcW w:w="0" w:type="dxa"/>
            <w:vAlign w:val="bottom"/>
          </w:tcPr>
          <w:p>
            <w:pPr>
              <w:spacing w:after="0"/>
              <w:rPr>
                <w:sz w:val="1"/>
                <w:szCs w:val="1"/>
                <w:color w:val="auto"/>
              </w:rPr>
            </w:pPr>
          </w:p>
        </w:tc>
      </w:tr>
      <w:tr>
        <w:trPr>
          <w:trHeight w:val="282"/>
        </w:trPr>
        <w:tc>
          <w:tcPr>
            <w:tcW w:w="3520" w:type="dxa"/>
            <w:vAlign w:val="bottom"/>
          </w:tcPr>
          <w:p>
            <w:pPr>
              <w:ind w:left="360"/>
              <w:spacing w:after="0"/>
              <w:rPr>
                <w:sz w:val="20"/>
                <w:szCs w:val="20"/>
                <w:color w:val="auto"/>
              </w:rPr>
            </w:pPr>
            <w:r>
              <w:rPr>
                <w:rFonts w:ascii="Arial" w:cs="Arial" w:eastAsia="Arial" w:hAnsi="Arial"/>
                <w:sz w:val="20"/>
                <w:szCs w:val="20"/>
                <w:color w:val="auto"/>
              </w:rPr>
              <w:t>Backlog</w:t>
            </w:r>
          </w:p>
        </w:tc>
        <w:tc>
          <w:tcPr>
            <w:tcW w:w="2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140" w:type="dxa"/>
            <w:vAlign w:val="bottom"/>
          </w:tcPr>
          <w:p>
            <w:pPr>
              <w:jc w:val="right"/>
              <w:spacing w:after="0"/>
              <w:rPr>
                <w:sz w:val="20"/>
                <w:szCs w:val="20"/>
                <w:color w:val="auto"/>
              </w:rPr>
            </w:pPr>
            <w:r>
              <w:rPr>
                <w:rFonts w:ascii="Arial" w:cs="Arial" w:eastAsia="Arial" w:hAnsi="Arial"/>
                <w:sz w:val="20"/>
                <w:szCs w:val="20"/>
                <w:color w:val="auto"/>
              </w:rPr>
              <w:t>19,388</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100" w:type="dxa"/>
            <w:vAlign w:val="bottom"/>
          </w:tcPr>
          <w:p>
            <w:pPr>
              <w:jc w:val="right"/>
              <w:spacing w:after="0"/>
              <w:rPr>
                <w:sz w:val="20"/>
                <w:szCs w:val="20"/>
                <w:color w:val="auto"/>
              </w:rPr>
            </w:pPr>
            <w:r>
              <w:rPr>
                <w:rFonts w:ascii="Arial" w:cs="Arial" w:eastAsia="Arial" w:hAnsi="Arial"/>
                <w:sz w:val="20"/>
                <w:szCs w:val="20"/>
                <w:color w:val="auto"/>
              </w:rPr>
              <w:t>16,877</w:t>
            </w:r>
          </w:p>
        </w:tc>
        <w:tc>
          <w:tcPr>
            <w:tcW w:w="0" w:type="dxa"/>
            <w:vAlign w:val="bottom"/>
          </w:tcPr>
          <w:p>
            <w:pPr>
              <w:spacing w:after="0"/>
              <w:rPr>
                <w:sz w:val="1"/>
                <w:szCs w:val="1"/>
                <w:color w:val="auto"/>
              </w:rPr>
            </w:pPr>
          </w:p>
        </w:tc>
      </w:tr>
      <w:tr>
        <w:trPr>
          <w:trHeight w:val="285"/>
        </w:trPr>
        <w:tc>
          <w:tcPr>
            <w:tcW w:w="3520" w:type="dxa"/>
            <w:vAlign w:val="bottom"/>
            <w:shd w:val="clear" w:color="auto" w:fill="CCEEFF"/>
          </w:tcPr>
          <w:p>
            <w:pPr>
              <w:ind w:left="360"/>
              <w:spacing w:after="0"/>
              <w:rPr>
                <w:sz w:val="20"/>
                <w:szCs w:val="20"/>
                <w:color w:val="auto"/>
              </w:rPr>
            </w:pPr>
            <w:r>
              <w:rPr>
                <w:rFonts w:ascii="Arial" w:cs="Arial" w:eastAsia="Arial" w:hAnsi="Arial"/>
                <w:sz w:val="20"/>
                <w:szCs w:val="20"/>
                <w:color w:val="auto"/>
              </w:rPr>
              <w:t>Trade name</w:t>
            </w:r>
          </w:p>
        </w:tc>
        <w:tc>
          <w:tcPr>
            <w:tcW w:w="2900" w:type="dxa"/>
            <w:vAlign w:val="bottom"/>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spacing w:after="0"/>
              <w:rPr>
                <w:sz w:val="24"/>
                <w:szCs w:val="24"/>
                <w:color w:val="auto"/>
              </w:rPr>
            </w:pPr>
          </w:p>
        </w:tc>
        <w:tc>
          <w:tcPr>
            <w:tcW w:w="2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3,284</w:t>
            </w:r>
          </w:p>
        </w:tc>
        <w:tc>
          <w:tcPr>
            <w:tcW w:w="80" w:type="dxa"/>
            <w:vAlign w:val="bottom"/>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spacing w:after="0"/>
              <w:rPr>
                <w:sz w:val="24"/>
                <w:szCs w:val="24"/>
                <w:color w:val="auto"/>
              </w:rPr>
            </w:pPr>
          </w:p>
        </w:tc>
        <w:tc>
          <w:tcPr>
            <w:tcW w:w="2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2,245</w:t>
            </w:r>
          </w:p>
        </w:tc>
        <w:tc>
          <w:tcPr>
            <w:tcW w:w="0" w:type="dxa"/>
            <w:vAlign w:val="bottom"/>
          </w:tcPr>
          <w:p>
            <w:pPr>
              <w:spacing w:after="0"/>
              <w:rPr>
                <w:sz w:val="1"/>
                <w:szCs w:val="1"/>
                <w:color w:val="auto"/>
              </w:rPr>
            </w:pPr>
          </w:p>
        </w:tc>
      </w:tr>
      <w:tr>
        <w:trPr>
          <w:trHeight w:val="271"/>
        </w:trPr>
        <w:tc>
          <w:tcPr>
            <w:tcW w:w="3520" w:type="dxa"/>
            <w:vAlign w:val="bottom"/>
            <w:tcBorders>
              <w:bottom w:val="single" w:sz="8" w:color="CCEEFF"/>
            </w:tcBorders>
          </w:tcPr>
          <w:p>
            <w:pPr>
              <w:ind w:left="20"/>
              <w:spacing w:after="0"/>
              <w:rPr>
                <w:sz w:val="20"/>
                <w:szCs w:val="20"/>
                <w:color w:val="auto"/>
              </w:rPr>
            </w:pPr>
            <w:r>
              <w:rPr>
                <w:rFonts w:ascii="Arial" w:cs="Arial" w:eastAsia="Arial" w:hAnsi="Arial"/>
                <w:sz w:val="20"/>
                <w:szCs w:val="20"/>
                <w:color w:val="auto"/>
              </w:rPr>
              <w:t>Total accumulated amortization</w:t>
            </w:r>
          </w:p>
        </w:tc>
        <w:tc>
          <w:tcPr>
            <w:tcW w:w="2900" w:type="dxa"/>
            <w:vAlign w:val="bottom"/>
            <w:tcBorders>
              <w:bottom w:val="single" w:sz="8" w:color="CCEEFF"/>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21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293,913</w:t>
            </w:r>
          </w:p>
        </w:tc>
        <w:tc>
          <w:tcPr>
            <w:tcW w:w="80" w:type="dxa"/>
            <w:vAlign w:val="bottom"/>
            <w:tcBorders>
              <w:bottom w:val="single" w:sz="8" w:color="auto"/>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21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259,677</w:t>
            </w:r>
          </w:p>
        </w:tc>
        <w:tc>
          <w:tcPr>
            <w:tcW w:w="0" w:type="dxa"/>
            <w:vAlign w:val="bottom"/>
          </w:tcPr>
          <w:p>
            <w:pPr>
              <w:spacing w:after="0"/>
              <w:rPr>
                <w:sz w:val="1"/>
                <w:szCs w:val="1"/>
                <w:color w:val="auto"/>
              </w:rPr>
            </w:pPr>
          </w:p>
        </w:tc>
      </w:tr>
      <w:tr>
        <w:trPr>
          <w:trHeight w:val="283"/>
        </w:trPr>
        <w:tc>
          <w:tcPr>
            <w:tcW w:w="3520" w:type="dxa"/>
            <w:vAlign w:val="bottom"/>
            <w:shd w:val="clear" w:color="auto" w:fill="CCEEFF"/>
          </w:tcPr>
          <w:p>
            <w:pPr>
              <w:ind w:left="20"/>
              <w:spacing w:after="0"/>
              <w:rPr>
                <w:sz w:val="20"/>
                <w:szCs w:val="20"/>
                <w:color w:val="auto"/>
              </w:rPr>
            </w:pPr>
            <w:r>
              <w:rPr>
                <w:rFonts w:ascii="Arial" w:cs="Arial" w:eastAsia="Arial" w:hAnsi="Arial"/>
                <w:sz w:val="20"/>
                <w:szCs w:val="20"/>
                <w:color w:val="auto"/>
              </w:rPr>
              <w:t>Total amortizable intangibles, net</w:t>
            </w:r>
          </w:p>
        </w:tc>
        <w:tc>
          <w:tcPr>
            <w:tcW w:w="29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21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234,184</w:t>
            </w:r>
          </w:p>
        </w:tc>
        <w:tc>
          <w:tcPr>
            <w:tcW w:w="8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21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171,109</w:t>
            </w:r>
          </w:p>
        </w:tc>
        <w:tc>
          <w:tcPr>
            <w:tcW w:w="0" w:type="dxa"/>
            <w:vAlign w:val="bottom"/>
          </w:tcPr>
          <w:p>
            <w:pPr>
              <w:spacing w:after="0"/>
              <w:rPr>
                <w:sz w:val="1"/>
                <w:szCs w:val="1"/>
                <w:color w:val="auto"/>
              </w:rPr>
            </w:pPr>
          </w:p>
        </w:tc>
      </w:tr>
      <w:tr>
        <w:trPr>
          <w:trHeight w:val="270"/>
        </w:trPr>
        <w:tc>
          <w:tcPr>
            <w:tcW w:w="3520" w:type="dxa"/>
            <w:vAlign w:val="bottom"/>
          </w:tcPr>
          <w:p>
            <w:pPr>
              <w:spacing w:after="0"/>
              <w:rPr>
                <w:sz w:val="23"/>
                <w:szCs w:val="23"/>
                <w:color w:val="auto"/>
              </w:rPr>
            </w:pPr>
          </w:p>
        </w:tc>
        <w:tc>
          <w:tcPr>
            <w:tcW w:w="29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1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2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4"/>
        </w:trPr>
        <w:tc>
          <w:tcPr>
            <w:tcW w:w="3520" w:type="dxa"/>
            <w:vAlign w:val="bottom"/>
            <w:shd w:val="clear" w:color="auto" w:fill="CCEEFF"/>
          </w:tcPr>
          <w:p>
            <w:pPr>
              <w:ind w:left="20"/>
              <w:spacing w:after="0"/>
              <w:rPr>
                <w:sz w:val="20"/>
                <w:szCs w:val="20"/>
                <w:color w:val="auto"/>
              </w:rPr>
            </w:pPr>
            <w:r>
              <w:rPr>
                <w:rFonts w:ascii="Arial" w:cs="Arial" w:eastAsia="Arial" w:hAnsi="Arial"/>
                <w:sz w:val="20"/>
                <w:szCs w:val="20"/>
                <w:color w:val="auto"/>
              </w:rPr>
              <w:t>Non-amortizable:</w:t>
            </w:r>
          </w:p>
        </w:tc>
        <w:tc>
          <w:tcPr>
            <w:tcW w:w="29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21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21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75"/>
        </w:trPr>
        <w:tc>
          <w:tcPr>
            <w:tcW w:w="3520" w:type="dxa"/>
            <w:vAlign w:val="bottom"/>
          </w:tcPr>
          <w:p>
            <w:pPr>
              <w:ind w:left="240"/>
              <w:spacing w:after="0"/>
              <w:rPr>
                <w:sz w:val="20"/>
                <w:szCs w:val="20"/>
                <w:color w:val="auto"/>
              </w:rPr>
            </w:pPr>
            <w:r>
              <w:rPr>
                <w:rFonts w:ascii="Arial" w:cs="Arial" w:eastAsia="Arial" w:hAnsi="Arial"/>
                <w:sz w:val="20"/>
                <w:szCs w:val="20"/>
                <w:color w:val="auto"/>
              </w:rPr>
              <w:t>Trade name</w:t>
            </w:r>
          </w:p>
        </w:tc>
        <w:tc>
          <w:tcPr>
            <w:tcW w:w="29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140" w:type="dxa"/>
            <w:vAlign w:val="bottom"/>
          </w:tcPr>
          <w:p>
            <w:pPr>
              <w:jc w:val="right"/>
              <w:spacing w:after="0"/>
              <w:rPr>
                <w:sz w:val="20"/>
                <w:szCs w:val="20"/>
                <w:color w:val="auto"/>
              </w:rPr>
            </w:pPr>
            <w:r>
              <w:rPr>
                <w:rFonts w:ascii="Arial" w:cs="Arial" w:eastAsia="Arial" w:hAnsi="Arial"/>
                <w:sz w:val="20"/>
                <w:szCs w:val="20"/>
                <w:color w:val="auto"/>
              </w:rPr>
              <w:t>10,300</w:t>
            </w:r>
          </w:p>
        </w:tc>
        <w:tc>
          <w:tcPr>
            <w:tcW w:w="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2100" w:type="dxa"/>
            <w:vAlign w:val="bottom"/>
          </w:tcPr>
          <w:p>
            <w:pPr>
              <w:jc w:val="right"/>
              <w:spacing w:after="0"/>
              <w:rPr>
                <w:sz w:val="20"/>
                <w:szCs w:val="20"/>
                <w:color w:val="auto"/>
              </w:rPr>
            </w:pPr>
            <w:r>
              <w:rPr>
                <w:rFonts w:ascii="Arial" w:cs="Arial" w:eastAsia="Arial" w:hAnsi="Arial"/>
                <w:sz w:val="20"/>
                <w:szCs w:val="20"/>
                <w:color w:val="auto"/>
              </w:rPr>
              <w:t>10,300</w:t>
            </w:r>
          </w:p>
        </w:tc>
        <w:tc>
          <w:tcPr>
            <w:tcW w:w="0" w:type="dxa"/>
            <w:vAlign w:val="bottom"/>
          </w:tcPr>
          <w:p>
            <w:pPr>
              <w:spacing w:after="0"/>
              <w:rPr>
                <w:sz w:val="1"/>
                <w:szCs w:val="1"/>
                <w:color w:val="auto"/>
              </w:rPr>
            </w:pPr>
          </w:p>
        </w:tc>
      </w:tr>
      <w:tr>
        <w:trPr>
          <w:trHeight w:val="278"/>
        </w:trPr>
        <w:tc>
          <w:tcPr>
            <w:tcW w:w="3520" w:type="dxa"/>
            <w:vAlign w:val="bottom"/>
            <w:shd w:val="clear" w:color="auto" w:fill="CCEEFF"/>
          </w:tcPr>
          <w:p>
            <w:pPr>
              <w:spacing w:after="0"/>
              <w:rPr>
                <w:sz w:val="24"/>
                <w:szCs w:val="24"/>
                <w:color w:val="auto"/>
              </w:rPr>
            </w:pPr>
          </w:p>
        </w:tc>
        <w:tc>
          <w:tcPr>
            <w:tcW w:w="2900" w:type="dxa"/>
            <w:vAlign w:val="bottom"/>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spacing w:after="0"/>
              <w:rPr>
                <w:sz w:val="24"/>
                <w:szCs w:val="24"/>
                <w:color w:val="auto"/>
              </w:rPr>
            </w:pPr>
          </w:p>
        </w:tc>
        <w:tc>
          <w:tcPr>
            <w:tcW w:w="2140" w:type="dxa"/>
            <w:vAlign w:val="bottom"/>
            <w:tcBorders>
              <w:bottom w:val="single" w:sz="8" w:color="auto"/>
            </w:tcBorders>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spacing w:after="0"/>
              <w:rPr>
                <w:sz w:val="24"/>
                <w:szCs w:val="24"/>
                <w:color w:val="auto"/>
              </w:rPr>
            </w:pPr>
          </w:p>
        </w:tc>
        <w:tc>
          <w:tcPr>
            <w:tcW w:w="2100" w:type="dxa"/>
            <w:vAlign w:val="bottom"/>
            <w:tcBorders>
              <w:bottom w:val="single" w:sz="8" w:color="auto"/>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520" w:type="dxa"/>
            <w:vAlign w:val="bottom"/>
          </w:tcPr>
          <w:p>
            <w:pPr>
              <w:ind w:left="20"/>
              <w:spacing w:after="0"/>
              <w:rPr>
                <w:sz w:val="20"/>
                <w:szCs w:val="20"/>
                <w:color w:val="auto"/>
              </w:rPr>
            </w:pPr>
            <w:r>
              <w:rPr>
                <w:rFonts w:ascii="Arial" w:cs="Arial" w:eastAsia="Arial" w:hAnsi="Arial"/>
                <w:sz w:val="20"/>
                <w:szCs w:val="20"/>
                <w:color w:val="auto"/>
              </w:rPr>
              <w:t>Total other intangible assets, net</w:t>
            </w:r>
          </w:p>
        </w:tc>
        <w:tc>
          <w:tcPr>
            <w:tcW w:w="2900" w:type="dxa"/>
            <w:vAlign w:val="bottom"/>
          </w:tcPr>
          <w:p>
            <w:pPr>
              <w:spacing w:after="0"/>
              <w:rPr>
                <w:sz w:val="23"/>
                <w:szCs w:val="23"/>
                <w:color w:val="auto"/>
              </w:rPr>
            </w:pP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21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244,484</w:t>
            </w:r>
          </w:p>
        </w:tc>
        <w:tc>
          <w:tcPr>
            <w:tcW w:w="80" w:type="dxa"/>
            <w:vAlign w:val="bottom"/>
          </w:tcPr>
          <w:p>
            <w:pPr>
              <w:spacing w:after="0"/>
              <w:rPr>
                <w:sz w:val="23"/>
                <w:szCs w:val="23"/>
                <w:color w:val="auto"/>
              </w:rPr>
            </w:pP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21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181,409</w:t>
            </w:r>
          </w:p>
        </w:tc>
        <w:tc>
          <w:tcPr>
            <w:tcW w:w="0" w:type="dxa"/>
            <w:vAlign w:val="bottom"/>
          </w:tcPr>
          <w:p>
            <w:pPr>
              <w:spacing w:after="0"/>
              <w:rPr>
                <w:sz w:val="1"/>
                <w:szCs w:val="1"/>
                <w:color w:val="auto"/>
              </w:rPr>
            </w:pPr>
          </w:p>
        </w:tc>
      </w:tr>
      <w:tr>
        <w:trPr>
          <w:trHeight w:val="27"/>
        </w:trPr>
        <w:tc>
          <w:tcPr>
            <w:tcW w:w="3520" w:type="dxa"/>
            <w:vAlign w:val="bottom"/>
          </w:tcPr>
          <w:p>
            <w:pPr>
              <w:spacing w:after="0"/>
              <w:rPr>
                <w:sz w:val="2"/>
                <w:szCs w:val="2"/>
                <w:color w:val="auto"/>
              </w:rPr>
            </w:pPr>
          </w:p>
        </w:tc>
        <w:tc>
          <w:tcPr>
            <w:tcW w:w="29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1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316" w:lineRule="exact"/>
        <w:rPr>
          <w:sz w:val="20"/>
          <w:szCs w:val="20"/>
          <w:color w:val="auto"/>
        </w:rPr>
      </w:pPr>
    </w:p>
    <w:p>
      <w:pPr>
        <w:jc w:val="both"/>
        <w:spacing w:after="0" w:line="278" w:lineRule="auto"/>
        <w:rPr>
          <w:sz w:val="20"/>
          <w:szCs w:val="20"/>
          <w:color w:val="auto"/>
        </w:rPr>
      </w:pPr>
      <w:r>
        <w:rPr>
          <w:rFonts w:ascii="Arial" w:cs="Arial" w:eastAsia="Arial" w:hAnsi="Arial"/>
          <w:sz w:val="20"/>
          <w:szCs w:val="20"/>
          <w:color w:val="auto"/>
        </w:rPr>
        <w:t>Amortization expense related to intangible assets was $10.6 million and $11.9 million for the three months ended September 30, 2025 and 2024, respectively, of which $4.4 million and $3.6 million, respectively, was included in Amortization of developed technology and backlog, a component of cost of revenue, and $6.2 million and $8.3 million, respectively, was included in Depreciation and amortization, on the accompanying condensed consolidated statements of operations.</w:t>
      </w:r>
    </w:p>
    <w:p>
      <w:pPr>
        <w:spacing w:after="0" w:line="190" w:lineRule="exact"/>
        <w:rPr>
          <w:sz w:val="20"/>
          <w:szCs w:val="20"/>
          <w:color w:val="auto"/>
        </w:rPr>
      </w:pPr>
    </w:p>
    <w:p>
      <w:pPr>
        <w:jc w:val="both"/>
        <w:spacing w:after="0" w:line="269" w:lineRule="auto"/>
        <w:rPr>
          <w:sz w:val="20"/>
          <w:szCs w:val="20"/>
          <w:color w:val="auto"/>
        </w:rPr>
      </w:pPr>
      <w:r>
        <w:rPr>
          <w:rFonts w:ascii="Arial" w:cs="Arial" w:eastAsia="Arial" w:hAnsi="Arial"/>
          <w:sz w:val="20"/>
          <w:szCs w:val="20"/>
          <w:color w:val="auto"/>
        </w:rPr>
        <w:t>Amortization expense related to intangible assets was $27.9 million and $36.6 million for the nine months ended September 30, 2025 and 2024, respectively, of which $11.7 million and $10.9 million, respectively, was included in Amortization of developed technology and backlog, a component of cost of revenue, and $16.2 million and $25.7 million, respectively, was included in Depreciation and amortization, on the accompanying condensed consolidated statements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78105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5" w:name="page26"/>
    <w:bookmarkEnd w:id="25"/>
    <w:p>
      <w:pPr>
        <w:spacing w:after="0" w:line="312" w:lineRule="exact"/>
        <w:rPr>
          <w:sz w:val="20"/>
          <w:szCs w:val="20"/>
          <w:color w:val="auto"/>
        </w:rPr>
      </w:pPr>
    </w:p>
    <w:p>
      <w:pPr>
        <w:spacing w:after="0"/>
        <w:rPr>
          <w:sz w:val="20"/>
          <w:szCs w:val="20"/>
          <w:color w:val="auto"/>
        </w:rPr>
      </w:pPr>
      <w:r>
        <w:rPr>
          <w:rFonts w:ascii="Arial" w:cs="Arial" w:eastAsia="Arial" w:hAnsi="Arial"/>
          <w:sz w:val="20"/>
          <w:szCs w:val="20"/>
          <w:color w:val="auto"/>
        </w:rPr>
        <w:t>Estimated future amortization expense of intangible assets as of September 30, 2025, is as follows (in thousands):</w:t>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277"/>
        </w:trPr>
        <w:tc>
          <w:tcPr>
            <w:tcW w:w="8840" w:type="dxa"/>
            <w:vAlign w:val="bottom"/>
            <w:tcBorders>
              <w:bottom w:val="single" w:sz="8" w:color="CCEEFF"/>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880" w:type="dxa"/>
            <w:vAlign w:val="bottom"/>
            <w:tcBorders>
              <w:bottom w:val="single" w:sz="8" w:color="auto"/>
            </w:tcBorders>
          </w:tcPr>
          <w:p>
            <w:pPr>
              <w:jc w:val="right"/>
              <w:ind w:right="721"/>
              <w:spacing w:after="0"/>
              <w:rPr>
                <w:sz w:val="20"/>
                <w:szCs w:val="20"/>
                <w:color w:val="auto"/>
              </w:rPr>
            </w:pPr>
            <w:r>
              <w:rPr>
                <w:rFonts w:ascii="Arial" w:cs="Arial" w:eastAsia="Arial" w:hAnsi="Arial"/>
                <w:sz w:val="20"/>
                <w:szCs w:val="20"/>
                <w:b w:val="1"/>
                <w:bCs w:val="1"/>
                <w:color w:val="auto"/>
              </w:rPr>
              <w:t>Amount</w:t>
            </w:r>
          </w:p>
        </w:tc>
      </w:tr>
      <w:tr>
        <w:trPr>
          <w:trHeight w:val="281"/>
        </w:trPr>
        <w:tc>
          <w:tcPr>
            <w:tcW w:w="8840" w:type="dxa"/>
            <w:vAlign w:val="bottom"/>
            <w:shd w:val="clear" w:color="auto" w:fill="CCEEFF"/>
          </w:tcPr>
          <w:p>
            <w:pPr>
              <w:ind w:left="20"/>
              <w:spacing w:after="0"/>
              <w:rPr>
                <w:sz w:val="20"/>
                <w:szCs w:val="20"/>
                <w:color w:val="auto"/>
              </w:rPr>
            </w:pPr>
            <w:r>
              <w:rPr>
                <w:rFonts w:ascii="Arial" w:cs="Arial" w:eastAsia="Arial" w:hAnsi="Arial"/>
                <w:sz w:val="20"/>
                <w:szCs w:val="20"/>
                <w:color w:val="auto"/>
              </w:rPr>
              <w:t>Remainder of 2025</w:t>
            </w:r>
          </w:p>
        </w:tc>
        <w:tc>
          <w:tcPr>
            <w:tcW w:w="520" w:type="dxa"/>
            <w:vAlign w:val="bottom"/>
            <w:shd w:val="clear" w:color="auto" w:fill="CCEEFF"/>
          </w:tcPr>
          <w:p>
            <w:pPr>
              <w:jc w:val="right"/>
              <w:ind w:right="201"/>
              <w:spacing w:after="0"/>
              <w:rPr>
                <w:sz w:val="20"/>
                <w:szCs w:val="20"/>
                <w:color w:val="auto"/>
              </w:rPr>
            </w:pPr>
            <w:r>
              <w:rPr>
                <w:rFonts w:ascii="Arial" w:cs="Arial" w:eastAsia="Arial" w:hAnsi="Arial"/>
                <w:sz w:val="20"/>
                <w:szCs w:val="20"/>
                <w:color w:val="auto"/>
              </w:rPr>
              <w:t>$</w:t>
            </w:r>
          </w:p>
        </w:tc>
        <w:tc>
          <w:tcPr>
            <w:tcW w:w="18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12,863</w:t>
            </w:r>
          </w:p>
        </w:tc>
      </w:tr>
      <w:tr>
        <w:trPr>
          <w:trHeight w:val="282"/>
        </w:trPr>
        <w:tc>
          <w:tcPr>
            <w:tcW w:w="8840" w:type="dxa"/>
            <w:vAlign w:val="bottom"/>
          </w:tcPr>
          <w:p>
            <w:pPr>
              <w:ind w:left="20"/>
              <w:spacing w:after="0"/>
              <w:rPr>
                <w:sz w:val="20"/>
                <w:szCs w:val="20"/>
                <w:color w:val="auto"/>
              </w:rPr>
            </w:pPr>
            <w:r>
              <w:rPr>
                <w:rFonts w:ascii="Arial" w:cs="Arial" w:eastAsia="Arial" w:hAnsi="Arial"/>
                <w:sz w:val="20"/>
                <w:szCs w:val="20"/>
                <w:color w:val="auto"/>
              </w:rPr>
              <w:t>2026</w:t>
            </w:r>
          </w:p>
        </w:tc>
        <w:tc>
          <w:tcPr>
            <w:tcW w:w="520" w:type="dxa"/>
            <w:vAlign w:val="bottom"/>
          </w:tcPr>
          <w:p>
            <w:pPr>
              <w:spacing w:after="0"/>
              <w:rPr>
                <w:sz w:val="24"/>
                <w:szCs w:val="24"/>
                <w:color w:val="auto"/>
              </w:rPr>
            </w:pPr>
          </w:p>
        </w:tc>
        <w:tc>
          <w:tcPr>
            <w:tcW w:w="1880" w:type="dxa"/>
            <w:vAlign w:val="bottom"/>
          </w:tcPr>
          <w:p>
            <w:pPr>
              <w:jc w:val="right"/>
              <w:spacing w:after="0"/>
              <w:rPr>
                <w:sz w:val="20"/>
                <w:szCs w:val="20"/>
                <w:color w:val="auto"/>
              </w:rPr>
            </w:pPr>
            <w:r>
              <w:rPr>
                <w:rFonts w:ascii="Arial" w:cs="Arial" w:eastAsia="Arial" w:hAnsi="Arial"/>
                <w:sz w:val="20"/>
                <w:szCs w:val="20"/>
                <w:color w:val="auto"/>
              </w:rPr>
              <w:t>44,693</w:t>
            </w:r>
          </w:p>
        </w:tc>
      </w:tr>
      <w:tr>
        <w:trPr>
          <w:trHeight w:val="285"/>
        </w:trPr>
        <w:tc>
          <w:tcPr>
            <w:tcW w:w="8840" w:type="dxa"/>
            <w:vAlign w:val="bottom"/>
            <w:shd w:val="clear" w:color="auto" w:fill="CCEEFF"/>
          </w:tcPr>
          <w:p>
            <w:pPr>
              <w:ind w:left="20"/>
              <w:spacing w:after="0"/>
              <w:rPr>
                <w:sz w:val="20"/>
                <w:szCs w:val="20"/>
                <w:color w:val="auto"/>
              </w:rPr>
            </w:pPr>
            <w:r>
              <w:rPr>
                <w:rFonts w:ascii="Arial" w:cs="Arial" w:eastAsia="Arial" w:hAnsi="Arial"/>
                <w:sz w:val="20"/>
                <w:szCs w:val="20"/>
                <w:color w:val="auto"/>
              </w:rPr>
              <w:t>2027</w:t>
            </w:r>
          </w:p>
        </w:tc>
        <w:tc>
          <w:tcPr>
            <w:tcW w:w="520" w:type="dxa"/>
            <w:vAlign w:val="bottom"/>
            <w:shd w:val="clear" w:color="auto" w:fill="CCEEFF"/>
          </w:tcPr>
          <w:p>
            <w:pPr>
              <w:spacing w:after="0"/>
              <w:rPr>
                <w:sz w:val="24"/>
                <w:szCs w:val="24"/>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38,249</w:t>
            </w:r>
          </w:p>
        </w:tc>
      </w:tr>
      <w:tr>
        <w:trPr>
          <w:trHeight w:val="282"/>
        </w:trPr>
        <w:tc>
          <w:tcPr>
            <w:tcW w:w="8840" w:type="dxa"/>
            <w:vAlign w:val="bottom"/>
          </w:tcPr>
          <w:p>
            <w:pPr>
              <w:ind w:left="20"/>
              <w:spacing w:after="0"/>
              <w:rPr>
                <w:sz w:val="20"/>
                <w:szCs w:val="20"/>
                <w:color w:val="auto"/>
              </w:rPr>
            </w:pPr>
            <w:r>
              <w:rPr>
                <w:rFonts w:ascii="Arial" w:cs="Arial" w:eastAsia="Arial" w:hAnsi="Arial"/>
                <w:sz w:val="20"/>
                <w:szCs w:val="20"/>
                <w:color w:val="auto"/>
              </w:rPr>
              <w:t>2028</w:t>
            </w:r>
          </w:p>
        </w:tc>
        <w:tc>
          <w:tcPr>
            <w:tcW w:w="520" w:type="dxa"/>
            <w:vAlign w:val="bottom"/>
          </w:tcPr>
          <w:p>
            <w:pPr>
              <w:spacing w:after="0"/>
              <w:rPr>
                <w:sz w:val="24"/>
                <w:szCs w:val="24"/>
                <w:color w:val="auto"/>
              </w:rPr>
            </w:pPr>
          </w:p>
        </w:tc>
        <w:tc>
          <w:tcPr>
            <w:tcW w:w="1880" w:type="dxa"/>
            <w:vAlign w:val="bottom"/>
          </w:tcPr>
          <w:p>
            <w:pPr>
              <w:jc w:val="right"/>
              <w:spacing w:after="0"/>
              <w:rPr>
                <w:sz w:val="20"/>
                <w:szCs w:val="20"/>
                <w:color w:val="auto"/>
              </w:rPr>
            </w:pPr>
            <w:r>
              <w:rPr>
                <w:rFonts w:ascii="Arial" w:cs="Arial" w:eastAsia="Arial" w:hAnsi="Arial"/>
                <w:sz w:val="20"/>
                <w:szCs w:val="20"/>
                <w:color w:val="auto"/>
              </w:rPr>
              <w:t>38,249</w:t>
            </w:r>
          </w:p>
        </w:tc>
      </w:tr>
      <w:tr>
        <w:trPr>
          <w:trHeight w:val="285"/>
        </w:trPr>
        <w:tc>
          <w:tcPr>
            <w:tcW w:w="8840" w:type="dxa"/>
            <w:vAlign w:val="bottom"/>
            <w:shd w:val="clear" w:color="auto" w:fill="CCEEFF"/>
          </w:tcPr>
          <w:p>
            <w:pPr>
              <w:ind w:left="20"/>
              <w:spacing w:after="0"/>
              <w:rPr>
                <w:sz w:val="20"/>
                <w:szCs w:val="20"/>
                <w:color w:val="auto"/>
              </w:rPr>
            </w:pPr>
            <w:r>
              <w:rPr>
                <w:rFonts w:ascii="Arial" w:cs="Arial" w:eastAsia="Arial" w:hAnsi="Arial"/>
                <w:sz w:val="20"/>
                <w:szCs w:val="20"/>
                <w:color w:val="auto"/>
              </w:rPr>
              <w:t>2029</w:t>
            </w:r>
          </w:p>
        </w:tc>
        <w:tc>
          <w:tcPr>
            <w:tcW w:w="520" w:type="dxa"/>
            <w:vAlign w:val="bottom"/>
            <w:shd w:val="clear" w:color="auto" w:fill="CCEEFF"/>
          </w:tcPr>
          <w:p>
            <w:pPr>
              <w:spacing w:after="0"/>
              <w:rPr>
                <w:sz w:val="24"/>
                <w:szCs w:val="24"/>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38,249</w:t>
            </w:r>
          </w:p>
        </w:tc>
      </w:tr>
      <w:tr>
        <w:trPr>
          <w:trHeight w:val="282"/>
        </w:trPr>
        <w:tc>
          <w:tcPr>
            <w:tcW w:w="8840" w:type="dxa"/>
            <w:vAlign w:val="bottom"/>
            <w:tcBorders>
              <w:bottom w:val="single" w:sz="8" w:color="CCEEFF"/>
            </w:tcBorders>
          </w:tcPr>
          <w:p>
            <w:pPr>
              <w:ind w:left="20"/>
              <w:spacing w:after="0"/>
              <w:rPr>
                <w:sz w:val="20"/>
                <w:szCs w:val="20"/>
                <w:color w:val="auto"/>
              </w:rPr>
            </w:pPr>
            <w:r>
              <w:rPr>
                <w:rFonts w:ascii="Arial" w:cs="Arial" w:eastAsia="Arial" w:hAnsi="Arial"/>
                <w:sz w:val="20"/>
                <w:szCs w:val="20"/>
                <w:color w:val="auto"/>
              </w:rPr>
              <w:t>Thereafter</w:t>
            </w:r>
          </w:p>
        </w:tc>
        <w:tc>
          <w:tcPr>
            <w:tcW w:w="520" w:type="dxa"/>
            <w:vAlign w:val="bottom"/>
            <w:tcBorders>
              <w:bottom w:val="single" w:sz="8" w:color="auto"/>
            </w:tcBorders>
          </w:tcPr>
          <w:p>
            <w:pPr>
              <w:spacing w:after="0"/>
              <w:rPr>
                <w:sz w:val="24"/>
                <w:szCs w:val="24"/>
                <w:color w:val="auto"/>
              </w:rPr>
            </w:pP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61,881</w:t>
            </w:r>
          </w:p>
        </w:tc>
      </w:tr>
      <w:tr>
        <w:trPr>
          <w:trHeight w:val="297"/>
        </w:trPr>
        <w:tc>
          <w:tcPr>
            <w:tcW w:w="8840" w:type="dxa"/>
            <w:vAlign w:val="bottom"/>
            <w:tcBorders>
              <w:bottom w:val="single" w:sz="8" w:color="CCEEFF"/>
            </w:tcBorders>
            <w:shd w:val="clear" w:color="auto" w:fill="CCEEFF"/>
          </w:tcPr>
          <w:p>
            <w:pPr>
              <w:spacing w:after="0"/>
              <w:rPr>
                <w:sz w:val="24"/>
                <w:szCs w:val="24"/>
                <w:color w:val="auto"/>
              </w:rPr>
            </w:pPr>
          </w:p>
        </w:tc>
        <w:tc>
          <w:tcPr>
            <w:tcW w:w="520" w:type="dxa"/>
            <w:vAlign w:val="bottom"/>
            <w:tcBorders>
              <w:bottom w:val="single" w:sz="8" w:color="auto"/>
            </w:tcBorders>
            <w:shd w:val="clear" w:color="auto" w:fill="CCEEFF"/>
          </w:tcPr>
          <w:p>
            <w:pPr>
              <w:jc w:val="right"/>
              <w:ind w:right="201"/>
              <w:spacing w:after="0"/>
              <w:rPr>
                <w:sz w:val="20"/>
                <w:szCs w:val="20"/>
                <w:color w:val="auto"/>
              </w:rPr>
            </w:pPr>
            <w:r>
              <w:rPr>
                <w:rFonts w:ascii="Arial" w:cs="Arial" w:eastAsia="Arial" w:hAnsi="Arial"/>
                <w:sz w:val="20"/>
                <w:szCs w:val="20"/>
                <w:color w:val="auto"/>
              </w:rPr>
              <w:t>$</w:t>
            </w:r>
          </w:p>
        </w:tc>
        <w:tc>
          <w:tcPr>
            <w:tcW w:w="1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234,184</w:t>
            </w:r>
          </w:p>
        </w:tc>
      </w:tr>
      <w:tr>
        <w:trPr>
          <w:trHeight w:val="20"/>
        </w:trPr>
        <w:tc>
          <w:tcPr>
            <w:tcW w:w="884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880" w:type="dxa"/>
            <w:vAlign w:val="bottom"/>
            <w:tcBorders>
              <w:top w:val="single" w:sz="8" w:color="CCEEFF"/>
              <w:bottom w:val="single" w:sz="8" w:color="auto"/>
            </w:tcBorders>
          </w:tcPr>
          <w:p>
            <w:pPr>
              <w:spacing w:after="0" w:line="20" w:lineRule="exact"/>
              <w:rPr>
                <w:sz w:val="1"/>
                <w:szCs w:val="1"/>
                <w:color w:val="auto"/>
              </w:rPr>
            </w:pPr>
          </w:p>
        </w:tc>
      </w:tr>
    </w:tbl>
    <w:p>
      <w:pPr>
        <w:spacing w:after="0" w:line="327" w:lineRule="exact"/>
        <w:rPr>
          <w:sz w:val="20"/>
          <w:szCs w:val="20"/>
          <w:color w:val="auto"/>
        </w:rPr>
      </w:pPr>
    </w:p>
    <w:p>
      <w:pPr>
        <w:ind w:left="400" w:hanging="392"/>
        <w:spacing w:after="0"/>
        <w:tabs>
          <w:tab w:leader="none" w:pos="400" w:val="left"/>
        </w:tabs>
        <w:numPr>
          <w:ilvl w:val="0"/>
          <w:numId w:val="13"/>
        </w:numPr>
        <w:rPr>
          <w:rFonts w:ascii="Arial" w:cs="Arial" w:eastAsia="Arial" w:hAnsi="Arial"/>
          <w:sz w:val="20"/>
          <w:szCs w:val="20"/>
          <w:b w:val="1"/>
          <w:bCs w:val="1"/>
          <w:color w:val="auto"/>
        </w:rPr>
      </w:pPr>
      <w:r>
        <w:rPr>
          <w:rFonts w:ascii="Arial" w:cs="Arial" w:eastAsia="Arial" w:hAnsi="Arial"/>
          <w:sz w:val="20"/>
          <w:szCs w:val="20"/>
          <w:b w:val="1"/>
          <w:bCs w:val="1"/>
          <w:color w:val="auto"/>
        </w:rPr>
        <w:t>Income Taxes</w:t>
      </w:r>
    </w:p>
    <w:p>
      <w:pPr>
        <w:spacing w:after="0" w:line="258" w:lineRule="exact"/>
        <w:rPr>
          <w:sz w:val="20"/>
          <w:szCs w:val="20"/>
          <w:color w:val="auto"/>
        </w:rPr>
      </w:pPr>
    </w:p>
    <w:p>
      <w:pPr>
        <w:jc w:val="both"/>
        <w:spacing w:after="0" w:line="269" w:lineRule="auto"/>
        <w:rPr>
          <w:sz w:val="20"/>
          <w:szCs w:val="20"/>
          <w:color w:val="auto"/>
        </w:rPr>
      </w:pPr>
      <w:r>
        <w:rPr>
          <w:rFonts w:ascii="Arial" w:cs="Arial" w:eastAsia="Arial" w:hAnsi="Arial"/>
          <w:sz w:val="20"/>
          <w:szCs w:val="20"/>
          <w:color w:val="auto"/>
        </w:rPr>
        <w:t xml:space="preserve">The Company follows guidance under ASC Topic 740-270 </w:t>
      </w:r>
      <w:r>
        <w:rPr>
          <w:rFonts w:ascii="Arial" w:cs="Arial" w:eastAsia="Arial" w:hAnsi="Arial"/>
          <w:sz w:val="20"/>
          <w:szCs w:val="20"/>
          <w:i w:val="1"/>
          <w:iCs w:val="1"/>
          <w:color w:val="auto"/>
        </w:rPr>
        <w:t>Income Taxes</w:t>
      </w:r>
      <w:r>
        <w:rPr>
          <w:rFonts w:ascii="Arial" w:cs="Arial" w:eastAsia="Arial" w:hAnsi="Arial"/>
          <w:sz w:val="20"/>
          <w:szCs w:val="20"/>
          <w:color w:val="auto"/>
        </w:rPr>
        <w:t>, which requires that an estimated annual effective tax rate is applied to year-to-date ordinary income (loss). At the end of each interim period, the Company estimates the effective tax rate expected to be applicable for the full fiscal year. The tax effect of discrete items is recorded in the quarter in which the discrete events occur.</w:t>
      </w:r>
    </w:p>
    <w:p>
      <w:pPr>
        <w:spacing w:after="0" w:line="211" w:lineRule="exact"/>
        <w:rPr>
          <w:sz w:val="20"/>
          <w:szCs w:val="20"/>
          <w:color w:val="auto"/>
        </w:rPr>
      </w:pPr>
    </w:p>
    <w:p>
      <w:pPr>
        <w:jc w:val="both"/>
        <w:spacing w:after="0" w:line="269" w:lineRule="auto"/>
        <w:rPr>
          <w:sz w:val="20"/>
          <w:szCs w:val="20"/>
          <w:color w:val="auto"/>
        </w:rPr>
      </w:pPr>
      <w:r>
        <w:rPr>
          <w:rFonts w:ascii="Arial" w:cs="Arial" w:eastAsia="Arial" w:hAnsi="Arial"/>
          <w:sz w:val="20"/>
          <w:szCs w:val="20"/>
          <w:color w:val="auto"/>
        </w:rPr>
        <w:t>The Company recorded Income tax expense of $ 9.9 million and $30.1 million for the three and nine months ended September 30, 2025. The Income tax expense for the three and nine months ended September 30, 2025 was favorably impacted by tax credits recorded during the periods. Additionally, tax expense of zero and $1.2 million related to equity-based compensation was recorded discretely for the three and nine months ended September 30, 2025, respectively.</w:t>
      </w:r>
    </w:p>
    <w:p>
      <w:pPr>
        <w:spacing w:after="0" w:line="197" w:lineRule="exact"/>
        <w:rPr>
          <w:sz w:val="20"/>
          <w:szCs w:val="20"/>
          <w:color w:val="auto"/>
        </w:rPr>
      </w:pPr>
    </w:p>
    <w:p>
      <w:pPr>
        <w:jc w:val="both"/>
        <w:spacing w:after="0" w:line="265" w:lineRule="auto"/>
        <w:rPr>
          <w:sz w:val="20"/>
          <w:szCs w:val="20"/>
          <w:color w:val="auto"/>
        </w:rPr>
      </w:pPr>
      <w:r>
        <w:rPr>
          <w:rFonts w:ascii="Arial" w:cs="Arial" w:eastAsia="Arial" w:hAnsi="Arial"/>
          <w:sz w:val="20"/>
          <w:szCs w:val="20"/>
          <w:color w:val="auto"/>
        </w:rPr>
        <w:t>The Company recorded Income tax expense of $3.9 million and $13.0 million for the three and nine months ended September 30, 2024. The income tax expense for the three and nine months ended September 30, 2024 was favorably impacted by lower profits in non-US jurisdictions and additional tax credits recorded during the period. Additionally, tax expense of zero and $0.5 million related to equity-based compensation was recorded discretely for the three and nine months ended September 30, 2024. No tax benefit was recorded on the goodwill impairment recorded in the nine months ended September 30, 2024, as the goodwill is non-deductible for income tax purposes.</w:t>
      </w:r>
    </w:p>
    <w:p>
      <w:pPr>
        <w:spacing w:after="0" w:line="204" w:lineRule="exact"/>
        <w:rPr>
          <w:sz w:val="20"/>
          <w:szCs w:val="20"/>
          <w:color w:val="auto"/>
        </w:rPr>
      </w:pPr>
    </w:p>
    <w:p>
      <w:pPr>
        <w:jc w:val="both"/>
        <w:spacing w:after="0" w:line="269" w:lineRule="auto"/>
        <w:rPr>
          <w:sz w:val="20"/>
          <w:szCs w:val="20"/>
          <w:color w:val="auto"/>
        </w:rPr>
      </w:pPr>
      <w:r>
        <w:rPr>
          <w:rFonts w:ascii="Arial" w:cs="Arial" w:eastAsia="Arial" w:hAnsi="Arial"/>
          <w:sz w:val="20"/>
          <w:szCs w:val="20"/>
          <w:color w:val="auto"/>
        </w:rPr>
        <w:t xml:space="preserve">The OBBB, as defined in </w:t>
      </w:r>
      <w:r>
        <w:rPr>
          <w:rFonts w:ascii="Arial" w:cs="Arial" w:eastAsia="Arial" w:hAnsi="Arial"/>
          <w:sz w:val="20"/>
          <w:szCs w:val="20"/>
          <w:u w:val="single" w:color="auto"/>
          <w:color w:val="0000FF"/>
        </w:rPr>
        <w:t>Note 2 - Summary of Significant Accounting Policies</w:t>
      </w:r>
      <w:r>
        <w:rPr>
          <w:rFonts w:ascii="Arial" w:cs="Arial" w:eastAsia="Arial" w:hAnsi="Arial"/>
          <w:sz w:val="20"/>
          <w:szCs w:val="20"/>
          <w:color w:val="auto"/>
        </w:rPr>
        <w:t>, extended key provisions of the 2017 Tax Cuts and Jobs Act, including, but not limited to, federal bonus depreciation and deductions for domestic research and development expenditures. The Company is continuing to evaluate the income tax impact of OBBB on the Company’s future consolidated financial statements.</w:t>
      </w:r>
    </w:p>
    <w:p>
      <w:pPr>
        <w:spacing w:after="0" w:line="197" w:lineRule="exact"/>
        <w:rPr>
          <w:sz w:val="20"/>
          <w:szCs w:val="20"/>
          <w:color w:val="auto"/>
        </w:rPr>
      </w:pPr>
    </w:p>
    <w:p>
      <w:pPr>
        <w:spacing w:after="0"/>
        <w:rPr>
          <w:sz w:val="20"/>
          <w:szCs w:val="20"/>
          <w:color w:val="auto"/>
        </w:rPr>
      </w:pPr>
      <w:r>
        <w:rPr>
          <w:rFonts w:ascii="Arial" w:cs="Arial" w:eastAsia="Arial" w:hAnsi="Arial"/>
          <w:sz w:val="19"/>
          <w:szCs w:val="19"/>
          <w:color w:val="auto"/>
        </w:rPr>
        <w:t>As of September 30, 2025 and 2024, the balance of reserves for uncertain tax positions was $0.7 million and zero, respectively.</w:t>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78105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6" w:name="page27"/>
    <w:bookmarkEnd w:id="26"/>
    <w:p>
      <w:pPr>
        <w:spacing w:after="0" w:line="310" w:lineRule="exact"/>
        <w:rPr>
          <w:sz w:val="20"/>
          <w:szCs w:val="20"/>
          <w:color w:val="auto"/>
        </w:rPr>
      </w:pPr>
    </w:p>
    <w:p>
      <w:pPr>
        <w:ind w:left="400" w:hanging="392"/>
        <w:spacing w:after="0"/>
        <w:tabs>
          <w:tab w:leader="none" w:pos="400" w:val="left"/>
        </w:tabs>
        <w:numPr>
          <w:ilvl w:val="0"/>
          <w:numId w:val="14"/>
        </w:numPr>
        <w:rPr>
          <w:rFonts w:ascii="Arial" w:cs="Arial" w:eastAsia="Arial" w:hAnsi="Arial"/>
          <w:sz w:val="20"/>
          <w:szCs w:val="20"/>
          <w:b w:val="1"/>
          <w:bCs w:val="1"/>
          <w:color w:val="auto"/>
        </w:rPr>
      </w:pPr>
      <w:r>
        <w:rPr>
          <w:rFonts w:ascii="Arial" w:cs="Arial" w:eastAsia="Arial" w:hAnsi="Arial"/>
          <w:sz w:val="20"/>
          <w:szCs w:val="20"/>
          <w:b w:val="1"/>
          <w:bCs w:val="1"/>
          <w:color w:val="auto"/>
        </w:rPr>
        <w:t>Debt</w:t>
      </w:r>
    </w:p>
    <w:p>
      <w:pPr>
        <w:spacing w:after="0" w:line="258" w:lineRule="exact"/>
        <w:rPr>
          <w:sz w:val="20"/>
          <w:szCs w:val="20"/>
          <w:color w:val="auto"/>
        </w:rPr>
      </w:pPr>
    </w:p>
    <w:p>
      <w:pPr>
        <w:spacing w:after="0"/>
        <w:rPr>
          <w:sz w:val="20"/>
          <w:szCs w:val="20"/>
          <w:color w:val="auto"/>
        </w:rPr>
      </w:pPr>
      <w:r>
        <w:rPr>
          <w:rFonts w:ascii="Arial" w:cs="Arial" w:eastAsia="Arial" w:hAnsi="Arial"/>
          <w:sz w:val="20"/>
          <w:szCs w:val="20"/>
          <w:color w:val="auto"/>
        </w:rPr>
        <w:t>The following table summarizes the Company’s total debt (in thousands):</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80"/>
        </w:trPr>
        <w:tc>
          <w:tcPr>
            <w:tcW w:w="6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20" w:type="dxa"/>
            <w:vAlign w:val="bottom"/>
            <w:gridSpan w:val="2"/>
          </w:tcPr>
          <w:p>
            <w:pPr>
              <w:ind w:left="60"/>
              <w:spacing w:after="0"/>
              <w:rPr>
                <w:sz w:val="20"/>
                <w:szCs w:val="20"/>
                <w:color w:val="auto"/>
              </w:rPr>
            </w:pPr>
            <w:r>
              <w:rPr>
                <w:rFonts w:ascii="Arial" w:cs="Arial" w:eastAsia="Arial" w:hAnsi="Arial"/>
                <w:sz w:val="20"/>
                <w:szCs w:val="20"/>
                <w:b w:val="1"/>
                <w:bCs w:val="1"/>
                <w:color w:val="auto"/>
              </w:rPr>
              <w:t>September 30, 2025</w:t>
            </w:r>
          </w:p>
        </w:tc>
        <w:tc>
          <w:tcPr>
            <w:tcW w:w="180" w:type="dxa"/>
            <w:vAlign w:val="bottom"/>
          </w:tcPr>
          <w:p>
            <w:pPr>
              <w:spacing w:after="0"/>
              <w:rPr>
                <w:sz w:val="24"/>
                <w:szCs w:val="24"/>
                <w:color w:val="auto"/>
              </w:rPr>
            </w:pPr>
          </w:p>
        </w:tc>
        <w:tc>
          <w:tcPr>
            <w:tcW w:w="2120" w:type="dxa"/>
            <w:vAlign w:val="bottom"/>
          </w:tcPr>
          <w:p>
            <w:pPr>
              <w:jc w:val="right"/>
              <w:ind w:right="161"/>
              <w:spacing w:after="0"/>
              <w:rPr>
                <w:sz w:val="20"/>
                <w:szCs w:val="20"/>
                <w:color w:val="auto"/>
              </w:rPr>
            </w:pPr>
            <w:r>
              <w:rPr>
                <w:rFonts w:ascii="Arial" w:cs="Arial" w:eastAsia="Arial" w:hAnsi="Arial"/>
                <w:sz w:val="20"/>
                <w:szCs w:val="20"/>
                <w:b w:val="1"/>
                <w:bCs w:val="1"/>
                <w:color w:val="auto"/>
              </w:rPr>
              <w:t>December 31, 2024</w:t>
            </w:r>
          </w:p>
        </w:tc>
      </w:tr>
      <w:tr>
        <w:trPr>
          <w:trHeight w:val="263"/>
        </w:trPr>
        <w:tc>
          <w:tcPr>
            <w:tcW w:w="65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20"/>
                <w:szCs w:val="20"/>
                <w:color w:val="auto"/>
              </w:rPr>
              <w:t>Senior Secured Credit Facility:</w:t>
            </w:r>
          </w:p>
        </w:tc>
        <w:tc>
          <w:tcPr>
            <w:tcW w:w="180" w:type="dxa"/>
            <w:vAlign w:val="bottom"/>
            <w:tcBorders>
              <w:top w:val="single" w:sz="8" w:color="auto"/>
            </w:tcBorders>
            <w:shd w:val="clear" w:color="auto" w:fill="CCEEFF"/>
          </w:tcPr>
          <w:p>
            <w:pPr>
              <w:spacing w:after="0"/>
              <w:rPr>
                <w:sz w:val="22"/>
                <w:szCs w:val="22"/>
                <w:color w:val="auto"/>
              </w:rPr>
            </w:pPr>
          </w:p>
        </w:tc>
        <w:tc>
          <w:tcPr>
            <w:tcW w:w="2140" w:type="dxa"/>
            <w:vAlign w:val="bottom"/>
            <w:tcBorders>
              <w:top w:val="single" w:sz="8" w:color="auto"/>
            </w:tcBorders>
            <w:shd w:val="clear" w:color="auto" w:fill="CCEEFF"/>
          </w:tcPr>
          <w:p>
            <w:pPr>
              <w:spacing w:after="0"/>
              <w:rPr>
                <w:sz w:val="22"/>
                <w:szCs w:val="22"/>
                <w:color w:val="auto"/>
              </w:rPr>
            </w:pPr>
          </w:p>
        </w:tc>
        <w:tc>
          <w:tcPr>
            <w:tcW w:w="8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spacing w:after="0"/>
              <w:rPr>
                <w:sz w:val="22"/>
                <w:szCs w:val="22"/>
                <w:color w:val="auto"/>
              </w:rPr>
            </w:pPr>
          </w:p>
        </w:tc>
        <w:tc>
          <w:tcPr>
            <w:tcW w:w="2120" w:type="dxa"/>
            <w:vAlign w:val="bottom"/>
            <w:tcBorders>
              <w:top w:val="single" w:sz="8" w:color="auto"/>
            </w:tcBorders>
            <w:shd w:val="clear" w:color="auto" w:fill="CCEEFF"/>
          </w:tcPr>
          <w:p>
            <w:pPr>
              <w:spacing w:after="0"/>
              <w:rPr>
                <w:sz w:val="22"/>
                <w:szCs w:val="22"/>
                <w:color w:val="auto"/>
              </w:rPr>
            </w:pPr>
          </w:p>
        </w:tc>
      </w:tr>
      <w:tr>
        <w:trPr>
          <w:trHeight w:val="275"/>
        </w:trPr>
        <w:tc>
          <w:tcPr>
            <w:tcW w:w="6540" w:type="dxa"/>
            <w:vAlign w:val="bottom"/>
          </w:tcPr>
          <w:p>
            <w:pPr>
              <w:ind w:left="240"/>
              <w:spacing w:after="0"/>
              <w:rPr>
                <w:sz w:val="20"/>
                <w:szCs w:val="20"/>
                <w:color w:val="auto"/>
              </w:rPr>
            </w:pPr>
            <w:r>
              <w:rPr>
                <w:rFonts w:ascii="Arial" w:cs="Arial" w:eastAsia="Arial" w:hAnsi="Arial"/>
                <w:sz w:val="20"/>
                <w:szCs w:val="20"/>
                <w:color w:val="auto"/>
              </w:rPr>
              <w:t>Term loan facility</w:t>
            </w:r>
          </w:p>
        </w:tc>
        <w:tc>
          <w:tcPr>
            <w:tcW w:w="180" w:type="dxa"/>
            <w:vAlign w:val="bottom"/>
          </w:tcPr>
          <w:p>
            <w:pPr>
              <w:jc w:val="right"/>
              <w:spacing w:after="0"/>
              <w:rPr>
                <w:sz w:val="20"/>
                <w:szCs w:val="20"/>
                <w:color w:val="auto"/>
              </w:rPr>
            </w:pPr>
            <w:r>
              <w:rPr>
                <w:rFonts w:ascii="Arial" w:cs="Arial" w:eastAsia="Arial" w:hAnsi="Arial"/>
                <w:sz w:val="20"/>
                <w:szCs w:val="20"/>
                <w:color w:val="auto"/>
                <w:w w:val="89"/>
              </w:rPr>
              <w:t>$</w:t>
            </w:r>
          </w:p>
        </w:tc>
        <w:tc>
          <w:tcPr>
            <w:tcW w:w="2220" w:type="dxa"/>
            <w:vAlign w:val="bottom"/>
            <w:gridSpan w:val="2"/>
          </w:tcPr>
          <w:p>
            <w:pPr>
              <w:jc w:val="right"/>
              <w:ind w:right="180"/>
              <w:spacing w:after="0"/>
              <w:rPr>
                <w:sz w:val="20"/>
                <w:szCs w:val="20"/>
                <w:color w:val="auto"/>
              </w:rPr>
            </w:pPr>
            <w:r>
              <w:rPr>
                <w:rFonts w:ascii="Arial" w:cs="Arial" w:eastAsia="Arial" w:hAnsi="Arial"/>
                <w:sz w:val="20"/>
                <w:szCs w:val="20"/>
                <w:color w:val="auto"/>
              </w:rPr>
              <w:t>—</w:t>
            </w:r>
          </w:p>
        </w:tc>
        <w:tc>
          <w:tcPr>
            <w:tcW w:w="180" w:type="dxa"/>
            <w:vAlign w:val="bottom"/>
          </w:tcPr>
          <w:p>
            <w:pPr>
              <w:jc w:val="right"/>
              <w:spacing w:after="0"/>
              <w:rPr>
                <w:sz w:val="20"/>
                <w:szCs w:val="20"/>
                <w:color w:val="auto"/>
              </w:rPr>
            </w:pPr>
            <w:r>
              <w:rPr>
                <w:rFonts w:ascii="Arial" w:cs="Arial" w:eastAsia="Arial" w:hAnsi="Arial"/>
                <w:sz w:val="20"/>
                <w:szCs w:val="20"/>
                <w:color w:val="auto"/>
                <w:w w:val="71"/>
              </w:rPr>
              <w:t>$</w:t>
            </w:r>
          </w:p>
        </w:tc>
        <w:tc>
          <w:tcPr>
            <w:tcW w:w="2120" w:type="dxa"/>
            <w:vAlign w:val="bottom"/>
          </w:tcPr>
          <w:p>
            <w:pPr>
              <w:jc w:val="right"/>
              <w:spacing w:after="0"/>
              <w:rPr>
                <w:sz w:val="20"/>
                <w:szCs w:val="20"/>
                <w:color w:val="auto"/>
              </w:rPr>
            </w:pPr>
            <w:r>
              <w:rPr>
                <w:rFonts w:ascii="Arial" w:cs="Arial" w:eastAsia="Arial" w:hAnsi="Arial"/>
                <w:sz w:val="20"/>
                <w:szCs w:val="20"/>
                <w:color w:val="auto"/>
              </w:rPr>
              <w:t>233,875</w:t>
            </w:r>
          </w:p>
        </w:tc>
      </w:tr>
      <w:tr>
        <w:trPr>
          <w:trHeight w:val="292"/>
        </w:trPr>
        <w:tc>
          <w:tcPr>
            <w:tcW w:w="6540" w:type="dxa"/>
            <w:vAlign w:val="bottom"/>
            <w:shd w:val="clear" w:color="auto" w:fill="CCEEFF"/>
          </w:tcPr>
          <w:p>
            <w:pPr>
              <w:ind w:left="240"/>
              <w:spacing w:after="0"/>
              <w:rPr>
                <w:sz w:val="20"/>
                <w:szCs w:val="20"/>
                <w:color w:val="auto"/>
              </w:rPr>
            </w:pPr>
            <w:r>
              <w:rPr>
                <w:rFonts w:ascii="Arial" w:cs="Arial" w:eastAsia="Arial" w:hAnsi="Arial"/>
                <w:sz w:val="20"/>
                <w:szCs w:val="20"/>
                <w:color w:val="auto"/>
              </w:rPr>
              <w:t>Revolving credit facility</w:t>
            </w:r>
          </w:p>
        </w:tc>
        <w:tc>
          <w:tcPr>
            <w:tcW w:w="180" w:type="dxa"/>
            <w:vAlign w:val="bottom"/>
            <w:tcBorders>
              <w:bottom w:val="single" w:sz="8" w:color="auto"/>
            </w:tcBorders>
            <w:shd w:val="clear" w:color="auto" w:fill="CCEEFF"/>
          </w:tcPr>
          <w:p>
            <w:pPr>
              <w:spacing w:after="0"/>
              <w:rPr>
                <w:sz w:val="24"/>
                <w:szCs w:val="24"/>
                <w:color w:val="auto"/>
              </w:rPr>
            </w:pPr>
          </w:p>
        </w:tc>
        <w:tc>
          <w:tcPr>
            <w:tcW w:w="21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20"/>
                <w:szCs w:val="20"/>
                <w:color w:val="auto"/>
              </w:rPr>
              <w:t>—</w:t>
            </w:r>
          </w:p>
        </w:tc>
        <w:tc>
          <w:tcPr>
            <w:tcW w:w="80" w:type="dxa"/>
            <w:vAlign w:val="bottom"/>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spacing w:after="0"/>
              <w:rPr>
                <w:sz w:val="24"/>
                <w:szCs w:val="24"/>
                <w:color w:val="auto"/>
              </w:rPr>
            </w:pPr>
          </w:p>
        </w:tc>
        <w:tc>
          <w:tcPr>
            <w:tcW w:w="2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w:t>
            </w:r>
          </w:p>
        </w:tc>
      </w:tr>
      <w:tr>
        <w:trPr>
          <w:trHeight w:val="270"/>
        </w:trPr>
        <w:tc>
          <w:tcPr>
            <w:tcW w:w="6540" w:type="dxa"/>
            <w:vAlign w:val="bottom"/>
          </w:tcPr>
          <w:p>
            <w:pPr>
              <w:ind w:left="460"/>
              <w:spacing w:after="0"/>
              <w:rPr>
                <w:sz w:val="20"/>
                <w:szCs w:val="20"/>
                <w:color w:val="auto"/>
              </w:rPr>
            </w:pPr>
            <w:r>
              <w:rPr>
                <w:rFonts w:ascii="Arial" w:cs="Arial" w:eastAsia="Arial" w:hAnsi="Arial"/>
                <w:sz w:val="20"/>
                <w:szCs w:val="20"/>
                <w:color w:val="auto"/>
              </w:rPr>
              <w:t>Total secured credit facility</w:t>
            </w:r>
          </w:p>
        </w:tc>
        <w:tc>
          <w:tcPr>
            <w:tcW w:w="180" w:type="dxa"/>
            <w:vAlign w:val="bottom"/>
          </w:tcPr>
          <w:p>
            <w:pPr>
              <w:spacing w:after="0"/>
              <w:rPr>
                <w:sz w:val="23"/>
                <w:szCs w:val="23"/>
                <w:color w:val="auto"/>
              </w:rPr>
            </w:pPr>
          </w:p>
        </w:tc>
        <w:tc>
          <w:tcPr>
            <w:tcW w:w="2220" w:type="dxa"/>
            <w:vAlign w:val="bottom"/>
            <w:gridSpan w:val="2"/>
          </w:tcPr>
          <w:p>
            <w:pPr>
              <w:jc w:val="right"/>
              <w:ind w:right="180"/>
              <w:spacing w:after="0"/>
              <w:rPr>
                <w:sz w:val="20"/>
                <w:szCs w:val="20"/>
                <w:color w:val="auto"/>
              </w:rPr>
            </w:pPr>
            <w:r>
              <w:rPr>
                <w:rFonts w:ascii="Arial" w:cs="Arial" w:eastAsia="Arial" w:hAnsi="Arial"/>
                <w:sz w:val="20"/>
                <w:szCs w:val="20"/>
                <w:color w:val="auto"/>
              </w:rPr>
              <w:t>—</w:t>
            </w:r>
          </w:p>
        </w:tc>
        <w:tc>
          <w:tcPr>
            <w:tcW w:w="180" w:type="dxa"/>
            <w:vAlign w:val="bottom"/>
          </w:tcPr>
          <w:p>
            <w:pPr>
              <w:spacing w:after="0"/>
              <w:rPr>
                <w:sz w:val="23"/>
                <w:szCs w:val="23"/>
                <w:color w:val="auto"/>
              </w:rPr>
            </w:pPr>
          </w:p>
        </w:tc>
        <w:tc>
          <w:tcPr>
            <w:tcW w:w="2120" w:type="dxa"/>
            <w:vAlign w:val="bottom"/>
          </w:tcPr>
          <w:p>
            <w:pPr>
              <w:jc w:val="right"/>
              <w:spacing w:after="0"/>
              <w:rPr>
                <w:sz w:val="20"/>
                <w:szCs w:val="20"/>
                <w:color w:val="auto"/>
              </w:rPr>
            </w:pPr>
            <w:r>
              <w:rPr>
                <w:rFonts w:ascii="Arial" w:cs="Arial" w:eastAsia="Arial" w:hAnsi="Arial"/>
                <w:sz w:val="20"/>
                <w:szCs w:val="20"/>
                <w:color w:val="auto"/>
              </w:rPr>
              <w:t>233,875</w:t>
            </w:r>
          </w:p>
        </w:tc>
      </w:tr>
      <w:tr>
        <w:trPr>
          <w:trHeight w:val="257"/>
        </w:trPr>
        <w:tc>
          <w:tcPr>
            <w:tcW w:w="654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spacing w:after="0"/>
              <w:rPr>
                <w:sz w:val="22"/>
                <w:szCs w:val="22"/>
                <w:color w:val="auto"/>
              </w:rPr>
            </w:pPr>
          </w:p>
        </w:tc>
        <w:tc>
          <w:tcPr>
            <w:tcW w:w="2140" w:type="dxa"/>
            <w:vAlign w:val="bottom"/>
            <w:tcBorders>
              <w:top w:val="single" w:sz="8" w:color="auto"/>
            </w:tcBorders>
            <w:shd w:val="clear" w:color="auto" w:fill="CCEEFF"/>
          </w:tcPr>
          <w:p>
            <w:pPr>
              <w:spacing w:after="0"/>
              <w:rPr>
                <w:sz w:val="22"/>
                <w:szCs w:val="22"/>
                <w:color w:val="auto"/>
              </w:rPr>
            </w:pPr>
          </w:p>
        </w:tc>
        <w:tc>
          <w:tcPr>
            <w:tcW w:w="8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spacing w:after="0"/>
              <w:rPr>
                <w:sz w:val="22"/>
                <w:szCs w:val="22"/>
                <w:color w:val="auto"/>
              </w:rPr>
            </w:pPr>
          </w:p>
        </w:tc>
        <w:tc>
          <w:tcPr>
            <w:tcW w:w="2120" w:type="dxa"/>
            <w:vAlign w:val="bottom"/>
            <w:tcBorders>
              <w:top w:val="single" w:sz="8" w:color="auto"/>
            </w:tcBorders>
            <w:shd w:val="clear" w:color="auto" w:fill="CCEEFF"/>
          </w:tcPr>
          <w:p>
            <w:pPr>
              <w:spacing w:after="0"/>
              <w:rPr>
                <w:sz w:val="22"/>
                <w:szCs w:val="22"/>
                <w:color w:val="auto"/>
              </w:rPr>
            </w:pPr>
          </w:p>
        </w:tc>
      </w:tr>
      <w:tr>
        <w:trPr>
          <w:trHeight w:val="275"/>
        </w:trPr>
        <w:tc>
          <w:tcPr>
            <w:tcW w:w="6540" w:type="dxa"/>
            <w:vAlign w:val="bottom"/>
          </w:tcPr>
          <w:p>
            <w:pPr>
              <w:ind w:left="20"/>
              <w:spacing w:after="0"/>
              <w:rPr>
                <w:sz w:val="20"/>
                <w:szCs w:val="20"/>
                <w:color w:val="auto"/>
              </w:rPr>
            </w:pPr>
            <w:r>
              <w:rPr>
                <w:rFonts w:ascii="Arial" w:cs="Arial" w:eastAsia="Arial" w:hAnsi="Arial"/>
                <w:sz w:val="20"/>
                <w:szCs w:val="20"/>
                <w:color w:val="auto"/>
              </w:rPr>
              <w:t>2028 Convertible notes</w:t>
            </w:r>
          </w:p>
        </w:tc>
        <w:tc>
          <w:tcPr>
            <w:tcW w:w="180" w:type="dxa"/>
            <w:vAlign w:val="bottom"/>
          </w:tcPr>
          <w:p>
            <w:pPr>
              <w:spacing w:after="0"/>
              <w:rPr>
                <w:sz w:val="23"/>
                <w:szCs w:val="23"/>
                <w:color w:val="auto"/>
              </w:rPr>
            </w:pPr>
          </w:p>
        </w:tc>
        <w:tc>
          <w:tcPr>
            <w:tcW w:w="2140" w:type="dxa"/>
            <w:vAlign w:val="bottom"/>
          </w:tcPr>
          <w:p>
            <w:pPr>
              <w:jc w:val="right"/>
              <w:ind w:right="1"/>
              <w:spacing w:after="0"/>
              <w:rPr>
                <w:sz w:val="20"/>
                <w:szCs w:val="20"/>
                <w:color w:val="auto"/>
              </w:rPr>
            </w:pPr>
            <w:r>
              <w:rPr>
                <w:rFonts w:ascii="Arial" w:cs="Arial" w:eastAsia="Arial" w:hAnsi="Arial"/>
                <w:sz w:val="20"/>
                <w:szCs w:val="20"/>
                <w:color w:val="auto"/>
              </w:rPr>
              <w:t>325,000</w:t>
            </w: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120" w:type="dxa"/>
            <w:vAlign w:val="bottom"/>
          </w:tcPr>
          <w:p>
            <w:pPr>
              <w:jc w:val="right"/>
              <w:spacing w:after="0"/>
              <w:rPr>
                <w:sz w:val="20"/>
                <w:szCs w:val="20"/>
                <w:color w:val="auto"/>
              </w:rPr>
            </w:pPr>
            <w:r>
              <w:rPr>
                <w:rFonts w:ascii="Arial" w:cs="Arial" w:eastAsia="Arial" w:hAnsi="Arial"/>
                <w:sz w:val="20"/>
                <w:szCs w:val="20"/>
                <w:color w:val="auto"/>
              </w:rPr>
              <w:t>425,000</w:t>
            </w:r>
          </w:p>
        </w:tc>
      </w:tr>
      <w:tr>
        <w:trPr>
          <w:trHeight w:val="292"/>
        </w:trPr>
        <w:tc>
          <w:tcPr>
            <w:tcW w:w="6540" w:type="dxa"/>
            <w:vAlign w:val="bottom"/>
            <w:shd w:val="clear" w:color="auto" w:fill="CCEEFF"/>
          </w:tcPr>
          <w:p>
            <w:pPr>
              <w:ind w:left="20"/>
              <w:spacing w:after="0"/>
              <w:rPr>
                <w:sz w:val="20"/>
                <w:szCs w:val="20"/>
                <w:color w:val="auto"/>
              </w:rPr>
            </w:pPr>
            <w:r>
              <w:rPr>
                <w:rFonts w:ascii="Arial" w:cs="Arial" w:eastAsia="Arial" w:hAnsi="Arial"/>
                <w:sz w:val="20"/>
                <w:szCs w:val="20"/>
                <w:color w:val="auto"/>
              </w:rPr>
              <w:t>2031 Convertible notes</w:t>
            </w:r>
          </w:p>
        </w:tc>
        <w:tc>
          <w:tcPr>
            <w:tcW w:w="180" w:type="dxa"/>
            <w:vAlign w:val="bottom"/>
            <w:shd w:val="clear" w:color="auto" w:fill="CCEEFF"/>
          </w:tcPr>
          <w:p>
            <w:pPr>
              <w:spacing w:after="0"/>
              <w:rPr>
                <w:sz w:val="24"/>
                <w:szCs w:val="24"/>
                <w:color w:val="auto"/>
              </w:rPr>
            </w:pPr>
          </w:p>
        </w:tc>
        <w:tc>
          <w:tcPr>
            <w:tcW w:w="2140" w:type="dxa"/>
            <w:vAlign w:val="bottom"/>
            <w:shd w:val="clear" w:color="auto" w:fill="CCEEFF"/>
          </w:tcPr>
          <w:p>
            <w:pPr>
              <w:jc w:val="right"/>
              <w:ind w:right="1"/>
              <w:spacing w:after="0"/>
              <w:rPr>
                <w:sz w:val="20"/>
                <w:szCs w:val="20"/>
                <w:color w:val="auto"/>
              </w:rPr>
            </w:pPr>
            <w:r>
              <w:rPr>
                <w:rFonts w:ascii="Arial" w:cs="Arial" w:eastAsia="Arial" w:hAnsi="Arial"/>
                <w:sz w:val="20"/>
                <w:szCs w:val="20"/>
                <w:color w:val="auto"/>
              </w:rPr>
              <w:t>345,000</w:t>
            </w:r>
          </w:p>
        </w:tc>
        <w:tc>
          <w:tcPr>
            <w:tcW w:w="8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21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w:t>
            </w:r>
          </w:p>
        </w:tc>
      </w:tr>
      <w:tr>
        <w:trPr>
          <w:trHeight w:val="277"/>
        </w:trPr>
        <w:tc>
          <w:tcPr>
            <w:tcW w:w="6540" w:type="dxa"/>
            <w:vAlign w:val="bottom"/>
            <w:tcBorders>
              <w:bottom w:val="single" w:sz="8" w:color="CCEEFF"/>
            </w:tcBorders>
          </w:tcPr>
          <w:p>
            <w:pPr>
              <w:ind w:left="20"/>
              <w:spacing w:after="0"/>
              <w:rPr>
                <w:sz w:val="20"/>
                <w:szCs w:val="20"/>
                <w:color w:val="auto"/>
              </w:rPr>
            </w:pPr>
            <w:r>
              <w:rPr>
                <w:rFonts w:ascii="Arial" w:cs="Arial" w:eastAsia="Arial" w:hAnsi="Arial"/>
                <w:sz w:val="20"/>
                <w:szCs w:val="20"/>
                <w:color w:val="auto"/>
              </w:rPr>
              <w:t>Other debt</w:t>
            </w:r>
          </w:p>
        </w:tc>
        <w:tc>
          <w:tcPr>
            <w:tcW w:w="180" w:type="dxa"/>
            <w:vAlign w:val="bottom"/>
            <w:tcBorders>
              <w:bottom w:val="single" w:sz="8" w:color="auto"/>
            </w:tcBorders>
          </w:tcPr>
          <w:p>
            <w:pPr>
              <w:spacing w:after="0"/>
              <w:rPr>
                <w:sz w:val="24"/>
                <w:szCs w:val="24"/>
                <w:color w:val="auto"/>
              </w:rPr>
            </w:pPr>
          </w:p>
        </w:tc>
        <w:tc>
          <w:tcPr>
            <w:tcW w:w="2140" w:type="dxa"/>
            <w:vAlign w:val="bottom"/>
            <w:tcBorders>
              <w:bottom w:val="single" w:sz="8" w:color="auto"/>
            </w:tcBorders>
          </w:tcPr>
          <w:p>
            <w:pPr>
              <w:jc w:val="right"/>
              <w:ind w:right="1"/>
              <w:spacing w:after="0"/>
              <w:rPr>
                <w:sz w:val="20"/>
                <w:szCs w:val="20"/>
                <w:color w:val="auto"/>
              </w:rPr>
            </w:pPr>
            <w:r>
              <w:rPr>
                <w:rFonts w:ascii="Arial" w:cs="Arial" w:eastAsia="Arial" w:hAnsi="Arial"/>
                <w:sz w:val="20"/>
                <w:szCs w:val="20"/>
                <w:color w:val="auto"/>
              </w:rPr>
              <w:t>25,598</w:t>
            </w:r>
          </w:p>
        </w:tc>
        <w:tc>
          <w:tcPr>
            <w:tcW w:w="8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1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34,042</w:t>
            </w:r>
          </w:p>
        </w:tc>
      </w:tr>
      <w:tr>
        <w:trPr>
          <w:trHeight w:val="283"/>
        </w:trPr>
        <w:tc>
          <w:tcPr>
            <w:tcW w:w="6540" w:type="dxa"/>
            <w:vAlign w:val="bottom"/>
            <w:shd w:val="clear" w:color="auto" w:fill="CCEEFF"/>
          </w:tcPr>
          <w:p>
            <w:pPr>
              <w:ind w:left="20"/>
              <w:spacing w:after="0"/>
              <w:rPr>
                <w:sz w:val="20"/>
                <w:szCs w:val="20"/>
                <w:color w:val="auto"/>
              </w:rPr>
            </w:pPr>
            <w:r>
              <w:rPr>
                <w:rFonts w:ascii="Arial" w:cs="Arial" w:eastAsia="Arial" w:hAnsi="Arial"/>
                <w:sz w:val="20"/>
                <w:szCs w:val="20"/>
                <w:color w:val="auto"/>
              </w:rPr>
              <w:t>Total principal</w:t>
            </w:r>
          </w:p>
        </w:tc>
        <w:tc>
          <w:tcPr>
            <w:tcW w:w="180" w:type="dxa"/>
            <w:vAlign w:val="bottom"/>
            <w:shd w:val="clear" w:color="auto" w:fill="CCEEFF"/>
          </w:tcPr>
          <w:p>
            <w:pPr>
              <w:spacing w:after="0"/>
              <w:rPr>
                <w:sz w:val="24"/>
                <w:szCs w:val="24"/>
                <w:color w:val="auto"/>
              </w:rPr>
            </w:pPr>
          </w:p>
        </w:tc>
        <w:tc>
          <w:tcPr>
            <w:tcW w:w="2140" w:type="dxa"/>
            <w:vAlign w:val="bottom"/>
            <w:shd w:val="clear" w:color="auto" w:fill="CCEEFF"/>
          </w:tcPr>
          <w:p>
            <w:pPr>
              <w:jc w:val="right"/>
              <w:ind w:right="1"/>
              <w:spacing w:after="0"/>
              <w:rPr>
                <w:sz w:val="20"/>
                <w:szCs w:val="20"/>
                <w:color w:val="auto"/>
              </w:rPr>
            </w:pPr>
            <w:r>
              <w:rPr>
                <w:rFonts w:ascii="Arial" w:cs="Arial" w:eastAsia="Arial" w:hAnsi="Arial"/>
                <w:sz w:val="20"/>
                <w:szCs w:val="20"/>
                <w:color w:val="auto"/>
              </w:rPr>
              <w:t>695,598</w:t>
            </w:r>
          </w:p>
        </w:tc>
        <w:tc>
          <w:tcPr>
            <w:tcW w:w="8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21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692,917</w:t>
            </w:r>
          </w:p>
        </w:tc>
      </w:tr>
      <w:tr>
        <w:trPr>
          <w:trHeight w:val="275"/>
        </w:trPr>
        <w:tc>
          <w:tcPr>
            <w:tcW w:w="6540" w:type="dxa"/>
            <w:vAlign w:val="bottom"/>
          </w:tcPr>
          <w:p>
            <w:pPr>
              <w:ind w:left="20"/>
              <w:spacing w:after="0"/>
              <w:rPr>
                <w:sz w:val="20"/>
                <w:szCs w:val="20"/>
                <w:color w:val="auto"/>
              </w:rPr>
            </w:pPr>
            <w:r>
              <w:rPr>
                <w:rFonts w:ascii="Arial" w:cs="Arial" w:eastAsia="Arial" w:hAnsi="Arial"/>
                <w:sz w:val="20"/>
                <w:szCs w:val="20"/>
                <w:color w:val="auto"/>
              </w:rPr>
              <w:t>Unamortized discount and issuance costs, total</w:t>
            </w:r>
          </w:p>
        </w:tc>
        <w:tc>
          <w:tcPr>
            <w:tcW w:w="180" w:type="dxa"/>
            <w:vAlign w:val="bottom"/>
          </w:tcPr>
          <w:p>
            <w:pPr>
              <w:spacing w:after="0"/>
              <w:rPr>
                <w:sz w:val="23"/>
                <w:szCs w:val="23"/>
                <w:color w:val="auto"/>
              </w:rPr>
            </w:pPr>
          </w:p>
        </w:tc>
        <w:tc>
          <w:tcPr>
            <w:tcW w:w="2140" w:type="dxa"/>
            <w:vAlign w:val="bottom"/>
          </w:tcPr>
          <w:p>
            <w:pPr>
              <w:jc w:val="right"/>
              <w:spacing w:after="0"/>
              <w:rPr>
                <w:sz w:val="20"/>
                <w:szCs w:val="20"/>
                <w:color w:val="auto"/>
              </w:rPr>
            </w:pPr>
            <w:r>
              <w:rPr>
                <w:rFonts w:ascii="Arial" w:cs="Arial" w:eastAsia="Arial" w:hAnsi="Arial"/>
                <w:sz w:val="20"/>
                <w:szCs w:val="20"/>
                <w:color w:val="auto"/>
              </w:rPr>
              <w:t>(14,625)</w:t>
            </w: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120" w:type="dxa"/>
            <w:vAlign w:val="bottom"/>
          </w:tcPr>
          <w:p>
            <w:pPr>
              <w:jc w:val="right"/>
              <w:spacing w:after="0"/>
              <w:rPr>
                <w:sz w:val="20"/>
                <w:szCs w:val="20"/>
                <w:color w:val="auto"/>
              </w:rPr>
            </w:pPr>
            <w:r>
              <w:rPr>
                <w:rFonts w:ascii="Arial" w:cs="Arial" w:eastAsia="Arial" w:hAnsi="Arial"/>
                <w:sz w:val="20"/>
                <w:szCs w:val="20"/>
                <w:color w:val="auto"/>
              </w:rPr>
              <w:t>(15,633)</w:t>
            </w:r>
          </w:p>
        </w:tc>
      </w:tr>
      <w:tr>
        <w:trPr>
          <w:trHeight w:val="292"/>
        </w:trPr>
        <w:tc>
          <w:tcPr>
            <w:tcW w:w="6540" w:type="dxa"/>
            <w:vAlign w:val="bottom"/>
            <w:shd w:val="clear" w:color="auto" w:fill="CCEEFF"/>
          </w:tcPr>
          <w:p>
            <w:pPr>
              <w:ind w:left="20"/>
              <w:spacing w:after="0"/>
              <w:rPr>
                <w:sz w:val="20"/>
                <w:szCs w:val="20"/>
                <w:color w:val="auto"/>
              </w:rPr>
            </w:pPr>
            <w:r>
              <w:rPr>
                <w:rFonts w:ascii="Arial" w:cs="Arial" w:eastAsia="Arial" w:hAnsi="Arial"/>
                <w:sz w:val="20"/>
                <w:szCs w:val="20"/>
                <w:color w:val="auto"/>
              </w:rPr>
              <w:t>Current portion of debt</w:t>
            </w:r>
          </w:p>
        </w:tc>
        <w:tc>
          <w:tcPr>
            <w:tcW w:w="180" w:type="dxa"/>
            <w:vAlign w:val="bottom"/>
            <w:tcBorders>
              <w:bottom w:val="single" w:sz="8" w:color="auto"/>
            </w:tcBorders>
            <w:shd w:val="clear" w:color="auto" w:fill="CCEEFF"/>
          </w:tcPr>
          <w:p>
            <w:pPr>
              <w:spacing w:after="0"/>
              <w:rPr>
                <w:sz w:val="24"/>
                <w:szCs w:val="24"/>
                <w:color w:val="auto"/>
              </w:rPr>
            </w:pPr>
          </w:p>
        </w:tc>
        <w:tc>
          <w:tcPr>
            <w:tcW w:w="2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(22,595)</w:t>
            </w:r>
          </w:p>
        </w:tc>
        <w:tc>
          <w:tcPr>
            <w:tcW w:w="80" w:type="dxa"/>
            <w:vAlign w:val="bottom"/>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spacing w:after="0"/>
              <w:rPr>
                <w:sz w:val="24"/>
                <w:szCs w:val="24"/>
                <w:color w:val="auto"/>
              </w:rPr>
            </w:pPr>
          </w:p>
        </w:tc>
        <w:tc>
          <w:tcPr>
            <w:tcW w:w="2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(30,714)</w:t>
            </w:r>
          </w:p>
        </w:tc>
      </w:tr>
      <w:tr>
        <w:trPr>
          <w:trHeight w:val="271"/>
        </w:trPr>
        <w:tc>
          <w:tcPr>
            <w:tcW w:w="6540" w:type="dxa"/>
            <w:vAlign w:val="bottom"/>
          </w:tcPr>
          <w:p>
            <w:pPr>
              <w:ind w:left="20"/>
              <w:spacing w:after="0"/>
              <w:rPr>
                <w:sz w:val="20"/>
                <w:szCs w:val="20"/>
                <w:color w:val="auto"/>
              </w:rPr>
            </w:pPr>
            <w:r>
              <w:rPr>
                <w:rFonts w:ascii="Arial" w:cs="Arial" w:eastAsia="Arial" w:hAnsi="Arial"/>
                <w:sz w:val="20"/>
                <w:szCs w:val="20"/>
                <w:color w:val="auto"/>
              </w:rPr>
              <w:t>Total long-term debt, net of current portion</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w w:val="89"/>
              </w:rPr>
              <w:t>$</w:t>
            </w:r>
          </w:p>
        </w:tc>
        <w:tc>
          <w:tcPr>
            <w:tcW w:w="2140" w:type="dxa"/>
            <w:vAlign w:val="bottom"/>
            <w:tcBorders>
              <w:bottom w:val="single" w:sz="8" w:color="auto"/>
            </w:tcBorders>
          </w:tcPr>
          <w:p>
            <w:pPr>
              <w:jc w:val="right"/>
              <w:ind w:right="1"/>
              <w:spacing w:after="0"/>
              <w:rPr>
                <w:sz w:val="20"/>
                <w:szCs w:val="20"/>
                <w:color w:val="auto"/>
              </w:rPr>
            </w:pPr>
            <w:r>
              <w:rPr>
                <w:rFonts w:ascii="Arial" w:cs="Arial" w:eastAsia="Arial" w:hAnsi="Arial"/>
                <w:sz w:val="20"/>
                <w:szCs w:val="20"/>
                <w:color w:val="auto"/>
              </w:rPr>
              <w:t>658,378</w:t>
            </w:r>
          </w:p>
        </w:tc>
        <w:tc>
          <w:tcPr>
            <w:tcW w:w="80" w:type="dxa"/>
            <w:vAlign w:val="bottom"/>
          </w:tcPr>
          <w:p>
            <w:pPr>
              <w:spacing w:after="0"/>
              <w:rPr>
                <w:sz w:val="23"/>
                <w:szCs w:val="23"/>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w w:val="71"/>
              </w:rPr>
              <w:t>$</w:t>
            </w:r>
          </w:p>
        </w:tc>
        <w:tc>
          <w:tcPr>
            <w:tcW w:w="21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646,570</w:t>
            </w:r>
          </w:p>
        </w:tc>
      </w:tr>
      <w:tr>
        <w:trPr>
          <w:trHeight w:val="27"/>
        </w:trPr>
        <w:tc>
          <w:tcPr>
            <w:tcW w:w="65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1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r>
    </w:tbl>
    <w:p>
      <w:pPr>
        <w:spacing w:after="0" w:line="31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Senior Secured Credit Facility</w:t>
      </w:r>
    </w:p>
    <w:p>
      <w:pPr>
        <w:spacing w:after="0" w:line="137" w:lineRule="exact"/>
        <w:rPr>
          <w:sz w:val="20"/>
          <w:szCs w:val="20"/>
          <w:color w:val="auto"/>
        </w:rPr>
      </w:pPr>
    </w:p>
    <w:p>
      <w:pPr>
        <w:jc w:val="both"/>
        <w:spacing w:after="0" w:line="265" w:lineRule="auto"/>
        <w:rPr>
          <w:sz w:val="20"/>
          <w:szCs w:val="20"/>
          <w:color w:val="auto"/>
        </w:rPr>
      </w:pPr>
      <w:r>
        <w:rPr>
          <w:rFonts w:ascii="Arial" w:cs="Arial" w:eastAsia="Arial" w:hAnsi="Arial"/>
          <w:sz w:val="20"/>
          <w:szCs w:val="20"/>
          <w:color w:val="auto"/>
        </w:rPr>
        <w:t>On October 14, 2020, the Company entered into a credit agreement (as amended, the “Credit Agreement”) governing the Company’s senior secured credit facility, consisting of (i) a $575 million senior secured 7-year term loan facility (the “Term Loan Facility”) and (ii) a $200 million senior secured 5-year revolving credit facility (the “Revolving Credit Facility” and, together with the Term Loan Facility, the “Senior Secured Credit Facility”). The Credit Agreement was amended on February 23, 2021, on February 26, 2021 and again on March 2, 2023 (the “Third Amendment”).</w:t>
      </w:r>
    </w:p>
    <w:p>
      <w:pPr>
        <w:spacing w:after="0" w:line="202" w:lineRule="exact"/>
        <w:rPr>
          <w:sz w:val="20"/>
          <w:szCs w:val="20"/>
          <w:color w:val="auto"/>
        </w:rPr>
      </w:pPr>
    </w:p>
    <w:p>
      <w:pPr>
        <w:jc w:val="both"/>
        <w:spacing w:after="0" w:line="268" w:lineRule="auto"/>
        <w:rPr>
          <w:sz w:val="20"/>
          <w:szCs w:val="20"/>
          <w:color w:val="auto"/>
        </w:rPr>
      </w:pPr>
      <w:r>
        <w:rPr>
          <w:rFonts w:ascii="Arial" w:cs="Arial" w:eastAsia="Arial" w:hAnsi="Arial"/>
          <w:sz w:val="20"/>
          <w:szCs w:val="20"/>
          <w:color w:val="auto"/>
        </w:rPr>
        <w:t>On May 1, 2025, Array Tech, Inc. and ATI Investment Sub, Inc., both wholly owned subsidiaries of the Company, entered into an amendment (the “Fourth Amendment”) to the Credit Agreement. The Fourth Amendment, among other things, (i) refinanced the Revolving Credit Facility with new revolving commitments and loans thereunder and (ii) revised the Consolidated First Lien Secured Leverage Ratio as applicable under Section 7.09 (Financial Covenant) of the Credit Agreement from 7.10:1.00 to 5.50:1.00.</w:t>
      </w:r>
    </w:p>
    <w:p>
      <w:pPr>
        <w:spacing w:after="0" w:line="201" w:lineRule="exact"/>
        <w:rPr>
          <w:sz w:val="20"/>
          <w:szCs w:val="20"/>
          <w:color w:val="auto"/>
        </w:rPr>
      </w:pPr>
    </w:p>
    <w:p>
      <w:pPr>
        <w:jc w:val="both"/>
        <w:spacing w:after="0" w:line="276" w:lineRule="auto"/>
        <w:rPr>
          <w:sz w:val="20"/>
          <w:szCs w:val="20"/>
          <w:color w:val="auto"/>
        </w:rPr>
      </w:pPr>
      <w:r>
        <w:rPr>
          <w:rFonts w:ascii="Arial" w:cs="Arial" w:eastAsia="Arial" w:hAnsi="Arial"/>
          <w:sz w:val="20"/>
          <w:szCs w:val="20"/>
          <w:color w:val="auto"/>
        </w:rPr>
        <w:t>As amended by the Fourth Amendment, the Revolving Credit Facility has total commitments of $166 million and a maturity date of October 14, 2028. The Company was in compliance with all applicable covenants under the Credit Agreement as of September 30, 2025.</w:t>
      </w:r>
    </w:p>
    <w:p>
      <w:pPr>
        <w:spacing w:after="0" w:line="19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Term Loan Facility</w:t>
      </w:r>
    </w:p>
    <w:p>
      <w:pPr>
        <w:spacing w:after="0" w:line="121" w:lineRule="exact"/>
        <w:rPr>
          <w:sz w:val="20"/>
          <w:szCs w:val="20"/>
          <w:color w:val="auto"/>
        </w:rPr>
      </w:pPr>
    </w:p>
    <w:p>
      <w:pPr>
        <w:jc w:val="both"/>
        <w:spacing w:after="0" w:line="282" w:lineRule="auto"/>
        <w:rPr>
          <w:sz w:val="20"/>
          <w:szCs w:val="20"/>
          <w:color w:val="auto"/>
        </w:rPr>
      </w:pPr>
      <w:r>
        <w:rPr>
          <w:rFonts w:ascii="Arial" w:cs="Arial" w:eastAsia="Arial" w:hAnsi="Arial"/>
          <w:sz w:val="19"/>
          <w:szCs w:val="19"/>
          <w:color w:val="auto"/>
        </w:rPr>
        <w:t>At December 31, 2024, the outstanding balance on the Term Loan Facility was $233.9 million, presented in the accompanying condensed consolidated balance sheets net of debt discount and issuance costs of $7.9 million. During the second quarter of 2025, the Company repaid in full the remaining balance of the Term Loan Facility using proceeds from the issuance of the 2031 Convertible Notes (as defined below). As a result, the Term Loan Facility was fully extinguished and no longer outstanding as of September 30, 2025. The $5.9 million in unamortized debt discount and issuance costs were written off in connection with the extinguishment and recorded in Gain on extinguishment of debts, net during the nine months ended September 30, 2025.</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27" w:name="page28"/>
    <w:bookmarkEnd w:id="27"/>
    <w:p>
      <w:pPr>
        <w:spacing w:after="0" w:line="31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Revolving Credit Facility</w:t>
      </w:r>
    </w:p>
    <w:p>
      <w:pPr>
        <w:spacing w:after="0" w:line="121" w:lineRule="exact"/>
        <w:rPr>
          <w:sz w:val="20"/>
          <w:szCs w:val="20"/>
          <w:color w:val="auto"/>
        </w:rPr>
      </w:pPr>
    </w:p>
    <w:p>
      <w:pPr>
        <w:jc w:val="both"/>
        <w:spacing w:after="0" w:line="264" w:lineRule="auto"/>
        <w:rPr>
          <w:sz w:val="20"/>
          <w:szCs w:val="20"/>
          <w:color w:val="auto"/>
        </w:rPr>
      </w:pPr>
      <w:r>
        <w:rPr>
          <w:rFonts w:ascii="Arial" w:cs="Arial" w:eastAsia="Arial" w:hAnsi="Arial"/>
          <w:sz w:val="20"/>
          <w:szCs w:val="20"/>
          <w:color w:val="auto"/>
        </w:rPr>
        <w:t>The Company had no outstanding balance under the Revolving Credit Facility at both September 30, 2025 and December 31, 2024. At September 30, 2025 and December 31, 2024 the Company had $20.7 million and $28.0 million, respectively, in standby letters of credit, and $145.3 million and $172.0 million, respectively, available to withdraw against total commitments under the Revolving Credit Facility of $166.0 million and $200.0 million, respectively. The Revolving Credit Facility incurs interest at the Company’s election, at either (x) for SOFR Loans at Adjusted Term SOFR (as defined in the Credit Agreement) plus 3.25% or (y) for Base Rate Loans at the higher of the Prime Rate (each as defined in the Credit Agreement), one half of 1.00% above the Federal Funds Rate (as defined in the Credit Agreement) or the Adjusted Term SOFR for one-month interest period, after giving effect to any floor plus 1.00%, plus 2.25%.</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Convertible Notes</w:t>
      </w:r>
    </w:p>
    <w:p>
      <w:pPr>
        <w:spacing w:after="0" w:line="123" w:lineRule="exact"/>
        <w:rPr>
          <w:sz w:val="20"/>
          <w:szCs w:val="20"/>
          <w:color w:val="auto"/>
        </w:rPr>
      </w:pPr>
    </w:p>
    <w:p>
      <w:pPr>
        <w:jc w:val="both"/>
        <w:spacing w:after="0" w:line="264" w:lineRule="auto"/>
        <w:rPr>
          <w:sz w:val="20"/>
          <w:szCs w:val="20"/>
          <w:color w:val="auto"/>
        </w:rPr>
      </w:pPr>
      <w:r>
        <w:rPr>
          <w:rFonts w:ascii="Arial" w:cs="Arial" w:eastAsia="Arial" w:hAnsi="Arial"/>
          <w:sz w:val="20"/>
          <w:szCs w:val="20"/>
          <w:color w:val="auto"/>
        </w:rPr>
        <w:t>On December 3, 2021 and December 9, 2021, the Company completed a $425 million private offering ($375 million and $50 million, respectively), of its 1.00% Convertible Senior Notes due 2028 (the “2028 Convertible Notes”), resulting in net proceeds of $413.3 million ($364.7 million and $48.6 million, respectively), after deducting the original issue discount of 2.75% but before deducting initial purchasers’ discounts and offering expenses. The 2028 Convertible Notes were issued pursuant to an indenture, dated December 3, 2021, between the Company and U.S. Bank National Association, as trustee. The 2028 Convertible Notes are senior unsecured obligations of the Company and will mature on December 1, 2028, unless earlier converted, redeemed, or repurchased. Interest is payable semiannually in arrears at a rate of 1.00% per year on June 1 and December 1 of each year, beginning on June 1, 2022.</w:t>
      </w:r>
    </w:p>
    <w:p>
      <w:pPr>
        <w:spacing w:after="0" w:line="204" w:lineRule="exact"/>
        <w:rPr>
          <w:sz w:val="20"/>
          <w:szCs w:val="20"/>
          <w:color w:val="auto"/>
        </w:rPr>
      </w:pPr>
    </w:p>
    <w:p>
      <w:pPr>
        <w:jc w:val="both"/>
        <w:spacing w:after="0" w:line="262" w:lineRule="auto"/>
        <w:rPr>
          <w:sz w:val="20"/>
          <w:szCs w:val="20"/>
          <w:color w:val="auto"/>
        </w:rPr>
      </w:pPr>
      <w:r>
        <w:rPr>
          <w:rFonts w:ascii="Arial" w:cs="Arial" w:eastAsia="Arial" w:hAnsi="Arial"/>
          <w:sz w:val="20"/>
          <w:szCs w:val="20"/>
          <w:color w:val="auto"/>
        </w:rPr>
        <w:t>On June 27, 2025, the Company issued aggregate principal amount of $345 million of its 2.875% Convertible Senior Notes due 2031 (the “2031 Convertible Notes” and, together with the 2028 Convertible Notes, the “Convertible Notes”) in a private placement. The Company incurred $10.4 million of initial purchasers’ discounts and offering expenses, resulting in net proceeds of $334.6 million. The 2031 Convertible Notes were issued pursuant to an indenture, dated June 27, 2025, between the Company and U.S. Bank Trust Company, National Association, as trustee (the “2031 Indenture”). The 2031 Convertible Notes are senior unsecured obligations of the Company and will mature on July 1, 2031, unless earlier converted, redeemed, or repurchased. Interest is payable semiannually in arrears at a rate of 2.875% per year on January 1 and July 1 of each year, beginning on January 1, 2026.</w:t>
      </w:r>
    </w:p>
    <w:p>
      <w:pPr>
        <w:spacing w:after="0" w:line="219" w:lineRule="exact"/>
        <w:rPr>
          <w:sz w:val="20"/>
          <w:szCs w:val="20"/>
          <w:color w:val="auto"/>
        </w:rPr>
      </w:pPr>
    </w:p>
    <w:p>
      <w:pPr>
        <w:jc w:val="both"/>
        <w:spacing w:after="0" w:line="265" w:lineRule="auto"/>
        <w:rPr>
          <w:sz w:val="20"/>
          <w:szCs w:val="20"/>
          <w:color w:val="auto"/>
        </w:rPr>
      </w:pPr>
      <w:r>
        <w:rPr>
          <w:rFonts w:ascii="Arial" w:cs="Arial" w:eastAsia="Arial" w:hAnsi="Arial"/>
          <w:sz w:val="20"/>
          <w:szCs w:val="20"/>
          <w:color w:val="auto"/>
        </w:rPr>
        <w:t>The Company used approximately $78.4 million of the proceeds from the 2031 Convertible Notes to repurchase $100.0 million aggregate principal amount of the 2028 Convertible Notes. The repurchased 2028 Convertible Notes had a net carrying value of $98.5 million, inclusive of unamortized debt discount, resulting in a gain on extinguishment of debt of approximately $20.1 million. This gain is recorded in Gain on extinguishment of debts, net in the Company’s condensed consolidated statements of operations during the nine months ended September 30, 2025.</w:t>
      </w:r>
    </w:p>
    <w:p>
      <w:pPr>
        <w:spacing w:after="0" w:line="202" w:lineRule="exact"/>
        <w:rPr>
          <w:sz w:val="20"/>
          <w:szCs w:val="20"/>
          <w:color w:val="auto"/>
        </w:rPr>
      </w:pPr>
    </w:p>
    <w:p>
      <w:pPr>
        <w:jc w:val="both"/>
        <w:spacing w:after="0" w:line="265" w:lineRule="auto"/>
        <w:rPr>
          <w:sz w:val="20"/>
          <w:szCs w:val="20"/>
          <w:color w:val="auto"/>
        </w:rPr>
      </w:pPr>
      <w:r>
        <w:rPr>
          <w:rFonts w:ascii="Arial" w:cs="Arial" w:eastAsia="Arial" w:hAnsi="Arial"/>
          <w:sz w:val="20"/>
          <w:szCs w:val="20"/>
          <w:color w:val="auto"/>
        </w:rPr>
        <w:t>As of September 30, 2025 and December 31, 2024, the principal balance of the 2028 Convertible Notes was $325.0 million and $425.0 million, respectively, with unamortized discount and issuance costs of $4.6 million and $7.5 million, respectively, for a net carrying amount of $320.4 million and $417.5 million, respectively. As of September 30, 2025, the principal balance of the 2031 Convertible Notes was $345.0 million with unamortized issuance costs of $10.0 million, for a net carrying amount of $335.0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78105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8" w:name="page29"/>
    <w:bookmarkEnd w:id="28"/>
    <w:p>
      <w:pPr>
        <w:spacing w:after="0" w:line="312" w:lineRule="exact"/>
        <w:rPr>
          <w:sz w:val="20"/>
          <w:szCs w:val="20"/>
          <w:color w:val="auto"/>
        </w:rPr>
      </w:pPr>
    </w:p>
    <w:p>
      <w:pPr>
        <w:jc w:val="both"/>
        <w:spacing w:after="0" w:line="269" w:lineRule="auto"/>
        <w:rPr>
          <w:sz w:val="20"/>
          <w:szCs w:val="20"/>
          <w:color w:val="auto"/>
        </w:rPr>
      </w:pPr>
      <w:r>
        <w:rPr>
          <w:rFonts w:ascii="Arial" w:cs="Arial" w:eastAsia="Arial" w:hAnsi="Arial"/>
          <w:sz w:val="20"/>
          <w:szCs w:val="20"/>
          <w:color w:val="auto"/>
        </w:rPr>
        <w:t>Neither the 2028 Convertible Notes nor the 2031 Convertible Notes were convertible during the three and nine months ended September 30, 2025, and none have been converted to date. As the average market price of the Company’s common stock has not exceeded the applicable conversion prices, there was no dilutive impact from either series of Convertible Notes for the three and nine months ended September 30, 2025.</w:t>
      </w:r>
    </w:p>
    <w:p>
      <w:pPr>
        <w:spacing w:after="0" w:line="197"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Redemption</w:t>
      </w:r>
    </w:p>
    <w:p>
      <w:pPr>
        <w:spacing w:after="0" w:line="135"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At any time prior to the close of business on the business day immediately preceding April 1, 2031, the 2031 Convertible Notes are convertible at the option of the holders only under the following circumstances: (1) during any calendar quarter commencing after the calendar quarter ending on September 30, 2025 (and only during such calendar quarter), if the last reported sale price of our common stock for at least 20 trading days (whether or not consecutive) during a period of 30 consecutive trading days ending on, and including, the last trading day of the immediately preceding calendar quarter is greater than or equal to 130% of the conversion price then in effect on each applicable trading day; (2) during the five business day period after any ten consecutive trading day period (the “measurement period”) in which the trading price per $1,000 principal amount of the 2031 Convertible Notes for each trading day of the measurement period was less than 98% of the product of the last reported sale price of the Company’s common stock and the conversion rate for the 2031 Convertible Notes on each such trading day; (3) if the Company calls such 2031 Convertible Notes for redemption, at any time prior to the close of business on the second scheduled trading day immediately preceding the redemption date, but only with respect to the 2031 Convertible Notes called (or deemed called) for redemption; or (4) upon the occurrence of specified corporate events as described in the Indenture. On or after April 1, 2031, until the close of business on the second scheduled trading day immediately preceding the maturity date, holders of the 2031 Convertible Notes may convert all or any portion of their 2031 Convertible Notes at any time regardless of the foregoing circumstances. Upon conversion of the 2031 Convertible Notes, the Company will pay cash up to the aggregate principal amount of the 2031 Convertible Notes to be converted and pay or deliver, as the case may be, cash, shares of the Company’s common stock or a combination of cash and shares of the Company’s common stock, at the Company’s election, in respect of the remainder, if any, of the Company’s conversion obligation in excess of the aggregate principal amount of the 2031 Convertible Notes being converte</w:t>
      </w:r>
      <w:r>
        <w:rPr>
          <w:rFonts w:ascii="Times New Roman" w:cs="Times New Roman" w:eastAsia="Times New Roman" w:hAnsi="Times New Roman"/>
          <w:sz w:val="21"/>
          <w:szCs w:val="21"/>
          <w:color w:val="auto"/>
        </w:rPr>
        <w:t>d</w:t>
      </w:r>
      <w:r>
        <w:rPr>
          <w:rFonts w:ascii="Arial" w:cs="Arial" w:eastAsia="Arial" w:hAnsi="Arial"/>
          <w:sz w:val="20"/>
          <w:szCs w:val="20"/>
          <w:color w:val="auto"/>
        </w:rPr>
        <w:t>.</w:t>
      </w:r>
    </w:p>
    <w:p>
      <w:pPr>
        <w:spacing w:after="0" w:line="215"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22"/>
          <w:szCs w:val="22"/>
          <w:color w:val="auto"/>
        </w:rPr>
        <w:t>T</w:t>
      </w:r>
      <w:r>
        <w:rPr>
          <w:rFonts w:ascii="Arial" w:cs="Arial" w:eastAsia="Arial" w:hAnsi="Arial"/>
          <w:sz w:val="19"/>
          <w:szCs w:val="19"/>
          <w:color w:val="auto"/>
        </w:rPr>
        <w:t>he Company may redeem (an “Optional Redemption”) for cash all or any portion of the 2031 Convertible Notes, at its option,</w:t>
      </w:r>
      <w:r>
        <w:rPr>
          <w:rFonts w:ascii="Times New Roman" w:cs="Times New Roman" w:eastAsia="Times New Roman" w:hAnsi="Times New Roman"/>
          <w:sz w:val="22"/>
          <w:szCs w:val="22"/>
          <w:color w:val="auto"/>
        </w:rPr>
        <w:t xml:space="preserve"> </w:t>
      </w:r>
      <w:r>
        <w:rPr>
          <w:rFonts w:ascii="Arial" w:cs="Arial" w:eastAsia="Arial" w:hAnsi="Arial"/>
          <w:sz w:val="19"/>
          <w:szCs w:val="19"/>
          <w:color w:val="auto"/>
        </w:rPr>
        <w:t>on or after July 6, 2029, if the last reported sale price of the Company’s common stock has been at least 130% of the conversion price then in effect for at least 20 trading days (whether or not consecutive) during any 30 consecutive trading day period (including the last trading day of such period) ending on, and including, the trading day immediately preceding the date on which the Company provides notice of redemption at a redemption price equal to 100% of the principal amount of the 2031 Convertible Notes to be redeemed, plus accrued and unpaid interest to, but excluding, the redemption date. If the Company redeems less than all the outstanding 2031 Convertible Notes, at least $100 million aggregate principal amount of 2031 Convertible Notes must be outstanding and not subject to redemption as of the date of the relevant notice of redemption. No sinking fund is provided for the 2031 Convertible Notes.</w:t>
      </w:r>
    </w:p>
    <w:p>
      <w:pPr>
        <w:spacing w:after="0" w:line="200" w:lineRule="exact"/>
        <w:rPr>
          <w:sz w:val="20"/>
          <w:szCs w:val="20"/>
          <w:color w:val="auto"/>
        </w:rPr>
      </w:pPr>
    </w:p>
    <w:p>
      <w:pPr>
        <w:spacing w:after="0" w:line="248" w:lineRule="exact"/>
        <w:rPr>
          <w:sz w:val="20"/>
          <w:szCs w:val="20"/>
          <w:color w:val="auto"/>
        </w:rPr>
      </w:pPr>
    </w:p>
    <w:p>
      <w:pPr>
        <w:jc w:val="both"/>
        <w:spacing w:after="0" w:line="265" w:lineRule="auto"/>
        <w:rPr>
          <w:sz w:val="20"/>
          <w:szCs w:val="20"/>
          <w:color w:val="auto"/>
        </w:rPr>
      </w:pPr>
      <w:r>
        <w:rPr>
          <w:rFonts w:ascii="Arial" w:cs="Arial" w:eastAsia="Arial" w:hAnsi="Arial"/>
          <w:sz w:val="20"/>
          <w:szCs w:val="20"/>
          <w:color w:val="auto"/>
        </w:rPr>
        <w:t>The conversion rate for the 2028 Convertible Notes was initially, and remains currently, 41.9054 shares of the Company’s common stock per $1,000 principal amount, which is equivalent to an initial conversion price of approximately $23.86 per share, or 10.1 million shares of common stock. The conversion rate for the 2031 Convertible Notes was initially 123.1262 shares per $1,000 principal amount, equivalent to a conversion price of approximately $8.12 per share of common stock. The conversion rate for the Convertible Notes is subject to adjustment under certain circumstances in accordance with the terms of each of the Indentures. In addition,</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9" w:name="page30"/>
    <w:bookmarkEnd w:id="29"/>
    <w:p>
      <w:pPr>
        <w:spacing w:after="0" w:line="312" w:lineRule="exact"/>
        <w:rPr>
          <w:sz w:val="20"/>
          <w:szCs w:val="20"/>
          <w:color w:val="auto"/>
        </w:rPr>
      </w:pPr>
    </w:p>
    <w:p>
      <w:pPr>
        <w:jc w:val="both"/>
        <w:spacing w:after="0" w:line="265" w:lineRule="auto"/>
        <w:rPr>
          <w:sz w:val="20"/>
          <w:szCs w:val="20"/>
          <w:color w:val="auto"/>
        </w:rPr>
      </w:pPr>
      <w:r>
        <w:rPr>
          <w:rFonts w:ascii="Arial" w:cs="Arial" w:eastAsia="Arial" w:hAnsi="Arial"/>
          <w:sz w:val="20"/>
          <w:szCs w:val="20"/>
          <w:color w:val="auto"/>
        </w:rPr>
        <w:t>following certain corporate events that occur prior to the maturity date of the 2031 Convertible Notes or if the Company delivers a notice of redemption in respect of the 2031 Convertible Notes, the Company will, under certain circumstances, increase the conversion rate of the 2031 Convertible Notes for a holder who elects to convert its 2031 Convertible Notes (or any portion thereof) in connection with such a corporate event or convert its 2031 Convertible Notes called (or deemed called) for redemption during the related Redemption Period (as defined in the 2031 Indenture), as the case may be.</w:t>
      </w:r>
    </w:p>
    <w:p>
      <w:pPr>
        <w:spacing w:after="0" w:line="215" w:lineRule="exact"/>
        <w:rPr>
          <w:sz w:val="20"/>
          <w:szCs w:val="20"/>
          <w:color w:val="auto"/>
        </w:rPr>
      </w:pPr>
    </w:p>
    <w:p>
      <w:pPr>
        <w:jc w:val="both"/>
        <w:spacing w:after="0" w:line="265" w:lineRule="auto"/>
        <w:rPr>
          <w:sz w:val="20"/>
          <w:szCs w:val="20"/>
          <w:color w:val="auto"/>
        </w:rPr>
      </w:pPr>
      <w:r>
        <w:rPr>
          <w:rFonts w:ascii="Arial" w:cs="Arial" w:eastAsia="Arial" w:hAnsi="Arial"/>
          <w:sz w:val="20"/>
          <w:szCs w:val="20"/>
          <w:color w:val="auto"/>
        </w:rPr>
        <w:t>If the Company undergoes a Fundamental Change (as defined in the 2031 Indenture), holders may require, subject to certain conditions and exceptions, the Company to repurchase for cash all or any portion of their 2031 Convertible Notes at a Fundamental Change Repurchase Price (as defined in the Indenture) equal to 100% of the principal amount of the 2031 Convertible Notes to be repurchased, plus accrued and unpaid interest, to, but excluding, the Fundamental Change Repurchase Date (as defined in the 2031 Indenture).</w:t>
      </w:r>
    </w:p>
    <w:p>
      <w:pPr>
        <w:spacing w:after="0" w:line="202" w:lineRule="exact"/>
        <w:rPr>
          <w:sz w:val="20"/>
          <w:szCs w:val="20"/>
          <w:color w:val="auto"/>
        </w:rPr>
      </w:pPr>
    </w:p>
    <w:p>
      <w:pPr>
        <w:jc w:val="both"/>
        <w:spacing w:after="0" w:line="269" w:lineRule="auto"/>
        <w:rPr>
          <w:sz w:val="20"/>
          <w:szCs w:val="20"/>
          <w:color w:val="auto"/>
        </w:rPr>
      </w:pPr>
      <w:r>
        <w:rPr>
          <w:rFonts w:ascii="Arial" w:cs="Arial" w:eastAsia="Arial" w:hAnsi="Arial"/>
          <w:sz w:val="20"/>
          <w:szCs w:val="20"/>
          <w:color w:val="auto"/>
        </w:rPr>
        <w:t>The Indenture includes customary covenants and sets forth certain events of default after which the 2031 Convertible Notes may be declared immediately due and payable and sets forth certain types of bankruptcy or insolvency events of default involving the Company or certain of its subsidiaries after which the 2031 Convertible Notes become automatically due and payable.</w:t>
      </w:r>
    </w:p>
    <w:p>
      <w:pPr>
        <w:spacing w:after="0" w:line="211"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Capped Calls</w:t>
      </w:r>
    </w:p>
    <w:p>
      <w:pPr>
        <w:spacing w:after="0" w:line="121" w:lineRule="exact"/>
        <w:rPr>
          <w:sz w:val="20"/>
          <w:szCs w:val="20"/>
          <w:color w:val="auto"/>
        </w:rPr>
      </w:pPr>
    </w:p>
    <w:p>
      <w:pPr>
        <w:jc w:val="both"/>
        <w:spacing w:after="0" w:line="269" w:lineRule="auto"/>
        <w:rPr>
          <w:sz w:val="20"/>
          <w:szCs w:val="20"/>
          <w:color w:val="auto"/>
        </w:rPr>
      </w:pPr>
      <w:r>
        <w:rPr>
          <w:rFonts w:ascii="Arial" w:cs="Arial" w:eastAsia="Arial" w:hAnsi="Arial"/>
          <w:sz w:val="20"/>
          <w:szCs w:val="20"/>
          <w:color w:val="auto"/>
        </w:rPr>
        <w:t>In connection with the issuances of the Convertible Notes, the Company entered into separate capped call transactions with certain financial institutions. The capped calls are designed to reduce potential dilution to the Company’s common stockholders upon conversion of the related series of Convertible Notes and/or offset any cash payments the Company may be required to make in excess of the principal amount of the 2028 Convertible Notes or 2031 Convertible Notes, as applicable.</w:t>
      </w:r>
    </w:p>
    <w:p>
      <w:pPr>
        <w:spacing w:after="0" w:line="197" w:lineRule="exact"/>
        <w:rPr>
          <w:sz w:val="20"/>
          <w:szCs w:val="20"/>
          <w:color w:val="auto"/>
        </w:rPr>
      </w:pPr>
    </w:p>
    <w:p>
      <w:pPr>
        <w:jc w:val="both"/>
        <w:spacing w:after="0" w:line="265" w:lineRule="auto"/>
        <w:rPr>
          <w:sz w:val="20"/>
          <w:szCs w:val="20"/>
          <w:color w:val="auto"/>
        </w:rPr>
      </w:pPr>
      <w:r>
        <w:rPr>
          <w:rFonts w:ascii="Arial" w:cs="Arial" w:eastAsia="Arial" w:hAnsi="Arial"/>
          <w:sz w:val="20"/>
          <w:szCs w:val="20"/>
          <w:color w:val="auto"/>
        </w:rPr>
        <w:t>In connection with the issuance of the 2028 Convertible Notes, the Company paid $52.9 million to enter into capped calls (the “2028 Capped Calls”). These instruments cover approximately 17.8 million shares of common stock, with an initial strike price of $23.86 and a cap price of $36.02 per share, subject to customary anti-dilution adjustments. These instruments are scheduled to expire on December 1, 2028. In connection with the early extinguishment of a portion of the 2028 Convertible Notes, none of the 2028 Capped Calls were settled, and the Company has not unwound, terminated, or otherwise adjusted any portion of these instruments.</w:t>
      </w:r>
    </w:p>
    <w:p>
      <w:pPr>
        <w:spacing w:after="0" w:line="204" w:lineRule="exact"/>
        <w:rPr>
          <w:sz w:val="20"/>
          <w:szCs w:val="20"/>
          <w:color w:val="auto"/>
        </w:rPr>
      </w:pPr>
    </w:p>
    <w:p>
      <w:pPr>
        <w:jc w:val="both"/>
        <w:spacing w:after="0" w:line="264" w:lineRule="auto"/>
        <w:rPr>
          <w:sz w:val="20"/>
          <w:szCs w:val="20"/>
          <w:color w:val="auto"/>
        </w:rPr>
      </w:pPr>
      <w:r>
        <w:rPr>
          <w:rFonts w:ascii="Arial" w:cs="Arial" w:eastAsia="Arial" w:hAnsi="Arial"/>
          <w:sz w:val="20"/>
          <w:szCs w:val="20"/>
          <w:color w:val="auto"/>
        </w:rPr>
        <w:t>In connection with the issuance of the 2031 Convertible Notes, the Company paid $35.1 million to enter into capped calls (the “2031 Capped Calls”). These instruments cover approximately 42.5 million shares of common stock, with an initial strike price of $8.12 and a cap price of $12.74 per share, subject to anti-dilution adjustments. These instruments are scheduled to expire on July 1, 2031. The net effect of the 2031 Capped Calls raises the conversion price on the 2031 Convertible Notes from $8.12 to $12.74. However, the 2031 Capped Calls are separate transactions from the 2031 Convertible Notes and do not affect the terms of the 2031 Convertible Notes nor the rights of the note holders. Upon conversion of the 2031 Convertible Notes, the 2031 Capped Calls are expected to reduce potential dilution by delivering shares of the Company’s common stock (or, at the Company’s election and subject to certain conditions, the cash equivalent value) to the Company.</w:t>
      </w:r>
    </w:p>
    <w:p>
      <w:pPr>
        <w:spacing w:after="0" w:line="204" w:lineRule="exact"/>
        <w:rPr>
          <w:sz w:val="20"/>
          <w:szCs w:val="20"/>
          <w:color w:val="auto"/>
        </w:rPr>
      </w:pPr>
    </w:p>
    <w:p>
      <w:pPr>
        <w:jc w:val="both"/>
        <w:spacing w:after="0" w:line="286" w:lineRule="auto"/>
        <w:rPr>
          <w:sz w:val="20"/>
          <w:szCs w:val="20"/>
          <w:color w:val="auto"/>
        </w:rPr>
      </w:pPr>
      <w:r>
        <w:rPr>
          <w:rFonts w:ascii="Arial" w:cs="Arial" w:eastAsia="Arial" w:hAnsi="Arial"/>
          <w:sz w:val="20"/>
          <w:szCs w:val="20"/>
          <w:color w:val="auto"/>
        </w:rPr>
        <w:t>Together, the 2028 Capped Calls and the 2031 Capped Calls are collectively referred to herein as the “Capped Calls”. At issuance of each of the Capped Calls, the Company concluded that the Capped Calls met the criteria</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0" w:name="page31"/>
    <w:bookmarkEnd w:id="30"/>
    <w:p>
      <w:pPr>
        <w:spacing w:after="0" w:line="312" w:lineRule="exact"/>
        <w:rPr>
          <w:sz w:val="20"/>
          <w:szCs w:val="20"/>
          <w:color w:val="auto"/>
        </w:rPr>
      </w:pPr>
    </w:p>
    <w:p>
      <w:pPr>
        <w:jc w:val="both"/>
        <w:spacing w:after="0" w:line="276" w:lineRule="auto"/>
        <w:rPr>
          <w:sz w:val="20"/>
          <w:szCs w:val="20"/>
          <w:color w:val="auto"/>
        </w:rPr>
      </w:pPr>
      <w:r>
        <w:rPr>
          <w:rFonts w:ascii="Arial" w:cs="Arial" w:eastAsia="Arial" w:hAnsi="Arial"/>
          <w:sz w:val="20"/>
          <w:szCs w:val="20"/>
          <w:color w:val="auto"/>
        </w:rPr>
        <w:t>for equity classification because they are indexed to the Company’s common stock and the Company has discretion to settle the Capped Calls in shares or cash. As a result, the amount paid for the Capped Calls was recorded as a reduction to Additional paid-in capital.</w:t>
      </w:r>
    </w:p>
    <w:p>
      <w:pPr>
        <w:spacing w:after="0" w:line="192" w:lineRule="exact"/>
        <w:rPr>
          <w:sz w:val="20"/>
          <w:szCs w:val="20"/>
          <w:color w:val="auto"/>
        </w:rPr>
      </w:pPr>
    </w:p>
    <w:p>
      <w:pPr>
        <w:jc w:val="both"/>
        <w:spacing w:after="0" w:line="269" w:lineRule="auto"/>
        <w:rPr>
          <w:sz w:val="20"/>
          <w:szCs w:val="20"/>
          <w:color w:val="auto"/>
        </w:rPr>
      </w:pPr>
      <w:r>
        <w:rPr>
          <w:rFonts w:ascii="Arial" w:cs="Arial" w:eastAsia="Arial" w:hAnsi="Arial"/>
          <w:sz w:val="20"/>
          <w:szCs w:val="20"/>
          <w:color w:val="auto"/>
        </w:rPr>
        <w:t>The Company made a tax election to integrate the 2031 Convertible Notes and the 2031 Capped Calls. The accounting impact of this tax election makes the 2031 Capped Calls deductible as original issue discount interest for tax purposes over the term of the note, and as a result, the Company established a Deferred income tax asset of $8.6 million at inception, with an offsetting adjustment to Additional paid-in capital on the consolidated balance sheets.</w:t>
      </w:r>
    </w:p>
    <w:p>
      <w:pPr>
        <w:spacing w:after="0" w:line="197" w:lineRule="exact"/>
        <w:rPr>
          <w:sz w:val="20"/>
          <w:szCs w:val="20"/>
          <w:color w:val="auto"/>
        </w:rPr>
      </w:pPr>
    </w:p>
    <w:p>
      <w:pPr>
        <w:jc w:val="both"/>
        <w:spacing w:after="0" w:line="268" w:lineRule="auto"/>
        <w:rPr>
          <w:sz w:val="20"/>
          <w:szCs w:val="20"/>
          <w:color w:val="auto"/>
        </w:rPr>
      </w:pPr>
      <w:r>
        <w:rPr>
          <w:rFonts w:ascii="Arial" w:cs="Arial" w:eastAsia="Arial" w:hAnsi="Arial"/>
          <w:sz w:val="20"/>
          <w:szCs w:val="20"/>
          <w:color w:val="auto"/>
        </w:rPr>
        <w:t>If the Convertible Notes are converted, the number of shares to be issued by the Company would be effectively partially offset by the shares of common stock received by the Company under the Capped Calls, thereby mitigating dilution. The Capped Calls are subject to termination or adjustment upon the occurrence of certain events, including mergers, tender offers, nationalization, insolvency, delisting of the Company’s common stock, events of default, changes in law, failure to deliver, stock splits, combinations, dividends, repurchases, or early conversion of the Convertible Notes.</w:t>
      </w:r>
    </w:p>
    <w:p>
      <w:pPr>
        <w:spacing w:after="0" w:line="19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Other Debt</w:t>
      </w:r>
    </w:p>
    <w:p>
      <w:pPr>
        <w:spacing w:after="0" w:line="123" w:lineRule="exact"/>
        <w:rPr>
          <w:sz w:val="20"/>
          <w:szCs w:val="20"/>
          <w:color w:val="auto"/>
        </w:rPr>
      </w:pPr>
    </w:p>
    <w:p>
      <w:pPr>
        <w:jc w:val="both"/>
        <w:spacing w:after="0" w:line="269" w:lineRule="auto"/>
        <w:rPr>
          <w:sz w:val="20"/>
          <w:szCs w:val="20"/>
          <w:color w:val="auto"/>
        </w:rPr>
      </w:pPr>
      <w:r>
        <w:rPr>
          <w:rFonts w:ascii="Arial" w:cs="Arial" w:eastAsia="Arial" w:hAnsi="Arial"/>
          <w:sz w:val="20"/>
          <w:szCs w:val="20"/>
          <w:color w:val="auto"/>
        </w:rPr>
        <w:t>Other debt consists of the debt obligations of STI Operations (“Other Debt”). Interest rates on Other Debt are based on SOFR or EURIBOR plus a spread and range from 2.5% to 6.1% annually. Of the $25.6 million carrying value of the Other Debt balance as of September 30, 2025, $19.0 million is denominated in Euros and $6.6 million is denominated in U.S. dollar. These debt obligations mature between 2025 and 2027.</w:t>
      </w:r>
    </w:p>
    <w:p>
      <w:pPr>
        <w:spacing w:after="0" w:line="211" w:lineRule="exact"/>
        <w:rPr>
          <w:sz w:val="20"/>
          <w:szCs w:val="20"/>
          <w:color w:val="auto"/>
        </w:rPr>
      </w:pPr>
    </w:p>
    <w:p>
      <w:pPr>
        <w:jc w:val="both"/>
        <w:spacing w:after="0" w:line="269" w:lineRule="auto"/>
        <w:rPr>
          <w:sz w:val="20"/>
          <w:szCs w:val="20"/>
          <w:color w:val="auto"/>
        </w:rPr>
      </w:pPr>
      <w:r>
        <w:rPr>
          <w:rFonts w:ascii="Arial" w:cs="Arial" w:eastAsia="Arial" w:hAnsi="Arial"/>
          <w:sz w:val="20"/>
          <w:szCs w:val="20"/>
          <w:color w:val="auto"/>
        </w:rPr>
        <w:t>At September 30, 2025, STI Operations had one note payable with a carrying value of $6.6 million outstanding, which resulted from reverse factoring arrangements with a bank. The note payable is included in the carrying value of Other Debt of $25.6 million and was fully paid by the Company on October 10, 2025.</w:t>
      </w:r>
    </w:p>
    <w:p>
      <w:pPr>
        <w:spacing w:after="0" w:line="210" w:lineRule="exact"/>
        <w:rPr>
          <w:sz w:val="20"/>
          <w:szCs w:val="20"/>
          <w:color w:val="auto"/>
        </w:rPr>
      </w:pPr>
    </w:p>
    <w:p>
      <w:pPr>
        <w:ind w:left="400" w:hanging="392"/>
        <w:spacing w:after="0"/>
        <w:tabs>
          <w:tab w:leader="none" w:pos="400" w:val="left"/>
        </w:tabs>
        <w:numPr>
          <w:ilvl w:val="0"/>
          <w:numId w:val="15"/>
        </w:numPr>
        <w:rPr>
          <w:rFonts w:ascii="Arial" w:cs="Arial" w:eastAsia="Arial" w:hAnsi="Arial"/>
          <w:sz w:val="20"/>
          <w:szCs w:val="20"/>
          <w:b w:val="1"/>
          <w:bCs w:val="1"/>
          <w:color w:val="auto"/>
        </w:rPr>
      </w:pPr>
      <w:r>
        <w:rPr>
          <w:rFonts w:ascii="Arial" w:cs="Arial" w:eastAsia="Arial" w:hAnsi="Arial"/>
          <w:sz w:val="20"/>
          <w:szCs w:val="20"/>
          <w:b w:val="1"/>
          <w:bCs w:val="1"/>
          <w:color w:val="auto"/>
        </w:rPr>
        <w:t>Redeemable Perpetual Preferred Stock</w:t>
      </w:r>
    </w:p>
    <w:p>
      <w:pPr>
        <w:spacing w:after="0" w:line="25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Series A Redeemable Perpetual Preferred Stock</w:t>
      </w:r>
    </w:p>
    <w:p>
      <w:pPr>
        <w:spacing w:after="0" w:line="123" w:lineRule="exact"/>
        <w:rPr>
          <w:sz w:val="20"/>
          <w:szCs w:val="20"/>
          <w:color w:val="auto"/>
        </w:rPr>
      </w:pPr>
    </w:p>
    <w:p>
      <w:pPr>
        <w:jc w:val="both"/>
        <w:spacing w:after="0" w:line="269" w:lineRule="auto"/>
        <w:rPr>
          <w:sz w:val="20"/>
          <w:szCs w:val="20"/>
          <w:color w:val="auto"/>
        </w:rPr>
      </w:pPr>
      <w:r>
        <w:rPr>
          <w:rFonts w:ascii="Arial" w:cs="Arial" w:eastAsia="Arial" w:hAnsi="Arial"/>
          <w:sz w:val="20"/>
          <w:szCs w:val="20"/>
          <w:color w:val="auto"/>
        </w:rPr>
        <w:t>The Company entered into a Securities Purchase Agreement, dated August 10, 2021, pursuant to which the Company issued 400,000 shares of its Series A Redeemable Perpetual Preferred Stock (the “Series A Shares”) and 9,000,000 shares of the Company’s common stock for an aggregate purchase price of approximately $395.4 million (the “Initial Closing”). The Series A Shares have no maturity date.</w:t>
      </w:r>
    </w:p>
    <w:p>
      <w:pPr>
        <w:spacing w:after="0" w:line="211" w:lineRule="exact"/>
        <w:rPr>
          <w:sz w:val="20"/>
          <w:szCs w:val="20"/>
          <w:color w:val="auto"/>
        </w:rPr>
      </w:pPr>
    </w:p>
    <w:p>
      <w:pPr>
        <w:jc w:val="both"/>
        <w:spacing w:after="0" w:line="269" w:lineRule="auto"/>
        <w:rPr>
          <w:sz w:val="20"/>
          <w:szCs w:val="20"/>
          <w:color w:val="auto"/>
        </w:rPr>
      </w:pPr>
      <w:r>
        <w:rPr>
          <w:rFonts w:ascii="Arial" w:cs="Arial" w:eastAsia="Arial" w:hAnsi="Arial"/>
          <w:sz w:val="20"/>
          <w:szCs w:val="20"/>
          <w:color w:val="auto"/>
        </w:rPr>
        <w:t>The Company has classified the Series A Shares as temporary equity and is accreting the carrying amount to its full redemption amount from the date of issuance to the earliest redemption date, which is August 10, 2026, using the effective interest method. Such accretion totaled $7.6 million and $6.9 million for the three months ended September 30, 2025 and 2024, respectively, and $22.2 million and $20.4 million for the nine months ended September 30, 2025 and 2024, respectively.</w:t>
      </w:r>
    </w:p>
    <w:p>
      <w:pPr>
        <w:spacing w:after="0" w:line="197"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Dividends</w:t>
      </w:r>
    </w:p>
    <w:p>
      <w:pPr>
        <w:spacing w:after="0" w:line="121" w:lineRule="exact"/>
        <w:rPr>
          <w:sz w:val="20"/>
          <w:szCs w:val="20"/>
          <w:color w:val="auto"/>
        </w:rPr>
      </w:pPr>
    </w:p>
    <w:p>
      <w:pPr>
        <w:jc w:val="both"/>
        <w:spacing w:after="0" w:line="269" w:lineRule="auto"/>
        <w:rPr>
          <w:sz w:val="20"/>
          <w:szCs w:val="20"/>
          <w:color w:val="auto"/>
        </w:rPr>
      </w:pPr>
      <w:r>
        <w:rPr>
          <w:rFonts w:ascii="Arial" w:cs="Arial" w:eastAsia="Arial" w:hAnsi="Arial"/>
          <w:sz w:val="20"/>
          <w:szCs w:val="20"/>
          <w:color w:val="auto"/>
        </w:rPr>
        <w:t>On or prior to the fifth anniversary of the Initial Closing, the Company may pay dividends on the Series A Shares either in (i) cash at the then-applicable Cash Regular Dividend Rate (as defined below), (ii) through accrual to the Liquidation Preference at the Accrued Regular Dividend Rate (each as defined below) of 6.25%, or (iii) a combination thereof. Following the fifth anniversary of the Initial Closing, dividends on the Series A</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31" w:name="page32"/>
    <w:bookmarkEnd w:id="31"/>
    <w:p>
      <w:pPr>
        <w:spacing w:after="0" w:line="312" w:lineRule="exact"/>
        <w:rPr>
          <w:sz w:val="20"/>
          <w:szCs w:val="20"/>
          <w:color w:val="auto"/>
        </w:rPr>
      </w:pPr>
    </w:p>
    <w:p>
      <w:pPr>
        <w:jc w:val="both"/>
        <w:spacing w:after="0" w:line="263" w:lineRule="auto"/>
        <w:rPr>
          <w:sz w:val="20"/>
          <w:szCs w:val="20"/>
          <w:color w:val="auto"/>
        </w:rPr>
      </w:pPr>
      <w:r>
        <w:rPr>
          <w:rFonts w:ascii="Arial" w:cs="Arial" w:eastAsia="Arial" w:hAnsi="Arial"/>
          <w:sz w:val="20"/>
          <w:szCs w:val="20"/>
          <w:color w:val="auto"/>
        </w:rPr>
        <w:t>Shares are payable only in cash. To the extent the Company does not declare such dividends and pay in cash following the fifth anniversary of the Initial Closing, the dividends accrue to the Liquidation Preference (“Default Accrued Dividends”) at the then-applicable Cash Regular Dividend Rate plus 200 basis points. In the event there are Default Accrued Dividends outstanding for six consecutive quarters, the Company, at the option of the holders of the Series A Shares, will pay 100% of the amount of Default Accrued Dividends by delivering to such holder a number of shares of the Company’s common stock equal to the quotient of (i) the amount of Default Accrued Dividends divided by (ii) 95% of the 30-day volume-weighted average share price of the Company’s common stock.</w:t>
      </w:r>
    </w:p>
    <w:p>
      <w:pPr>
        <w:spacing w:after="0" w:line="207" w:lineRule="exact"/>
        <w:rPr>
          <w:sz w:val="20"/>
          <w:szCs w:val="20"/>
          <w:color w:val="auto"/>
        </w:rPr>
      </w:pPr>
    </w:p>
    <w:p>
      <w:pPr>
        <w:jc w:val="both"/>
        <w:spacing w:after="0" w:line="269" w:lineRule="auto"/>
        <w:rPr>
          <w:sz w:val="20"/>
          <w:szCs w:val="20"/>
          <w:color w:val="auto"/>
        </w:rPr>
      </w:pPr>
      <w:r>
        <w:rPr>
          <w:rFonts w:ascii="Arial" w:cs="Arial" w:eastAsia="Arial" w:hAnsi="Arial"/>
          <w:sz w:val="20"/>
          <w:szCs w:val="20"/>
          <w:color w:val="auto"/>
        </w:rPr>
        <w:t>The “Cash Regular Dividend Rate” of the Series A Shares means (i) initially, 5.75% per annum on the Liquidation Preference and (ii) increased by (a) 50 basis points on each of the fifth, sixth and seventh anniversaries of the Initial Closing and (b) 100 basis points on each of the eighth, ninth and tenth anniversaries of the Initial Closing. The “Accrued Regular Dividend Rate” on the Series A Shares means 6.25% per annum on the Liquidation Preference.</w:t>
      </w:r>
    </w:p>
    <w:p>
      <w:pPr>
        <w:spacing w:after="0" w:line="211" w:lineRule="exact"/>
        <w:rPr>
          <w:sz w:val="20"/>
          <w:szCs w:val="20"/>
          <w:color w:val="auto"/>
        </w:rPr>
      </w:pPr>
    </w:p>
    <w:p>
      <w:pPr>
        <w:jc w:val="both"/>
        <w:spacing w:after="0" w:line="286" w:lineRule="auto"/>
        <w:rPr>
          <w:sz w:val="20"/>
          <w:szCs w:val="20"/>
          <w:color w:val="auto"/>
        </w:rPr>
      </w:pPr>
      <w:r>
        <w:rPr>
          <w:rFonts w:ascii="Arial" w:cs="Arial" w:eastAsia="Arial" w:hAnsi="Arial"/>
          <w:sz w:val="20"/>
          <w:szCs w:val="20"/>
          <w:color w:val="auto"/>
        </w:rPr>
        <w:t>As used herein, “Liquidation Preference” means, with respect to the Series A Shares, the initial liquidation preference of $1,000 per share, plus accrued dividends of such share at the time of the determination.</w:t>
      </w:r>
    </w:p>
    <w:p>
      <w:pPr>
        <w:spacing w:after="0" w:line="181" w:lineRule="exact"/>
        <w:rPr>
          <w:sz w:val="20"/>
          <w:szCs w:val="20"/>
          <w:color w:val="auto"/>
        </w:rPr>
      </w:pPr>
    </w:p>
    <w:p>
      <w:pPr>
        <w:jc w:val="both"/>
        <w:spacing w:after="0" w:line="269" w:lineRule="auto"/>
        <w:rPr>
          <w:sz w:val="20"/>
          <w:szCs w:val="20"/>
          <w:color w:val="auto"/>
        </w:rPr>
      </w:pPr>
      <w:r>
        <w:rPr>
          <w:rFonts w:ascii="Arial" w:cs="Arial" w:eastAsia="Arial" w:hAnsi="Arial"/>
          <w:sz w:val="20"/>
          <w:szCs w:val="20"/>
          <w:color w:val="auto"/>
        </w:rPr>
        <w:t>During the three months ended September 30, 2025 and 2024, the Company accrued dividends on the Series A Shares at the Accrued Regular Dividend rate of 6.25%, totaling $7.6 million and $7.1 million, respectively. During the nine months ended September 30, 2025 and 2024, such dividends totaled $22.2 million and $20.9 million, respectively. As of September 30, 2025 and December 31, 2024, total accrued and unpaid dividends were $83.1 million and $60.9 million, respectively.</w:t>
      </w:r>
    </w:p>
    <w:p>
      <w:pPr>
        <w:spacing w:after="0" w:line="211" w:lineRule="exact"/>
        <w:rPr>
          <w:sz w:val="20"/>
          <w:szCs w:val="20"/>
          <w:color w:val="auto"/>
        </w:rPr>
      </w:pPr>
    </w:p>
    <w:p>
      <w:pPr>
        <w:jc w:val="both"/>
        <w:spacing w:after="0" w:line="262" w:lineRule="auto"/>
        <w:rPr>
          <w:sz w:val="20"/>
          <w:szCs w:val="20"/>
          <w:color w:val="auto"/>
        </w:rPr>
      </w:pPr>
      <w:r>
        <w:rPr>
          <w:rFonts w:ascii="Arial" w:cs="Arial" w:eastAsia="Arial" w:hAnsi="Arial"/>
          <w:sz w:val="20"/>
          <w:szCs w:val="20"/>
          <w:color w:val="auto"/>
        </w:rPr>
        <w:t xml:space="preserve">The Series A Shares have similar characteristics of an “Increasing Rate Security” as described by SEC Staff Accounting Bulletin Topic 5Q, </w:t>
      </w:r>
      <w:r>
        <w:rPr>
          <w:rFonts w:ascii="Arial" w:cs="Arial" w:eastAsia="Arial" w:hAnsi="Arial"/>
          <w:sz w:val="20"/>
          <w:szCs w:val="20"/>
          <w:i w:val="1"/>
          <w:iCs w:val="1"/>
          <w:color w:val="auto"/>
        </w:rPr>
        <w:t>Increasing Rate Preferred Stock</w:t>
      </w:r>
      <w:r>
        <w:rPr>
          <w:rFonts w:ascii="Arial" w:cs="Arial" w:eastAsia="Arial" w:hAnsi="Arial"/>
          <w:sz w:val="20"/>
          <w:szCs w:val="20"/>
          <w:color w:val="auto"/>
        </w:rPr>
        <w:t>. As a result, the discount on Series A Shares is considered an unstated dividend cost that is amortized over the period preceding commencement of the perpetual dividend using the effective interest method, by charging imputed dividend cost against retained earnings, or additional paid in capital in the absence of retained earnings, and increasing the carrying amount of the Series A Shares by a corresponding amount. Accordingly, the discount is amortized over five years using the effective yield method.</w:t>
      </w:r>
    </w:p>
    <w:p>
      <w:pPr>
        <w:spacing w:after="0" w:line="220" w:lineRule="exact"/>
        <w:rPr>
          <w:sz w:val="20"/>
          <w:szCs w:val="20"/>
          <w:color w:val="auto"/>
        </w:rPr>
      </w:pPr>
    </w:p>
    <w:p>
      <w:pPr>
        <w:ind w:left="500" w:hanging="492"/>
        <w:spacing w:after="0"/>
        <w:tabs>
          <w:tab w:leader="none" w:pos="500" w:val="left"/>
        </w:tabs>
        <w:numPr>
          <w:ilvl w:val="0"/>
          <w:numId w:val="16"/>
        </w:numPr>
        <w:rPr>
          <w:rFonts w:ascii="Arial" w:cs="Arial" w:eastAsia="Arial" w:hAnsi="Arial"/>
          <w:sz w:val="20"/>
          <w:szCs w:val="20"/>
          <w:b w:val="1"/>
          <w:bCs w:val="1"/>
          <w:color w:val="auto"/>
        </w:rPr>
      </w:pPr>
      <w:r>
        <w:rPr>
          <w:rFonts w:ascii="Arial" w:cs="Arial" w:eastAsia="Arial" w:hAnsi="Arial"/>
          <w:sz w:val="20"/>
          <w:szCs w:val="20"/>
          <w:b w:val="1"/>
          <w:bCs w:val="1"/>
          <w:color w:val="auto"/>
        </w:rPr>
        <w:t>Revenue</w:t>
      </w:r>
    </w:p>
    <w:p>
      <w:pPr>
        <w:spacing w:after="0" w:line="258" w:lineRule="exact"/>
        <w:rPr>
          <w:sz w:val="20"/>
          <w:szCs w:val="20"/>
          <w:color w:val="auto"/>
        </w:rPr>
      </w:pPr>
    </w:p>
    <w:p>
      <w:pPr>
        <w:ind w:right="20"/>
        <w:spacing w:after="0" w:line="273" w:lineRule="auto"/>
        <w:rPr>
          <w:sz w:val="20"/>
          <w:szCs w:val="20"/>
          <w:color w:val="auto"/>
        </w:rPr>
      </w:pPr>
      <w:r>
        <w:rPr>
          <w:rFonts w:ascii="Arial" w:cs="Arial" w:eastAsia="Arial" w:hAnsi="Arial"/>
          <w:sz w:val="20"/>
          <w:szCs w:val="20"/>
          <w:color w:val="auto"/>
        </w:rPr>
        <w:t>The Company disaggregates its revenue from contracts with customers by sales recorded over time and sales recorded at a point in time. The following table presents the Company’s disaggregated revenues (in thousands):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67"/>
        </w:trPr>
        <w:tc>
          <w:tcPr>
            <w:tcW w:w="308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3440" w:type="dxa"/>
            <w:vAlign w:val="bottom"/>
            <w:tcBorders>
              <w:bottom w:val="single" w:sz="8" w:color="auto"/>
            </w:tcBorders>
            <w:gridSpan w:val="5"/>
          </w:tcPr>
          <w:p>
            <w:pPr>
              <w:jc w:val="right"/>
              <w:spacing w:after="0"/>
              <w:rPr>
                <w:sz w:val="20"/>
                <w:szCs w:val="20"/>
                <w:color w:val="auto"/>
              </w:rPr>
            </w:pPr>
            <w:r>
              <w:rPr>
                <w:rFonts w:ascii="Arial" w:cs="Arial" w:eastAsia="Arial" w:hAnsi="Arial"/>
                <w:sz w:val="20"/>
                <w:szCs w:val="20"/>
                <w:b w:val="1"/>
                <w:bCs w:val="1"/>
                <w:color w:val="auto"/>
                <w:w w:val="99"/>
              </w:rPr>
              <w:t>Three Months Ended September 30,</w:t>
            </w:r>
          </w:p>
        </w:tc>
        <w:tc>
          <w:tcPr>
            <w:tcW w:w="80" w:type="dxa"/>
            <w:vAlign w:val="bottom"/>
          </w:tcPr>
          <w:p>
            <w:pPr>
              <w:spacing w:after="0"/>
              <w:rPr>
                <w:sz w:val="23"/>
                <w:szCs w:val="23"/>
                <w:color w:val="auto"/>
              </w:rPr>
            </w:pPr>
          </w:p>
        </w:tc>
        <w:tc>
          <w:tcPr>
            <w:tcW w:w="3440" w:type="dxa"/>
            <w:vAlign w:val="bottom"/>
            <w:tcBorders>
              <w:bottom w:val="single" w:sz="8" w:color="auto"/>
            </w:tcBorders>
            <w:gridSpan w:val="5"/>
          </w:tcPr>
          <w:p>
            <w:pPr>
              <w:jc w:val="right"/>
              <w:ind w:right="1"/>
              <w:spacing w:after="0"/>
              <w:rPr>
                <w:sz w:val="20"/>
                <w:szCs w:val="20"/>
                <w:color w:val="auto"/>
              </w:rPr>
            </w:pPr>
            <w:r>
              <w:rPr>
                <w:rFonts w:ascii="Arial" w:cs="Arial" w:eastAsia="Arial" w:hAnsi="Arial"/>
                <w:sz w:val="20"/>
                <w:szCs w:val="20"/>
                <w:b w:val="1"/>
                <w:bCs w:val="1"/>
                <w:color w:val="auto"/>
              </w:rPr>
              <w:t>Nine Months Ended September 30,</w:t>
            </w:r>
          </w:p>
        </w:tc>
      </w:tr>
      <w:tr>
        <w:trPr>
          <w:trHeight w:val="263"/>
        </w:trPr>
        <w:tc>
          <w:tcPr>
            <w:tcW w:w="3080" w:type="dxa"/>
            <w:vAlign w:val="bottom"/>
            <w:tcBorders>
              <w:bottom w:val="single" w:sz="8" w:color="CCEEFF"/>
            </w:tcBorders>
          </w:tcPr>
          <w:p>
            <w:pPr>
              <w:spacing w:after="0"/>
              <w:rPr>
                <w:sz w:val="22"/>
                <w:szCs w:val="22"/>
                <w:color w:val="auto"/>
              </w:rPr>
            </w:pPr>
          </w:p>
        </w:tc>
        <w:tc>
          <w:tcPr>
            <w:tcW w:w="12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521"/>
              <w:spacing w:after="0"/>
              <w:rPr>
                <w:sz w:val="20"/>
                <w:szCs w:val="20"/>
                <w:color w:val="auto"/>
              </w:rPr>
            </w:pPr>
            <w:r>
              <w:rPr>
                <w:rFonts w:ascii="Arial" w:cs="Arial" w:eastAsia="Arial" w:hAnsi="Arial"/>
                <w:sz w:val="20"/>
                <w:szCs w:val="20"/>
                <w:b w:val="1"/>
                <w:bCs w:val="1"/>
                <w:color w:val="auto"/>
              </w:rPr>
              <w:t>2025</w:t>
            </w:r>
          </w:p>
        </w:tc>
        <w:tc>
          <w:tcPr>
            <w:tcW w:w="8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521"/>
              <w:spacing w:after="0"/>
              <w:rPr>
                <w:sz w:val="20"/>
                <w:szCs w:val="20"/>
                <w:color w:val="auto"/>
              </w:rPr>
            </w:pPr>
            <w:r>
              <w:rPr>
                <w:rFonts w:ascii="Arial" w:cs="Arial" w:eastAsia="Arial" w:hAnsi="Arial"/>
                <w:sz w:val="20"/>
                <w:szCs w:val="20"/>
                <w:b w:val="1"/>
                <w:bCs w:val="1"/>
                <w:color w:val="auto"/>
              </w:rPr>
              <w:t>2024</w:t>
            </w:r>
          </w:p>
        </w:tc>
        <w:tc>
          <w:tcPr>
            <w:tcW w:w="8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521"/>
              <w:spacing w:after="0"/>
              <w:rPr>
                <w:sz w:val="20"/>
                <w:szCs w:val="20"/>
                <w:color w:val="auto"/>
              </w:rPr>
            </w:pPr>
            <w:r>
              <w:rPr>
                <w:rFonts w:ascii="Arial" w:cs="Arial" w:eastAsia="Arial" w:hAnsi="Arial"/>
                <w:sz w:val="20"/>
                <w:szCs w:val="20"/>
                <w:b w:val="1"/>
                <w:bCs w:val="1"/>
                <w:color w:val="auto"/>
              </w:rPr>
              <w:t>2025</w:t>
            </w:r>
          </w:p>
        </w:tc>
        <w:tc>
          <w:tcPr>
            <w:tcW w:w="8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521"/>
              <w:spacing w:after="0"/>
              <w:rPr>
                <w:sz w:val="20"/>
                <w:szCs w:val="20"/>
                <w:color w:val="auto"/>
              </w:rPr>
            </w:pPr>
            <w:r>
              <w:rPr>
                <w:rFonts w:ascii="Arial" w:cs="Arial" w:eastAsia="Arial" w:hAnsi="Arial"/>
                <w:sz w:val="20"/>
                <w:szCs w:val="20"/>
                <w:b w:val="1"/>
                <w:bCs w:val="1"/>
                <w:color w:val="auto"/>
              </w:rPr>
              <w:t>2024</w:t>
            </w:r>
          </w:p>
        </w:tc>
      </w:tr>
      <w:tr>
        <w:trPr>
          <w:trHeight w:val="277"/>
        </w:trPr>
        <w:tc>
          <w:tcPr>
            <w:tcW w:w="3080" w:type="dxa"/>
            <w:vAlign w:val="bottom"/>
            <w:shd w:val="clear" w:color="auto" w:fill="CCEEFF"/>
          </w:tcPr>
          <w:p>
            <w:pPr>
              <w:ind w:left="20"/>
              <w:spacing w:after="0"/>
              <w:rPr>
                <w:sz w:val="20"/>
                <w:szCs w:val="20"/>
                <w:color w:val="auto"/>
              </w:rPr>
            </w:pPr>
            <w:r>
              <w:rPr>
                <w:rFonts w:ascii="Arial" w:cs="Arial" w:eastAsia="Arial" w:hAnsi="Arial"/>
                <w:sz w:val="20"/>
                <w:szCs w:val="20"/>
                <w:color w:val="auto"/>
              </w:rPr>
              <w:t>Over-time revenue</w:t>
            </w:r>
          </w:p>
        </w:tc>
        <w:tc>
          <w:tcPr>
            <w:tcW w:w="1580" w:type="dxa"/>
            <w:vAlign w:val="bottom"/>
            <w:gridSpan w:val="2"/>
            <w:shd w:val="clear" w:color="auto" w:fill="CCEEFF"/>
          </w:tcPr>
          <w:p>
            <w:pPr>
              <w:jc w:val="right"/>
              <w:ind w:right="161"/>
              <w:spacing w:after="0"/>
              <w:rPr>
                <w:sz w:val="20"/>
                <w:szCs w:val="20"/>
                <w:color w:val="auto"/>
              </w:rPr>
            </w:pPr>
            <w:r>
              <w:rPr>
                <w:rFonts w:ascii="Arial" w:cs="Arial" w:eastAsia="Arial" w:hAnsi="Arial"/>
                <w:sz w:val="20"/>
                <w:szCs w:val="20"/>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317,821</w:t>
            </w:r>
          </w:p>
        </w:tc>
        <w:tc>
          <w:tcPr>
            <w:tcW w:w="440" w:type="dxa"/>
            <w:vAlign w:val="bottom"/>
            <w:gridSpan w:val="2"/>
            <w:shd w:val="clear" w:color="auto" w:fill="CCEEFF"/>
          </w:tcPr>
          <w:p>
            <w:pPr>
              <w:jc w:val="right"/>
              <w:ind w:right="240"/>
              <w:spacing w:after="0"/>
              <w:rPr>
                <w:sz w:val="20"/>
                <w:szCs w:val="20"/>
                <w:color w:val="auto"/>
              </w:rPr>
            </w:pPr>
            <w:r>
              <w:rPr>
                <w:rFonts w:ascii="Arial" w:cs="Arial" w:eastAsia="Arial" w:hAnsi="Arial"/>
                <w:sz w:val="20"/>
                <w:szCs w:val="20"/>
                <w:color w:val="242424"/>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20"/>
                <w:szCs w:val="20"/>
                <w:color w:val="242424"/>
              </w:rPr>
              <w:t>174,128</w:t>
            </w:r>
          </w:p>
        </w:tc>
        <w:tc>
          <w:tcPr>
            <w:tcW w:w="440" w:type="dxa"/>
            <w:vAlign w:val="bottom"/>
            <w:gridSpan w:val="2"/>
            <w:shd w:val="clear" w:color="auto" w:fill="CCEEFF"/>
          </w:tcPr>
          <w:p>
            <w:pPr>
              <w:jc w:val="right"/>
              <w:ind w:right="161"/>
              <w:spacing w:after="0"/>
              <w:rPr>
                <w:sz w:val="20"/>
                <w:szCs w:val="20"/>
                <w:color w:val="auto"/>
              </w:rPr>
            </w:pPr>
            <w:r>
              <w:rPr>
                <w:rFonts w:ascii="Arial" w:cs="Arial" w:eastAsia="Arial" w:hAnsi="Arial"/>
                <w:sz w:val="20"/>
                <w:szCs w:val="20"/>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901,988</w:t>
            </w:r>
          </w:p>
        </w:tc>
        <w:tc>
          <w:tcPr>
            <w:tcW w:w="80" w:type="dxa"/>
            <w:vAlign w:val="bottom"/>
            <w:shd w:val="clear" w:color="auto" w:fill="CCEEFF"/>
          </w:tcPr>
          <w:p>
            <w:pPr>
              <w:spacing w:after="0"/>
              <w:rPr>
                <w:sz w:val="24"/>
                <w:szCs w:val="24"/>
                <w:color w:val="auto"/>
              </w:rPr>
            </w:pPr>
          </w:p>
        </w:tc>
        <w:tc>
          <w:tcPr>
            <w:tcW w:w="360" w:type="dxa"/>
            <w:vAlign w:val="bottom"/>
            <w:shd w:val="clear" w:color="auto" w:fill="CCEEFF"/>
          </w:tcPr>
          <w:p>
            <w:pPr>
              <w:jc w:val="right"/>
              <w:ind w:right="141"/>
              <w:spacing w:after="0"/>
              <w:rPr>
                <w:sz w:val="20"/>
                <w:szCs w:val="20"/>
                <w:color w:val="auto"/>
              </w:rPr>
            </w:pPr>
            <w:r>
              <w:rPr>
                <w:rFonts w:ascii="Arial" w:cs="Arial" w:eastAsia="Arial" w:hAnsi="Arial"/>
                <w:sz w:val="20"/>
                <w:szCs w:val="20"/>
                <w:color w:val="auto"/>
                <w:w w:val="8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508,062</w:t>
            </w:r>
          </w:p>
        </w:tc>
      </w:tr>
      <w:tr>
        <w:trPr>
          <w:trHeight w:val="277"/>
        </w:trPr>
        <w:tc>
          <w:tcPr>
            <w:tcW w:w="3080" w:type="dxa"/>
            <w:vAlign w:val="bottom"/>
            <w:tcBorders>
              <w:bottom w:val="single" w:sz="8" w:color="CCEEFF"/>
            </w:tcBorders>
          </w:tcPr>
          <w:p>
            <w:pPr>
              <w:ind w:left="20"/>
              <w:spacing w:after="0"/>
              <w:rPr>
                <w:sz w:val="20"/>
                <w:szCs w:val="20"/>
                <w:color w:val="auto"/>
              </w:rPr>
            </w:pPr>
            <w:r>
              <w:rPr>
                <w:rFonts w:ascii="Arial" w:cs="Arial" w:eastAsia="Arial" w:hAnsi="Arial"/>
                <w:sz w:val="20"/>
                <w:szCs w:val="20"/>
                <w:color w:val="auto"/>
              </w:rPr>
              <w:t>Point in time revenue</w:t>
            </w:r>
          </w:p>
        </w:tc>
        <w:tc>
          <w:tcPr>
            <w:tcW w:w="1200" w:type="dxa"/>
            <w:vAlign w:val="bottom"/>
            <w:tcBorders>
              <w:bottom w:val="single" w:sz="8" w:color="CCEEFF"/>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75,670</w:t>
            </w:r>
          </w:p>
        </w:tc>
        <w:tc>
          <w:tcPr>
            <w:tcW w:w="8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242424"/>
              </w:rPr>
              <w:t>57,278</w:t>
            </w:r>
          </w:p>
        </w:tc>
        <w:tc>
          <w:tcPr>
            <w:tcW w:w="8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156,109</w:t>
            </w:r>
          </w:p>
        </w:tc>
        <w:tc>
          <w:tcPr>
            <w:tcW w:w="8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132,513</w:t>
            </w:r>
          </w:p>
        </w:tc>
      </w:tr>
      <w:tr>
        <w:trPr>
          <w:trHeight w:val="297"/>
        </w:trPr>
        <w:tc>
          <w:tcPr>
            <w:tcW w:w="3080" w:type="dxa"/>
            <w:vAlign w:val="bottom"/>
            <w:shd w:val="clear" w:color="auto" w:fill="CCEEFF"/>
          </w:tcPr>
          <w:p>
            <w:pPr>
              <w:ind w:left="20"/>
              <w:spacing w:after="0"/>
              <w:rPr>
                <w:sz w:val="20"/>
                <w:szCs w:val="20"/>
                <w:color w:val="auto"/>
              </w:rPr>
            </w:pPr>
            <w:r>
              <w:rPr>
                <w:rFonts w:ascii="Arial" w:cs="Arial" w:eastAsia="Arial" w:hAnsi="Arial"/>
                <w:sz w:val="20"/>
                <w:szCs w:val="20"/>
                <w:color w:val="auto"/>
              </w:rPr>
              <w:t>Total revenue</w:t>
            </w:r>
          </w:p>
        </w:tc>
        <w:tc>
          <w:tcPr>
            <w:tcW w:w="1580" w:type="dxa"/>
            <w:vAlign w:val="bottom"/>
            <w:gridSpan w:val="2"/>
            <w:shd w:val="clear" w:color="auto" w:fill="CCEEFF"/>
          </w:tcPr>
          <w:p>
            <w:pPr>
              <w:jc w:val="right"/>
              <w:ind w:right="161"/>
              <w:spacing w:after="0"/>
              <w:rPr>
                <w:sz w:val="20"/>
                <w:szCs w:val="20"/>
                <w:color w:val="auto"/>
              </w:rPr>
            </w:pPr>
            <w:r>
              <w:rPr>
                <w:rFonts w:ascii="Arial" w:cs="Arial" w:eastAsia="Arial" w:hAnsi="Arial"/>
                <w:sz w:val="20"/>
                <w:szCs w:val="20"/>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393,491</w:t>
            </w:r>
          </w:p>
        </w:tc>
        <w:tc>
          <w:tcPr>
            <w:tcW w:w="440" w:type="dxa"/>
            <w:vAlign w:val="bottom"/>
            <w:gridSpan w:val="2"/>
            <w:shd w:val="clear" w:color="auto" w:fill="CCEEFF"/>
          </w:tcPr>
          <w:p>
            <w:pPr>
              <w:jc w:val="right"/>
              <w:ind w:right="240"/>
              <w:spacing w:after="0"/>
              <w:rPr>
                <w:sz w:val="20"/>
                <w:szCs w:val="20"/>
                <w:color w:val="auto"/>
              </w:rPr>
            </w:pPr>
            <w:r>
              <w:rPr>
                <w:rFonts w:ascii="Arial" w:cs="Arial" w:eastAsia="Arial" w:hAnsi="Arial"/>
                <w:sz w:val="20"/>
                <w:szCs w:val="20"/>
                <w:color w:val="242424"/>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20"/>
                <w:szCs w:val="20"/>
                <w:color w:val="242424"/>
              </w:rPr>
              <w:t>231,406</w:t>
            </w:r>
          </w:p>
        </w:tc>
        <w:tc>
          <w:tcPr>
            <w:tcW w:w="440" w:type="dxa"/>
            <w:vAlign w:val="bottom"/>
            <w:gridSpan w:val="2"/>
            <w:shd w:val="clear" w:color="auto" w:fill="CCEEFF"/>
          </w:tcPr>
          <w:p>
            <w:pPr>
              <w:jc w:val="right"/>
              <w:ind w:right="161"/>
              <w:spacing w:after="0"/>
              <w:rPr>
                <w:sz w:val="20"/>
                <w:szCs w:val="20"/>
                <w:color w:val="auto"/>
              </w:rPr>
            </w:pPr>
            <w:r>
              <w:rPr>
                <w:rFonts w:ascii="Arial" w:cs="Arial" w:eastAsia="Arial" w:hAnsi="Arial"/>
                <w:sz w:val="20"/>
                <w:szCs w:val="20"/>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1,058,097</w:t>
            </w:r>
          </w:p>
        </w:tc>
        <w:tc>
          <w:tcPr>
            <w:tcW w:w="80" w:type="dxa"/>
            <w:vAlign w:val="bottom"/>
            <w:shd w:val="clear" w:color="auto" w:fill="CCEEFF"/>
          </w:tcPr>
          <w:p>
            <w:pPr>
              <w:spacing w:after="0"/>
              <w:rPr>
                <w:sz w:val="24"/>
                <w:szCs w:val="24"/>
                <w:color w:val="auto"/>
              </w:rPr>
            </w:pPr>
          </w:p>
        </w:tc>
        <w:tc>
          <w:tcPr>
            <w:tcW w:w="360" w:type="dxa"/>
            <w:vAlign w:val="bottom"/>
            <w:shd w:val="clear" w:color="auto" w:fill="CCEEFF"/>
          </w:tcPr>
          <w:p>
            <w:pPr>
              <w:jc w:val="right"/>
              <w:ind w:right="141"/>
              <w:spacing w:after="0"/>
              <w:rPr>
                <w:sz w:val="20"/>
                <w:szCs w:val="20"/>
                <w:color w:val="auto"/>
              </w:rPr>
            </w:pPr>
            <w:r>
              <w:rPr>
                <w:rFonts w:ascii="Arial" w:cs="Arial" w:eastAsia="Arial" w:hAnsi="Arial"/>
                <w:sz w:val="20"/>
                <w:szCs w:val="20"/>
                <w:color w:val="auto"/>
                <w:w w:val="8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640,575</w:t>
            </w:r>
          </w:p>
        </w:tc>
      </w:tr>
      <w:tr>
        <w:trPr>
          <w:trHeight w:val="20"/>
        </w:trPr>
        <w:tc>
          <w:tcPr>
            <w:tcW w:w="308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2" w:name="page33"/>
    <w:bookmarkEnd w:id="32"/>
    <w:p>
      <w:pPr>
        <w:spacing w:after="0" w:line="312"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Contract Balances</w:t>
      </w:r>
    </w:p>
    <w:p>
      <w:pPr>
        <w:spacing w:after="0" w:line="121" w:lineRule="exact"/>
        <w:rPr>
          <w:sz w:val="20"/>
          <w:szCs w:val="20"/>
          <w:color w:val="auto"/>
        </w:rPr>
      </w:pPr>
    </w:p>
    <w:p>
      <w:pPr>
        <w:jc w:val="both"/>
        <w:spacing w:after="0" w:line="263" w:lineRule="auto"/>
        <w:rPr>
          <w:sz w:val="20"/>
          <w:szCs w:val="20"/>
          <w:color w:val="auto"/>
        </w:rPr>
      </w:pPr>
      <w:r>
        <w:rPr>
          <w:rFonts w:ascii="Arial" w:cs="Arial" w:eastAsia="Arial" w:hAnsi="Arial"/>
          <w:sz w:val="20"/>
          <w:szCs w:val="20"/>
          <w:color w:val="auto"/>
        </w:rPr>
        <w:t>The timing of revenue recognition, billings and cash collections result in billed accounts receivable, unbilled receivables (“contract assets”), and deferred revenue (“contract liabilities”) on the condensed consolidated balance sheets. The majority of the Company’s contract amounts are billed as work progresses, in accordance with agreed-upon contractual terms, which generally coincide with the shipment of one or more phases of the project. For certain customer contracts, billing can occur in advance of shipment, resulting in contract liabilities. Billing sometimes occurs subsequent to revenue recognition, resulting in contract assets. The changes in contract assets and the corresponding amounts recorded in Revenue relate to fluctuations in the timing and volume of billings.</w:t>
      </w:r>
    </w:p>
    <w:p>
      <w:pPr>
        <w:spacing w:after="0" w:line="220" w:lineRule="exact"/>
        <w:rPr>
          <w:sz w:val="20"/>
          <w:szCs w:val="20"/>
          <w:color w:val="auto"/>
        </w:rPr>
      </w:pPr>
    </w:p>
    <w:p>
      <w:pPr>
        <w:jc w:val="both"/>
        <w:spacing w:after="0" w:line="266" w:lineRule="auto"/>
        <w:rPr>
          <w:sz w:val="20"/>
          <w:szCs w:val="20"/>
          <w:color w:val="auto"/>
        </w:rPr>
      </w:pPr>
      <w:r>
        <w:rPr>
          <w:rFonts w:ascii="Arial" w:cs="Arial" w:eastAsia="Arial" w:hAnsi="Arial"/>
          <w:sz w:val="20"/>
          <w:szCs w:val="20"/>
          <w:color w:val="auto"/>
        </w:rPr>
        <w:t>Contract assets consisting of unbilled receivables are recorded within Accounts receivable, net on the condensed consolidated balance sheets on a contract-by-contract basis at the end of the reporting period and consisted of the following (in thousands):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77"/>
        </w:trPr>
        <w:tc>
          <w:tcPr>
            <w:tcW w:w="6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20" w:type="dxa"/>
            <w:vAlign w:val="bottom"/>
            <w:gridSpan w:val="2"/>
          </w:tcPr>
          <w:p>
            <w:pPr>
              <w:ind w:left="60"/>
              <w:spacing w:after="0"/>
              <w:rPr>
                <w:sz w:val="20"/>
                <w:szCs w:val="20"/>
                <w:color w:val="auto"/>
              </w:rPr>
            </w:pPr>
            <w:r>
              <w:rPr>
                <w:rFonts w:ascii="Arial" w:cs="Arial" w:eastAsia="Arial" w:hAnsi="Arial"/>
                <w:sz w:val="20"/>
                <w:szCs w:val="20"/>
                <w:b w:val="1"/>
                <w:bCs w:val="1"/>
                <w:color w:val="auto"/>
              </w:rPr>
              <w:t>September 30, 2025</w:t>
            </w:r>
          </w:p>
        </w:tc>
        <w:tc>
          <w:tcPr>
            <w:tcW w:w="200" w:type="dxa"/>
            <w:vAlign w:val="bottom"/>
          </w:tcPr>
          <w:p>
            <w:pPr>
              <w:spacing w:after="0"/>
              <w:rPr>
                <w:sz w:val="24"/>
                <w:szCs w:val="24"/>
                <w:color w:val="auto"/>
              </w:rPr>
            </w:pPr>
          </w:p>
        </w:tc>
        <w:tc>
          <w:tcPr>
            <w:tcW w:w="2120" w:type="dxa"/>
            <w:vAlign w:val="bottom"/>
          </w:tcPr>
          <w:p>
            <w:pPr>
              <w:jc w:val="right"/>
              <w:ind w:right="161"/>
              <w:spacing w:after="0"/>
              <w:rPr>
                <w:sz w:val="20"/>
                <w:szCs w:val="20"/>
                <w:color w:val="auto"/>
              </w:rPr>
            </w:pPr>
            <w:r>
              <w:rPr>
                <w:rFonts w:ascii="Arial" w:cs="Arial" w:eastAsia="Arial" w:hAnsi="Arial"/>
                <w:sz w:val="20"/>
                <w:szCs w:val="20"/>
                <w:b w:val="1"/>
                <w:bCs w:val="1"/>
                <w:color w:val="auto"/>
              </w:rPr>
              <w:t>December 31, 2024</w:t>
            </w:r>
          </w:p>
        </w:tc>
      </w:tr>
      <w:tr>
        <w:trPr>
          <w:trHeight w:val="278"/>
        </w:trPr>
        <w:tc>
          <w:tcPr>
            <w:tcW w:w="65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20"/>
                <w:szCs w:val="20"/>
                <w:color w:val="auto"/>
              </w:rPr>
              <w:t>Unbilled receivables</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2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118,889</w:t>
            </w:r>
          </w:p>
        </w:tc>
        <w:tc>
          <w:tcPr>
            <w:tcW w:w="80" w:type="dxa"/>
            <w:vAlign w:val="bottom"/>
            <w:tcBorders>
              <w:top w:val="single" w:sz="8" w:color="CCEEFF"/>
              <w:bottom w:val="single" w:sz="8" w:color="CCEEFF"/>
            </w:tcBorders>
            <w:shd w:val="clear" w:color="auto" w:fill="CCEEFF"/>
          </w:tcPr>
          <w:p>
            <w:pPr>
              <w:spacing w:after="0"/>
              <w:rPr>
                <w:sz w:val="23"/>
                <w:szCs w:val="23"/>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w w:val="89"/>
              </w:rPr>
              <w:t>$</w:t>
            </w:r>
          </w:p>
        </w:tc>
        <w:tc>
          <w:tcPr>
            <w:tcW w:w="2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94,045</w:t>
            </w:r>
          </w:p>
        </w:tc>
      </w:tr>
      <w:tr>
        <w:trPr>
          <w:trHeight w:val="20"/>
        </w:trPr>
        <w:tc>
          <w:tcPr>
            <w:tcW w:w="65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2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2120" w:type="dxa"/>
            <w:vAlign w:val="bottom"/>
            <w:tcBorders>
              <w:top w:val="single" w:sz="8" w:color="CCEEFF"/>
              <w:bottom w:val="single" w:sz="8" w:color="auto"/>
            </w:tcBorders>
          </w:tcPr>
          <w:p>
            <w:pPr>
              <w:spacing w:after="0" w:line="20" w:lineRule="exact"/>
              <w:rPr>
                <w:sz w:val="1"/>
                <w:szCs w:val="1"/>
                <w:color w:val="auto"/>
              </w:rPr>
            </w:pPr>
          </w:p>
        </w:tc>
      </w:tr>
    </w:tbl>
    <w:p>
      <w:pPr>
        <w:spacing w:after="0" w:line="329" w:lineRule="exact"/>
        <w:rPr>
          <w:sz w:val="20"/>
          <w:szCs w:val="20"/>
          <w:color w:val="auto"/>
        </w:rPr>
      </w:pPr>
    </w:p>
    <w:p>
      <w:pPr>
        <w:jc w:val="both"/>
        <w:spacing w:after="0" w:line="276" w:lineRule="auto"/>
        <w:rPr>
          <w:sz w:val="20"/>
          <w:szCs w:val="20"/>
          <w:color w:val="auto"/>
        </w:rPr>
      </w:pPr>
      <w:r>
        <w:rPr>
          <w:rFonts w:ascii="Arial" w:cs="Arial" w:eastAsia="Arial" w:hAnsi="Arial"/>
          <w:sz w:val="20"/>
          <w:szCs w:val="20"/>
          <w:color w:val="auto"/>
        </w:rPr>
        <w:t>The Company also receives advances or deposits from its customers, before revenue is recognized, resulting in contract liabilities. The changes in contract liabilities, recorded within Deferred revenue, relate to advanced orders and payments received by the Company.</w:t>
      </w:r>
    </w:p>
    <w:p>
      <w:pPr>
        <w:spacing w:after="0" w:line="192" w:lineRule="exact"/>
        <w:rPr>
          <w:sz w:val="20"/>
          <w:szCs w:val="20"/>
          <w:color w:val="auto"/>
        </w:rPr>
      </w:pPr>
    </w:p>
    <w:p>
      <w:pPr>
        <w:jc w:val="both"/>
        <w:spacing w:after="0" w:line="273" w:lineRule="auto"/>
        <w:rPr>
          <w:sz w:val="20"/>
          <w:szCs w:val="20"/>
          <w:color w:val="auto"/>
        </w:rPr>
      </w:pPr>
      <w:r>
        <w:rPr>
          <w:rFonts w:ascii="Arial" w:cs="Arial" w:eastAsia="Arial" w:hAnsi="Arial"/>
          <w:sz w:val="20"/>
          <w:szCs w:val="20"/>
          <w:color w:val="auto"/>
        </w:rPr>
        <w:t>Contract liabilities are recorded on a contract-by-contract basis and consisted of the following at the end of each reporting period (in thousands):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80"/>
        </w:trPr>
        <w:tc>
          <w:tcPr>
            <w:tcW w:w="6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20" w:type="dxa"/>
            <w:vAlign w:val="bottom"/>
            <w:gridSpan w:val="2"/>
          </w:tcPr>
          <w:p>
            <w:pPr>
              <w:ind w:left="60"/>
              <w:spacing w:after="0"/>
              <w:rPr>
                <w:sz w:val="20"/>
                <w:szCs w:val="20"/>
                <w:color w:val="auto"/>
              </w:rPr>
            </w:pPr>
            <w:r>
              <w:rPr>
                <w:rFonts w:ascii="Arial" w:cs="Arial" w:eastAsia="Arial" w:hAnsi="Arial"/>
                <w:sz w:val="20"/>
                <w:szCs w:val="20"/>
                <w:b w:val="1"/>
                <w:bCs w:val="1"/>
                <w:color w:val="auto"/>
              </w:rPr>
              <w:t>September 30, 2025</w:t>
            </w:r>
          </w:p>
        </w:tc>
        <w:tc>
          <w:tcPr>
            <w:tcW w:w="200" w:type="dxa"/>
            <w:vAlign w:val="bottom"/>
          </w:tcPr>
          <w:p>
            <w:pPr>
              <w:spacing w:after="0"/>
              <w:rPr>
                <w:sz w:val="24"/>
                <w:szCs w:val="24"/>
                <w:color w:val="auto"/>
              </w:rPr>
            </w:pPr>
          </w:p>
        </w:tc>
        <w:tc>
          <w:tcPr>
            <w:tcW w:w="2120" w:type="dxa"/>
            <w:vAlign w:val="bottom"/>
          </w:tcPr>
          <w:p>
            <w:pPr>
              <w:jc w:val="right"/>
              <w:ind w:right="161"/>
              <w:spacing w:after="0"/>
              <w:rPr>
                <w:sz w:val="20"/>
                <w:szCs w:val="20"/>
                <w:color w:val="auto"/>
              </w:rPr>
            </w:pPr>
            <w:r>
              <w:rPr>
                <w:rFonts w:ascii="Arial" w:cs="Arial" w:eastAsia="Arial" w:hAnsi="Arial"/>
                <w:sz w:val="20"/>
                <w:szCs w:val="20"/>
                <w:b w:val="1"/>
                <w:bCs w:val="1"/>
                <w:color w:val="auto"/>
              </w:rPr>
              <w:t>December 31, 2024</w:t>
            </w:r>
          </w:p>
        </w:tc>
      </w:tr>
      <w:tr>
        <w:trPr>
          <w:trHeight w:val="275"/>
        </w:trPr>
        <w:tc>
          <w:tcPr>
            <w:tcW w:w="65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20"/>
                <w:szCs w:val="20"/>
                <w:color w:val="auto"/>
              </w:rPr>
              <w:t>Deferred revenue</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2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95,387</w:t>
            </w:r>
          </w:p>
        </w:tc>
        <w:tc>
          <w:tcPr>
            <w:tcW w:w="80" w:type="dxa"/>
            <w:vAlign w:val="bottom"/>
            <w:tcBorders>
              <w:top w:val="single" w:sz="8" w:color="CCEEFF"/>
              <w:bottom w:val="single" w:sz="8" w:color="CCEEFF"/>
            </w:tcBorders>
            <w:shd w:val="clear" w:color="auto" w:fill="CCEEFF"/>
          </w:tcPr>
          <w:p>
            <w:pPr>
              <w:spacing w:after="0"/>
              <w:rPr>
                <w:sz w:val="23"/>
                <w:szCs w:val="23"/>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w w:val="89"/>
              </w:rPr>
              <w:t>$</w:t>
            </w:r>
          </w:p>
        </w:tc>
        <w:tc>
          <w:tcPr>
            <w:tcW w:w="2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119,775</w:t>
            </w:r>
          </w:p>
        </w:tc>
      </w:tr>
      <w:tr>
        <w:trPr>
          <w:trHeight w:val="20"/>
        </w:trPr>
        <w:tc>
          <w:tcPr>
            <w:tcW w:w="65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2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2120" w:type="dxa"/>
            <w:vAlign w:val="bottom"/>
            <w:tcBorders>
              <w:top w:val="single" w:sz="8" w:color="CCEEFF"/>
              <w:bottom w:val="single" w:sz="8" w:color="auto"/>
            </w:tcBorders>
          </w:tcPr>
          <w:p>
            <w:pPr>
              <w:spacing w:after="0" w:line="20" w:lineRule="exact"/>
              <w:rPr>
                <w:sz w:val="1"/>
                <w:szCs w:val="1"/>
                <w:color w:val="auto"/>
              </w:rPr>
            </w:pPr>
          </w:p>
        </w:tc>
      </w:tr>
    </w:tbl>
    <w:p>
      <w:pPr>
        <w:spacing w:after="0" w:line="316" w:lineRule="exact"/>
        <w:rPr>
          <w:sz w:val="20"/>
          <w:szCs w:val="20"/>
          <w:color w:val="auto"/>
        </w:rPr>
      </w:pPr>
    </w:p>
    <w:p>
      <w:pPr>
        <w:jc w:val="both"/>
        <w:spacing w:after="0" w:line="269" w:lineRule="auto"/>
        <w:rPr>
          <w:sz w:val="20"/>
          <w:szCs w:val="20"/>
          <w:color w:val="auto"/>
        </w:rPr>
      </w:pPr>
      <w:r>
        <w:rPr>
          <w:rFonts w:ascii="Arial" w:cs="Arial" w:eastAsia="Arial" w:hAnsi="Arial"/>
          <w:sz w:val="20"/>
          <w:szCs w:val="20"/>
          <w:color w:val="auto"/>
        </w:rPr>
        <w:t>During the nine months ended September 30, 2025, the Company converted $87.8 million in Deferred revenue to Revenue, which represented 73% of the prior year’s Deferred revenue balance. Included in Deferred revenue as of December 31, 2024 are cash advances for signed contracts that begin several months subsequent to receiving the advance. In addition, Deferred revenue includes paid extended warranty, which can be recognized upon expiration of the warranty.</w:t>
      </w:r>
    </w:p>
    <w:p>
      <w:pPr>
        <w:spacing w:after="0" w:line="211"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Bill-and-Hold Arrangements</w:t>
      </w:r>
    </w:p>
    <w:p>
      <w:pPr>
        <w:spacing w:after="0" w:line="121" w:lineRule="exact"/>
        <w:rPr>
          <w:sz w:val="20"/>
          <w:szCs w:val="20"/>
          <w:color w:val="auto"/>
        </w:rPr>
      </w:pPr>
    </w:p>
    <w:p>
      <w:pPr>
        <w:jc w:val="both"/>
        <w:spacing w:after="0" w:line="269" w:lineRule="auto"/>
        <w:rPr>
          <w:sz w:val="20"/>
          <w:szCs w:val="20"/>
          <w:color w:val="auto"/>
        </w:rPr>
      </w:pPr>
      <w:r>
        <w:rPr>
          <w:rFonts w:ascii="Arial" w:cs="Arial" w:eastAsia="Arial" w:hAnsi="Arial"/>
          <w:sz w:val="20"/>
          <w:szCs w:val="20"/>
          <w:color w:val="auto"/>
        </w:rPr>
        <w:t>Revenue recognized for the Company’s federal investment tax credit (“ITC”) contracts and standalone system component sales is recorded at a point in time and recognized when obligations under the terms of the contract with the Company’s customer are satisfied. Generally, this occurs with the transfer of control of the asset, which is typically upon delivery to the customer in line with shipping terms.</w:t>
      </w:r>
    </w:p>
    <w:p>
      <w:pPr>
        <w:spacing w:after="0" w:line="197" w:lineRule="exact"/>
        <w:rPr>
          <w:sz w:val="20"/>
          <w:szCs w:val="20"/>
          <w:color w:val="auto"/>
        </w:rPr>
      </w:pPr>
    </w:p>
    <w:p>
      <w:pPr>
        <w:jc w:val="both"/>
        <w:spacing w:after="0" w:line="263" w:lineRule="auto"/>
        <w:rPr>
          <w:sz w:val="20"/>
          <w:szCs w:val="20"/>
          <w:color w:val="auto"/>
        </w:rPr>
      </w:pPr>
      <w:r>
        <w:rPr>
          <w:rFonts w:ascii="Arial" w:cs="Arial" w:eastAsia="Arial" w:hAnsi="Arial"/>
          <w:sz w:val="20"/>
          <w:szCs w:val="20"/>
          <w:color w:val="auto"/>
        </w:rPr>
        <w:t>In certain situations, the Company recognizes revenue under a bill-and-hold arrangement with its customers. An example of such a situation is when customers purchase material prior to the start of construction of a solar project in order to meet the Five Percent Safe Harbor test to qualify for the ITC. Because the customers lack sufficient storage capacity to accept a large amount of material prior to the start of construction, they request that the Company keep the product in its custody. All bill-and-hold inventory is bundled or palletized in the Company’s warehouses, separately identified as not belonging to the Company and ready for immediate transport to the customer project upon request. Additionally, title and risk of loss has passed to the customer and the Company does not have the ability to use the product or direct it to another customer.</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3" w:name="page34"/>
    <w:bookmarkEnd w:id="33"/>
    <w:p>
      <w:pPr>
        <w:spacing w:after="0" w:line="200" w:lineRule="exact"/>
        <w:rPr>
          <w:sz w:val="20"/>
          <w:szCs w:val="20"/>
          <w:color w:val="auto"/>
        </w:rPr>
      </w:pPr>
    </w:p>
    <w:p>
      <w:pPr>
        <w:spacing w:after="0" w:line="355" w:lineRule="exact"/>
        <w:rPr>
          <w:sz w:val="20"/>
          <w:szCs w:val="20"/>
          <w:color w:val="auto"/>
        </w:rPr>
      </w:pPr>
    </w:p>
    <w:p>
      <w:pPr>
        <w:jc w:val="both"/>
        <w:spacing w:after="0" w:line="276" w:lineRule="auto"/>
        <w:rPr>
          <w:sz w:val="20"/>
          <w:szCs w:val="20"/>
          <w:color w:val="auto"/>
        </w:rPr>
      </w:pPr>
      <w:r>
        <w:rPr>
          <w:rFonts w:ascii="Arial" w:cs="Arial" w:eastAsia="Arial" w:hAnsi="Arial"/>
          <w:sz w:val="20"/>
          <w:szCs w:val="20"/>
          <w:color w:val="auto"/>
        </w:rPr>
        <w:t>The Company did not recognize any revenue from bill-and-hold arrangements during the nine months ended September 30, 2025. During the nine months ended September 30, 2024, the Company recognized $1.9 million in revenue from one customer under such arrangements.</w:t>
      </w:r>
    </w:p>
    <w:p>
      <w:pPr>
        <w:spacing w:after="0" w:line="192"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Remaining Performance Obligations</w:t>
      </w:r>
    </w:p>
    <w:p>
      <w:pPr>
        <w:spacing w:after="0" w:line="121" w:lineRule="exact"/>
        <w:rPr>
          <w:sz w:val="20"/>
          <w:szCs w:val="20"/>
          <w:color w:val="auto"/>
        </w:rPr>
      </w:pPr>
    </w:p>
    <w:p>
      <w:pPr>
        <w:jc w:val="both"/>
        <w:spacing w:after="0" w:line="300" w:lineRule="auto"/>
        <w:rPr>
          <w:sz w:val="20"/>
          <w:szCs w:val="20"/>
          <w:color w:val="auto"/>
        </w:rPr>
      </w:pPr>
      <w:r>
        <w:rPr>
          <w:rFonts w:ascii="Arial" w:cs="Arial" w:eastAsia="Arial" w:hAnsi="Arial"/>
          <w:sz w:val="20"/>
          <w:szCs w:val="20"/>
          <w:color w:val="auto"/>
        </w:rPr>
        <w:t>As of September 30, 2025, the Company had $400.6 million of remaining performance obligations. The Company expects to recognize revenue on 95% of these performance obligations in the next twelve months.</w:t>
      </w:r>
    </w:p>
    <w:p>
      <w:pPr>
        <w:spacing w:after="0" w:line="166" w:lineRule="exact"/>
        <w:rPr>
          <w:sz w:val="20"/>
          <w:szCs w:val="20"/>
          <w:color w:val="auto"/>
        </w:rPr>
      </w:pPr>
    </w:p>
    <w:p>
      <w:pPr>
        <w:ind w:left="500" w:hanging="492"/>
        <w:spacing w:after="0"/>
        <w:tabs>
          <w:tab w:leader="none" w:pos="500" w:val="left"/>
        </w:tabs>
        <w:numPr>
          <w:ilvl w:val="0"/>
          <w:numId w:val="17"/>
        </w:numPr>
        <w:rPr>
          <w:rFonts w:ascii="Arial" w:cs="Arial" w:eastAsia="Arial" w:hAnsi="Arial"/>
          <w:sz w:val="20"/>
          <w:szCs w:val="20"/>
          <w:b w:val="1"/>
          <w:bCs w:val="1"/>
          <w:color w:val="auto"/>
        </w:rPr>
      </w:pPr>
      <w:r>
        <w:rPr>
          <w:rFonts w:ascii="Arial" w:cs="Arial" w:eastAsia="Arial" w:hAnsi="Arial"/>
          <w:sz w:val="20"/>
          <w:szCs w:val="20"/>
          <w:b w:val="1"/>
          <w:bCs w:val="1"/>
          <w:color w:val="auto"/>
        </w:rPr>
        <w:t>Earnings (Loss) Per Share</w:t>
      </w:r>
    </w:p>
    <w:p>
      <w:pPr>
        <w:spacing w:after="0" w:line="258" w:lineRule="exact"/>
        <w:rPr>
          <w:sz w:val="20"/>
          <w:szCs w:val="20"/>
          <w:color w:val="auto"/>
        </w:rPr>
      </w:pPr>
    </w:p>
    <w:p>
      <w:pPr>
        <w:spacing w:after="0"/>
        <w:rPr>
          <w:sz w:val="20"/>
          <w:szCs w:val="20"/>
          <w:color w:val="auto"/>
        </w:rPr>
      </w:pPr>
      <w:r>
        <w:rPr>
          <w:rFonts w:ascii="Arial" w:cs="Arial" w:eastAsia="Arial" w:hAnsi="Arial"/>
          <w:sz w:val="20"/>
          <w:szCs w:val="20"/>
          <w:color w:val="auto"/>
        </w:rPr>
        <w:t>The following table sets forth the computation of basic and diluted income per share (in thousands, except per share amounts):</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67"/>
        </w:trPr>
        <w:tc>
          <w:tcPr>
            <w:tcW w:w="4280" w:type="dxa"/>
            <w:vAlign w:val="bottom"/>
          </w:tcPr>
          <w:p>
            <w:pPr>
              <w:spacing w:after="0"/>
              <w:rPr>
                <w:sz w:val="23"/>
                <w:szCs w:val="23"/>
                <w:color w:val="auto"/>
              </w:rPr>
            </w:pPr>
          </w:p>
        </w:tc>
        <w:tc>
          <w:tcPr>
            <w:tcW w:w="3440" w:type="dxa"/>
            <w:vAlign w:val="bottom"/>
            <w:tcBorders>
              <w:bottom w:val="single" w:sz="8" w:color="auto"/>
            </w:tcBorders>
            <w:gridSpan w:val="5"/>
          </w:tcPr>
          <w:p>
            <w:pPr>
              <w:jc w:val="right"/>
              <w:spacing w:after="0"/>
              <w:rPr>
                <w:sz w:val="20"/>
                <w:szCs w:val="20"/>
                <w:color w:val="auto"/>
              </w:rPr>
            </w:pPr>
            <w:r>
              <w:rPr>
                <w:rFonts w:ascii="Arial" w:cs="Arial" w:eastAsia="Arial" w:hAnsi="Arial"/>
                <w:sz w:val="20"/>
                <w:szCs w:val="20"/>
                <w:b w:val="1"/>
                <w:bCs w:val="1"/>
                <w:color w:val="auto"/>
                <w:w w:val="99"/>
              </w:rPr>
              <w:t>Three Months Ended September 30,</w:t>
            </w:r>
          </w:p>
        </w:tc>
        <w:tc>
          <w:tcPr>
            <w:tcW w:w="80" w:type="dxa"/>
            <w:vAlign w:val="bottom"/>
          </w:tcPr>
          <w:p>
            <w:pPr>
              <w:spacing w:after="0"/>
              <w:rPr>
                <w:sz w:val="23"/>
                <w:szCs w:val="23"/>
                <w:color w:val="auto"/>
              </w:rPr>
            </w:pPr>
          </w:p>
        </w:tc>
        <w:tc>
          <w:tcPr>
            <w:tcW w:w="3440" w:type="dxa"/>
            <w:vAlign w:val="bottom"/>
            <w:tcBorders>
              <w:bottom w:val="single" w:sz="8" w:color="auto"/>
            </w:tcBorders>
            <w:gridSpan w:val="6"/>
          </w:tcPr>
          <w:p>
            <w:pPr>
              <w:jc w:val="right"/>
              <w:ind w:right="1"/>
              <w:spacing w:after="0"/>
              <w:rPr>
                <w:sz w:val="20"/>
                <w:szCs w:val="20"/>
                <w:color w:val="auto"/>
              </w:rPr>
            </w:pPr>
            <w:r>
              <w:rPr>
                <w:rFonts w:ascii="Arial" w:cs="Arial" w:eastAsia="Arial" w:hAnsi="Arial"/>
                <w:sz w:val="20"/>
                <w:szCs w:val="20"/>
                <w:b w:val="1"/>
                <w:bCs w:val="1"/>
                <w:color w:val="auto"/>
              </w:rPr>
              <w:t>Nine Months Ended September 30,</w:t>
            </w:r>
          </w:p>
        </w:tc>
        <w:tc>
          <w:tcPr>
            <w:tcW w:w="0" w:type="dxa"/>
            <w:vAlign w:val="bottom"/>
          </w:tcPr>
          <w:p>
            <w:pPr>
              <w:spacing w:after="0"/>
              <w:rPr>
                <w:sz w:val="1"/>
                <w:szCs w:val="1"/>
                <w:color w:val="auto"/>
              </w:rPr>
            </w:pPr>
          </w:p>
        </w:tc>
      </w:tr>
      <w:tr>
        <w:trPr>
          <w:trHeight w:val="263"/>
        </w:trPr>
        <w:tc>
          <w:tcPr>
            <w:tcW w:w="428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501"/>
              <w:spacing w:after="0"/>
              <w:rPr>
                <w:sz w:val="20"/>
                <w:szCs w:val="20"/>
                <w:color w:val="auto"/>
              </w:rPr>
            </w:pPr>
            <w:r>
              <w:rPr>
                <w:rFonts w:ascii="Arial" w:cs="Arial" w:eastAsia="Arial" w:hAnsi="Arial"/>
                <w:sz w:val="20"/>
                <w:szCs w:val="20"/>
                <w:b w:val="1"/>
                <w:bCs w:val="1"/>
                <w:color w:val="auto"/>
              </w:rPr>
              <w:t>2025</w:t>
            </w:r>
          </w:p>
        </w:tc>
        <w:tc>
          <w:tcPr>
            <w:tcW w:w="8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521"/>
              <w:spacing w:after="0"/>
              <w:rPr>
                <w:sz w:val="20"/>
                <w:szCs w:val="20"/>
                <w:color w:val="auto"/>
              </w:rPr>
            </w:pPr>
            <w:r>
              <w:rPr>
                <w:rFonts w:ascii="Arial" w:cs="Arial" w:eastAsia="Arial" w:hAnsi="Arial"/>
                <w:sz w:val="20"/>
                <w:szCs w:val="20"/>
                <w:b w:val="1"/>
                <w:bCs w:val="1"/>
                <w:color w:val="auto"/>
              </w:rPr>
              <w:t>2024</w:t>
            </w:r>
          </w:p>
        </w:tc>
        <w:tc>
          <w:tcPr>
            <w:tcW w:w="8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521"/>
              <w:spacing w:after="0"/>
              <w:rPr>
                <w:sz w:val="20"/>
                <w:szCs w:val="20"/>
                <w:color w:val="auto"/>
              </w:rPr>
            </w:pPr>
            <w:r>
              <w:rPr>
                <w:rFonts w:ascii="Arial" w:cs="Arial" w:eastAsia="Arial" w:hAnsi="Arial"/>
                <w:sz w:val="20"/>
                <w:szCs w:val="20"/>
                <w:b w:val="1"/>
                <w:bCs w:val="1"/>
                <w:color w:val="auto"/>
              </w:rPr>
              <w:t>2025</w:t>
            </w:r>
          </w:p>
        </w:tc>
        <w:tc>
          <w:tcPr>
            <w:tcW w:w="8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521"/>
              <w:spacing w:after="0"/>
              <w:rPr>
                <w:sz w:val="20"/>
                <w:szCs w:val="20"/>
                <w:color w:val="auto"/>
              </w:rPr>
            </w:pPr>
            <w:r>
              <w:rPr>
                <w:rFonts w:ascii="Arial" w:cs="Arial" w:eastAsia="Arial" w:hAnsi="Arial"/>
                <w:sz w:val="20"/>
                <w:szCs w:val="20"/>
                <w:b w:val="1"/>
                <w:bCs w:val="1"/>
                <w:color w:val="auto"/>
              </w:rPr>
              <w:t>2024</w:t>
            </w:r>
          </w:p>
        </w:tc>
        <w:tc>
          <w:tcPr>
            <w:tcW w:w="0" w:type="dxa"/>
            <w:vAlign w:val="bottom"/>
          </w:tcPr>
          <w:p>
            <w:pPr>
              <w:spacing w:after="0"/>
              <w:rPr>
                <w:sz w:val="1"/>
                <w:szCs w:val="1"/>
                <w:color w:val="auto"/>
              </w:rPr>
            </w:pPr>
          </w:p>
        </w:tc>
      </w:tr>
      <w:tr>
        <w:trPr>
          <w:trHeight w:val="264"/>
        </w:trPr>
        <w:tc>
          <w:tcPr>
            <w:tcW w:w="4280" w:type="dxa"/>
            <w:vAlign w:val="bottom"/>
            <w:shd w:val="clear" w:color="auto" w:fill="CCEEFF"/>
          </w:tcPr>
          <w:p>
            <w:pPr>
              <w:ind w:left="20"/>
              <w:spacing w:after="0"/>
              <w:rPr>
                <w:sz w:val="20"/>
                <w:szCs w:val="20"/>
                <w:color w:val="auto"/>
              </w:rPr>
            </w:pPr>
            <w:r>
              <w:rPr>
                <w:rFonts w:ascii="Arial" w:cs="Arial" w:eastAsia="Arial" w:hAnsi="Arial"/>
                <w:sz w:val="20"/>
                <w:szCs w:val="20"/>
                <w:color w:val="auto"/>
              </w:rPr>
              <w:t>Net income (loss)</w:t>
            </w:r>
          </w:p>
        </w:tc>
        <w:tc>
          <w:tcPr>
            <w:tcW w:w="360" w:type="dxa"/>
            <w:vAlign w:val="bottom"/>
            <w:shd w:val="clear" w:color="auto" w:fill="CCEEFF"/>
          </w:tcPr>
          <w:p>
            <w:pPr>
              <w:jc w:val="right"/>
              <w:ind w:right="141"/>
              <w:spacing w:after="0"/>
              <w:rPr>
                <w:sz w:val="20"/>
                <w:szCs w:val="20"/>
                <w:color w:val="auto"/>
              </w:rPr>
            </w:pPr>
            <w:r>
              <w:rPr>
                <w:rFonts w:ascii="Arial" w:cs="Arial" w:eastAsia="Arial" w:hAnsi="Arial"/>
                <w:sz w:val="20"/>
                <w:szCs w:val="20"/>
                <w:color w:val="auto"/>
                <w:w w:val="8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33,503</w:t>
            </w:r>
          </w:p>
        </w:tc>
        <w:tc>
          <w:tcPr>
            <w:tcW w:w="80" w:type="dxa"/>
            <w:vAlign w:val="bottom"/>
            <w:shd w:val="clear" w:color="auto" w:fill="CCEEFF"/>
          </w:tcPr>
          <w:p>
            <w:pPr>
              <w:spacing w:after="0"/>
              <w:rPr>
                <w:sz w:val="22"/>
                <w:szCs w:val="22"/>
                <w:color w:val="auto"/>
              </w:rPr>
            </w:pPr>
          </w:p>
        </w:tc>
        <w:tc>
          <w:tcPr>
            <w:tcW w:w="380" w:type="dxa"/>
            <w:vAlign w:val="bottom"/>
            <w:shd w:val="clear" w:color="auto" w:fill="CCEEFF"/>
          </w:tcPr>
          <w:p>
            <w:pPr>
              <w:jc w:val="right"/>
              <w:ind w:right="141"/>
              <w:spacing w:after="0"/>
              <w:rPr>
                <w:sz w:val="20"/>
                <w:szCs w:val="20"/>
                <w:color w:val="auto"/>
              </w:rPr>
            </w:pPr>
            <w:r>
              <w:rPr>
                <w:rFonts w:ascii="Arial" w:cs="Arial" w:eastAsia="Arial" w:hAnsi="Arial"/>
                <w:sz w:val="20"/>
                <w:szCs w:val="20"/>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(141,354)</w:t>
            </w:r>
          </w:p>
        </w:tc>
        <w:tc>
          <w:tcPr>
            <w:tcW w:w="440" w:type="dxa"/>
            <w:vAlign w:val="bottom"/>
            <w:gridSpan w:val="2"/>
            <w:shd w:val="clear" w:color="auto" w:fill="CCEEFF"/>
          </w:tcPr>
          <w:p>
            <w:pPr>
              <w:jc w:val="right"/>
              <w:ind w:right="141"/>
              <w:spacing w:after="0"/>
              <w:rPr>
                <w:sz w:val="20"/>
                <w:szCs w:val="20"/>
                <w:color w:val="auto"/>
              </w:rPr>
            </w:pPr>
            <w:r>
              <w:rPr>
                <w:rFonts w:ascii="Arial" w:cs="Arial" w:eastAsia="Arial" w:hAnsi="Arial"/>
                <w:sz w:val="20"/>
                <w:szCs w:val="20"/>
                <w:color w:val="auto"/>
              </w:rPr>
              <w:t>$</w:t>
            </w:r>
          </w:p>
        </w:tc>
        <w:tc>
          <w:tcPr>
            <w:tcW w:w="1320" w:type="dxa"/>
            <w:vAlign w:val="bottom"/>
            <w:shd w:val="clear" w:color="auto" w:fill="CCEEFF"/>
          </w:tcPr>
          <w:p>
            <w:pPr>
              <w:jc w:val="right"/>
              <w:ind w:right="1"/>
              <w:spacing w:after="0"/>
              <w:rPr>
                <w:sz w:val="20"/>
                <w:szCs w:val="20"/>
                <w:color w:val="auto"/>
              </w:rPr>
            </w:pPr>
            <w:r>
              <w:rPr>
                <w:rFonts w:ascii="Arial" w:cs="Arial" w:eastAsia="Arial" w:hAnsi="Arial"/>
                <w:sz w:val="20"/>
                <w:szCs w:val="20"/>
                <w:color w:val="auto"/>
              </w:rPr>
              <w:t>93,511</w:t>
            </w:r>
          </w:p>
        </w:tc>
        <w:tc>
          <w:tcPr>
            <w:tcW w:w="80" w:type="dxa"/>
            <w:vAlign w:val="bottom"/>
            <w:shd w:val="clear" w:color="auto" w:fill="CCEEFF"/>
          </w:tcPr>
          <w:p>
            <w:pPr>
              <w:spacing w:after="0"/>
              <w:rPr>
                <w:sz w:val="22"/>
                <w:szCs w:val="22"/>
                <w:color w:val="auto"/>
              </w:rPr>
            </w:pPr>
          </w:p>
        </w:tc>
        <w:tc>
          <w:tcPr>
            <w:tcW w:w="360" w:type="dxa"/>
            <w:vAlign w:val="bottom"/>
            <w:gridSpan w:val="2"/>
            <w:shd w:val="clear" w:color="auto" w:fill="CCEEFF"/>
          </w:tcPr>
          <w:p>
            <w:pPr>
              <w:jc w:val="right"/>
              <w:ind w:right="141"/>
              <w:spacing w:after="0"/>
              <w:rPr>
                <w:sz w:val="20"/>
                <w:szCs w:val="20"/>
                <w:color w:val="auto"/>
              </w:rPr>
            </w:pPr>
            <w:r>
              <w:rPr>
                <w:rFonts w:ascii="Arial" w:cs="Arial" w:eastAsia="Arial" w:hAnsi="Arial"/>
                <w:sz w:val="20"/>
                <w:szCs w:val="20"/>
                <w:color w:val="auto"/>
                <w:w w:val="8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(113,491)</w:t>
            </w:r>
          </w:p>
        </w:tc>
        <w:tc>
          <w:tcPr>
            <w:tcW w:w="0" w:type="dxa"/>
            <w:vAlign w:val="bottom"/>
          </w:tcPr>
          <w:p>
            <w:pPr>
              <w:spacing w:after="0"/>
              <w:rPr>
                <w:sz w:val="1"/>
                <w:szCs w:val="1"/>
                <w:color w:val="auto"/>
              </w:rPr>
            </w:pPr>
          </w:p>
        </w:tc>
      </w:tr>
      <w:tr>
        <w:trPr>
          <w:trHeight w:val="256"/>
        </w:trPr>
        <w:tc>
          <w:tcPr>
            <w:tcW w:w="4280" w:type="dxa"/>
            <w:vAlign w:val="bottom"/>
            <w:tcBorders>
              <w:bottom w:val="single" w:sz="8" w:color="CCEEFF"/>
            </w:tcBorders>
          </w:tcPr>
          <w:p>
            <w:pPr>
              <w:ind w:left="20"/>
              <w:spacing w:after="0"/>
              <w:rPr>
                <w:sz w:val="20"/>
                <w:szCs w:val="20"/>
                <w:color w:val="auto"/>
              </w:rPr>
            </w:pPr>
            <w:r>
              <w:rPr>
                <w:rFonts w:ascii="Arial" w:cs="Arial" w:eastAsia="Arial" w:hAnsi="Arial"/>
                <w:sz w:val="20"/>
                <w:szCs w:val="20"/>
                <w:color w:val="auto"/>
              </w:rPr>
              <w:t>Less: preferred dividends and accretion</w:t>
            </w:r>
          </w:p>
        </w:tc>
        <w:tc>
          <w:tcPr>
            <w:tcW w:w="36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15,144</w:t>
            </w:r>
          </w:p>
        </w:tc>
        <w:tc>
          <w:tcPr>
            <w:tcW w:w="8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14,080</w:t>
            </w:r>
          </w:p>
        </w:tc>
        <w:tc>
          <w:tcPr>
            <w:tcW w:w="8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1"/>
              <w:spacing w:after="0"/>
              <w:rPr>
                <w:sz w:val="20"/>
                <w:szCs w:val="20"/>
                <w:color w:val="auto"/>
              </w:rPr>
            </w:pPr>
            <w:r>
              <w:rPr>
                <w:rFonts w:ascii="Arial" w:cs="Arial" w:eastAsia="Arial" w:hAnsi="Arial"/>
                <w:sz w:val="20"/>
                <w:szCs w:val="20"/>
                <w:color w:val="auto"/>
              </w:rPr>
              <w:t>44,375</w:t>
            </w:r>
          </w:p>
        </w:tc>
        <w:tc>
          <w:tcPr>
            <w:tcW w:w="8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41,332</w:t>
            </w:r>
          </w:p>
        </w:tc>
        <w:tc>
          <w:tcPr>
            <w:tcW w:w="0" w:type="dxa"/>
            <w:vAlign w:val="bottom"/>
          </w:tcPr>
          <w:p>
            <w:pPr>
              <w:spacing w:after="0"/>
              <w:rPr>
                <w:sz w:val="1"/>
                <w:szCs w:val="1"/>
                <w:color w:val="auto"/>
              </w:rPr>
            </w:pPr>
          </w:p>
        </w:tc>
      </w:tr>
      <w:tr>
        <w:trPr>
          <w:trHeight w:val="275"/>
        </w:trPr>
        <w:tc>
          <w:tcPr>
            <w:tcW w:w="4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20"/>
                <w:szCs w:val="20"/>
                <w:color w:val="auto"/>
              </w:rPr>
              <w:t>Net income (loss) to common shareholders</w:t>
            </w:r>
          </w:p>
        </w:tc>
        <w:tc>
          <w:tcPr>
            <w:tcW w:w="360" w:type="dxa"/>
            <w:vAlign w:val="bottom"/>
            <w:tcBorders>
              <w:bottom w:val="single" w:sz="8" w:color="auto"/>
            </w:tcBorders>
            <w:shd w:val="clear" w:color="auto" w:fill="CCEEFF"/>
          </w:tcPr>
          <w:p>
            <w:pPr>
              <w:jc w:val="right"/>
              <w:ind w:right="141"/>
              <w:spacing w:after="0"/>
              <w:rPr>
                <w:sz w:val="20"/>
                <w:szCs w:val="20"/>
                <w:color w:val="auto"/>
              </w:rPr>
            </w:pPr>
            <w:r>
              <w:rPr>
                <w:rFonts w:ascii="Arial" w:cs="Arial" w:eastAsia="Arial" w:hAnsi="Arial"/>
                <w:sz w:val="20"/>
                <w:szCs w:val="20"/>
                <w:color w:val="auto"/>
                <w:w w:val="8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18,359</w:t>
            </w:r>
          </w:p>
        </w:tc>
        <w:tc>
          <w:tcPr>
            <w:tcW w:w="8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jc w:val="right"/>
              <w:ind w:right="141"/>
              <w:spacing w:after="0"/>
              <w:rPr>
                <w:sz w:val="20"/>
                <w:szCs w:val="20"/>
                <w:color w:val="auto"/>
              </w:rPr>
            </w:pPr>
            <w:r>
              <w:rPr>
                <w:rFonts w:ascii="Arial" w:cs="Arial" w:eastAsia="Arial" w:hAnsi="Arial"/>
                <w:sz w:val="20"/>
                <w:szCs w:val="20"/>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(155,434)</w:t>
            </w:r>
          </w:p>
        </w:tc>
        <w:tc>
          <w:tcPr>
            <w:tcW w:w="8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jc w:val="right"/>
              <w:ind w:right="141"/>
              <w:spacing w:after="0"/>
              <w:rPr>
                <w:sz w:val="20"/>
                <w:szCs w:val="20"/>
                <w:color w:val="auto"/>
              </w:rPr>
            </w:pPr>
            <w:r>
              <w:rPr>
                <w:rFonts w:ascii="Arial" w:cs="Arial" w:eastAsia="Arial" w:hAnsi="Arial"/>
                <w:sz w:val="20"/>
                <w:szCs w:val="20"/>
                <w:color w:val="auto"/>
                <w:w w:val="89"/>
              </w:rPr>
              <w:t>$</w:t>
            </w:r>
          </w:p>
        </w:tc>
        <w:tc>
          <w:tcPr>
            <w:tcW w:w="13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20"/>
                <w:szCs w:val="20"/>
                <w:color w:val="auto"/>
              </w:rPr>
              <w:t>49,136</w:t>
            </w: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jc w:val="right"/>
              <w:ind w:right="141"/>
              <w:spacing w:after="0"/>
              <w:rPr>
                <w:sz w:val="20"/>
                <w:szCs w:val="20"/>
                <w:color w:val="auto"/>
              </w:rPr>
            </w:pPr>
            <w:r>
              <w:rPr>
                <w:rFonts w:ascii="Arial" w:cs="Arial" w:eastAsia="Arial" w:hAnsi="Arial"/>
                <w:sz w:val="20"/>
                <w:szCs w:val="20"/>
                <w:color w:val="auto"/>
                <w:w w:val="71"/>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(154,823)</w:t>
            </w:r>
          </w:p>
        </w:tc>
        <w:tc>
          <w:tcPr>
            <w:tcW w:w="0" w:type="dxa"/>
            <w:vAlign w:val="bottom"/>
          </w:tcPr>
          <w:p>
            <w:pPr>
              <w:spacing w:after="0"/>
              <w:rPr>
                <w:sz w:val="1"/>
                <w:szCs w:val="1"/>
                <w:color w:val="auto"/>
              </w:rPr>
            </w:pPr>
          </w:p>
        </w:tc>
      </w:tr>
      <w:tr>
        <w:trPr>
          <w:trHeight w:val="20"/>
        </w:trPr>
        <w:tc>
          <w:tcPr>
            <w:tcW w:w="42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20"/>
                <w:szCs w:val="20"/>
                <w:color w:val="auto"/>
              </w:rPr>
              <w:t>Basic:</w:t>
            </w: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280" w:type="dxa"/>
            <w:vAlign w:val="bottom"/>
            <w:vMerge w:val="continue"/>
          </w:tcPr>
          <w:p>
            <w:pPr>
              <w:spacing w:after="0"/>
              <w:rPr>
                <w:sz w:val="19"/>
                <w:szCs w:val="19"/>
                <w:color w:val="auto"/>
              </w:rPr>
            </w:pPr>
          </w:p>
        </w:tc>
        <w:tc>
          <w:tcPr>
            <w:tcW w:w="3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0"/>
        </w:trPr>
        <w:tc>
          <w:tcPr>
            <w:tcW w:w="428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20"/>
                <w:szCs w:val="20"/>
                <w:color w:val="auto"/>
              </w:rPr>
              <w:t>Weighted average shares</w:t>
            </w:r>
          </w:p>
        </w:tc>
        <w:tc>
          <w:tcPr>
            <w:tcW w:w="360" w:type="dxa"/>
            <w:vAlign w:val="bottom"/>
            <w:tcBorders>
              <w:bottom w:val="single" w:sz="8" w:color="auto"/>
            </w:tcBorders>
            <w:shd w:val="clear" w:color="auto" w:fill="CCEEFF"/>
          </w:tcPr>
          <w:p>
            <w:pPr>
              <w:spacing w:after="0"/>
              <w:rPr>
                <w:sz w:val="24"/>
                <w:szCs w:val="24"/>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152,727</w:t>
            </w:r>
          </w:p>
        </w:tc>
        <w:tc>
          <w:tcPr>
            <w:tcW w:w="8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auto"/>
            </w:tcBorders>
            <w:shd w:val="clear" w:color="auto" w:fill="CCEEFF"/>
          </w:tcPr>
          <w:p>
            <w:pPr>
              <w:spacing w:after="0"/>
              <w:rPr>
                <w:sz w:val="24"/>
                <w:szCs w:val="24"/>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151,923</w:t>
            </w:r>
          </w:p>
        </w:tc>
        <w:tc>
          <w:tcPr>
            <w:tcW w:w="8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spacing w:after="0"/>
              <w:rPr>
                <w:sz w:val="24"/>
                <w:szCs w:val="24"/>
                <w:color w:val="auto"/>
              </w:rPr>
            </w:pPr>
          </w:p>
        </w:tc>
        <w:tc>
          <w:tcPr>
            <w:tcW w:w="13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20"/>
                <w:szCs w:val="20"/>
                <w:color w:val="auto"/>
              </w:rPr>
              <w:t>152,465</w:t>
            </w:r>
          </w:p>
        </w:tc>
        <w:tc>
          <w:tcPr>
            <w:tcW w:w="8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spacing w:after="0"/>
              <w:rPr>
                <w:sz w:val="24"/>
                <w:szCs w:val="24"/>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151,691</w:t>
            </w:r>
          </w:p>
        </w:tc>
        <w:tc>
          <w:tcPr>
            <w:tcW w:w="0" w:type="dxa"/>
            <w:vAlign w:val="bottom"/>
          </w:tcPr>
          <w:p>
            <w:pPr>
              <w:spacing w:after="0"/>
              <w:rPr>
                <w:sz w:val="1"/>
                <w:szCs w:val="1"/>
                <w:color w:val="auto"/>
              </w:rPr>
            </w:pPr>
          </w:p>
        </w:tc>
      </w:tr>
      <w:tr>
        <w:trPr>
          <w:trHeight w:val="20"/>
        </w:trPr>
        <w:tc>
          <w:tcPr>
            <w:tcW w:w="42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8"/>
        </w:trPr>
        <w:tc>
          <w:tcPr>
            <w:tcW w:w="4280" w:type="dxa"/>
            <w:vAlign w:val="bottom"/>
          </w:tcPr>
          <w:p>
            <w:pPr>
              <w:ind w:left="300"/>
              <w:spacing w:after="0"/>
              <w:rPr>
                <w:sz w:val="20"/>
                <w:szCs w:val="20"/>
                <w:color w:val="auto"/>
              </w:rPr>
            </w:pPr>
            <w:r>
              <w:rPr>
                <w:rFonts w:ascii="Arial" w:cs="Arial" w:eastAsia="Arial" w:hAnsi="Arial"/>
                <w:sz w:val="20"/>
                <w:szCs w:val="20"/>
                <w:color w:val="auto"/>
              </w:rPr>
              <w:t>Income (loss) per share</w:t>
            </w:r>
          </w:p>
        </w:tc>
        <w:tc>
          <w:tcPr>
            <w:tcW w:w="360" w:type="dxa"/>
            <w:vAlign w:val="bottom"/>
          </w:tcPr>
          <w:p>
            <w:pPr>
              <w:jc w:val="right"/>
              <w:ind w:right="161"/>
              <w:spacing w:after="0"/>
              <w:rPr>
                <w:sz w:val="20"/>
                <w:szCs w:val="20"/>
                <w:color w:val="auto"/>
              </w:rPr>
            </w:pPr>
            <w:r>
              <w:rPr>
                <w:rFonts w:ascii="Arial" w:cs="Arial" w:eastAsia="Arial" w:hAnsi="Arial"/>
                <w:sz w:val="20"/>
                <w:szCs w:val="20"/>
                <w:color w:val="auto"/>
                <w:w w:val="71"/>
              </w:rPr>
              <w:t>$</w:t>
            </w:r>
          </w:p>
        </w:tc>
        <w:tc>
          <w:tcPr>
            <w:tcW w:w="1300" w:type="dxa"/>
            <w:vAlign w:val="bottom"/>
          </w:tcPr>
          <w:p>
            <w:pPr>
              <w:jc w:val="right"/>
              <w:spacing w:after="0"/>
              <w:rPr>
                <w:sz w:val="20"/>
                <w:szCs w:val="20"/>
                <w:color w:val="auto"/>
              </w:rPr>
            </w:pPr>
            <w:r>
              <w:rPr>
                <w:rFonts w:ascii="Arial" w:cs="Arial" w:eastAsia="Arial" w:hAnsi="Arial"/>
                <w:sz w:val="20"/>
                <w:szCs w:val="20"/>
                <w:color w:val="auto"/>
              </w:rPr>
              <w:t>0.12</w:t>
            </w:r>
          </w:p>
        </w:tc>
        <w:tc>
          <w:tcPr>
            <w:tcW w:w="80" w:type="dxa"/>
            <w:vAlign w:val="bottom"/>
          </w:tcPr>
          <w:p>
            <w:pPr>
              <w:spacing w:after="0"/>
              <w:rPr>
                <w:sz w:val="22"/>
                <w:szCs w:val="22"/>
                <w:color w:val="auto"/>
              </w:rPr>
            </w:pPr>
          </w:p>
        </w:tc>
        <w:tc>
          <w:tcPr>
            <w:tcW w:w="380" w:type="dxa"/>
            <w:vAlign w:val="bottom"/>
          </w:tcPr>
          <w:p>
            <w:pPr>
              <w:jc w:val="right"/>
              <w:ind w:right="161"/>
              <w:spacing w:after="0"/>
              <w:rPr>
                <w:sz w:val="20"/>
                <w:szCs w:val="20"/>
                <w:color w:val="auto"/>
              </w:rPr>
            </w:pPr>
            <w:r>
              <w:rPr>
                <w:rFonts w:ascii="Arial" w:cs="Arial" w:eastAsia="Arial" w:hAnsi="Arial"/>
                <w:sz w:val="20"/>
                <w:szCs w:val="20"/>
                <w:color w:val="auto"/>
                <w:w w:val="89"/>
              </w:rPr>
              <w:t>$</w:t>
            </w:r>
          </w:p>
        </w:tc>
        <w:tc>
          <w:tcPr>
            <w:tcW w:w="1320" w:type="dxa"/>
            <w:vAlign w:val="bottom"/>
          </w:tcPr>
          <w:p>
            <w:pPr>
              <w:jc w:val="right"/>
              <w:spacing w:after="0"/>
              <w:rPr>
                <w:sz w:val="20"/>
                <w:szCs w:val="20"/>
                <w:color w:val="auto"/>
              </w:rPr>
            </w:pPr>
            <w:r>
              <w:rPr>
                <w:rFonts w:ascii="Arial" w:cs="Arial" w:eastAsia="Arial" w:hAnsi="Arial"/>
                <w:sz w:val="20"/>
                <w:szCs w:val="20"/>
                <w:color w:val="auto"/>
              </w:rPr>
              <w:t>(1.02)</w:t>
            </w:r>
          </w:p>
        </w:tc>
        <w:tc>
          <w:tcPr>
            <w:tcW w:w="440" w:type="dxa"/>
            <w:vAlign w:val="bottom"/>
            <w:gridSpan w:val="2"/>
          </w:tcPr>
          <w:p>
            <w:pPr>
              <w:jc w:val="right"/>
              <w:ind w:right="161"/>
              <w:spacing w:after="0"/>
              <w:rPr>
                <w:sz w:val="20"/>
                <w:szCs w:val="20"/>
                <w:color w:val="auto"/>
              </w:rPr>
            </w:pPr>
            <w:r>
              <w:rPr>
                <w:rFonts w:ascii="Arial" w:cs="Arial" w:eastAsia="Arial" w:hAnsi="Arial"/>
                <w:sz w:val="20"/>
                <w:szCs w:val="20"/>
                <w:color w:val="auto"/>
              </w:rPr>
              <w:t>$</w:t>
            </w:r>
          </w:p>
        </w:tc>
        <w:tc>
          <w:tcPr>
            <w:tcW w:w="1320" w:type="dxa"/>
            <w:vAlign w:val="bottom"/>
          </w:tcPr>
          <w:p>
            <w:pPr>
              <w:jc w:val="right"/>
              <w:ind w:right="1"/>
              <w:spacing w:after="0"/>
              <w:rPr>
                <w:sz w:val="20"/>
                <w:szCs w:val="20"/>
                <w:color w:val="auto"/>
              </w:rPr>
            </w:pPr>
            <w:r>
              <w:rPr>
                <w:rFonts w:ascii="Arial" w:cs="Arial" w:eastAsia="Arial" w:hAnsi="Arial"/>
                <w:sz w:val="20"/>
                <w:szCs w:val="20"/>
                <w:color w:val="auto"/>
              </w:rPr>
              <w:t>0.32</w:t>
            </w:r>
          </w:p>
        </w:tc>
        <w:tc>
          <w:tcPr>
            <w:tcW w:w="80" w:type="dxa"/>
            <w:vAlign w:val="bottom"/>
          </w:tcPr>
          <w:p>
            <w:pPr>
              <w:spacing w:after="0"/>
              <w:rPr>
                <w:sz w:val="22"/>
                <w:szCs w:val="22"/>
                <w:color w:val="auto"/>
              </w:rPr>
            </w:pPr>
          </w:p>
        </w:tc>
        <w:tc>
          <w:tcPr>
            <w:tcW w:w="360" w:type="dxa"/>
            <w:vAlign w:val="bottom"/>
            <w:gridSpan w:val="2"/>
          </w:tcPr>
          <w:p>
            <w:pPr>
              <w:jc w:val="right"/>
              <w:ind w:right="161"/>
              <w:spacing w:after="0"/>
              <w:rPr>
                <w:sz w:val="20"/>
                <w:szCs w:val="20"/>
                <w:color w:val="auto"/>
              </w:rPr>
            </w:pPr>
            <w:r>
              <w:rPr>
                <w:rFonts w:ascii="Arial" w:cs="Arial" w:eastAsia="Arial" w:hAnsi="Arial"/>
                <w:sz w:val="20"/>
                <w:szCs w:val="20"/>
                <w:color w:val="auto"/>
                <w:w w:val="71"/>
              </w:rPr>
              <w:t>$</w:t>
            </w:r>
          </w:p>
        </w:tc>
        <w:tc>
          <w:tcPr>
            <w:tcW w:w="1320" w:type="dxa"/>
            <w:vAlign w:val="bottom"/>
          </w:tcPr>
          <w:p>
            <w:pPr>
              <w:jc w:val="right"/>
              <w:spacing w:after="0"/>
              <w:rPr>
                <w:sz w:val="20"/>
                <w:szCs w:val="20"/>
                <w:color w:val="auto"/>
              </w:rPr>
            </w:pPr>
            <w:r>
              <w:rPr>
                <w:rFonts w:ascii="Arial" w:cs="Arial" w:eastAsia="Arial" w:hAnsi="Arial"/>
                <w:sz w:val="20"/>
                <w:szCs w:val="20"/>
                <w:color w:val="auto"/>
              </w:rPr>
              <w:t>(1.02)</w:t>
            </w:r>
          </w:p>
        </w:tc>
        <w:tc>
          <w:tcPr>
            <w:tcW w:w="0" w:type="dxa"/>
            <w:vAlign w:val="bottom"/>
          </w:tcPr>
          <w:p>
            <w:pPr>
              <w:spacing w:after="0"/>
              <w:rPr>
                <w:sz w:val="1"/>
                <w:szCs w:val="1"/>
                <w:color w:val="auto"/>
              </w:rPr>
            </w:pPr>
          </w:p>
        </w:tc>
      </w:tr>
      <w:tr>
        <w:trPr>
          <w:trHeight w:val="20"/>
        </w:trPr>
        <w:tc>
          <w:tcPr>
            <w:tcW w:w="4280" w:type="dxa"/>
            <w:vAlign w:val="bottom"/>
            <w:tcBorders>
              <w:bottom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4280" w:type="dxa"/>
            <w:vAlign w:val="bottom"/>
            <w:shd w:val="clear" w:color="auto" w:fill="CCEEFF"/>
          </w:tcPr>
          <w:p>
            <w:pPr>
              <w:ind w:left="20"/>
              <w:spacing w:after="0"/>
              <w:rPr>
                <w:sz w:val="20"/>
                <w:szCs w:val="20"/>
                <w:color w:val="auto"/>
              </w:rPr>
            </w:pPr>
            <w:r>
              <w:rPr>
                <w:rFonts w:ascii="Arial" w:cs="Arial" w:eastAsia="Arial" w:hAnsi="Arial"/>
                <w:sz w:val="20"/>
                <w:szCs w:val="20"/>
                <w:color w:val="auto"/>
              </w:rPr>
              <w:t>Diluted:</w:t>
            </w:r>
          </w:p>
        </w:tc>
        <w:tc>
          <w:tcPr>
            <w:tcW w:w="36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3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3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3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1"/>
        </w:trPr>
        <w:tc>
          <w:tcPr>
            <w:tcW w:w="4280" w:type="dxa"/>
            <w:vAlign w:val="bottom"/>
          </w:tcPr>
          <w:p>
            <w:pPr>
              <w:ind w:left="240"/>
              <w:spacing w:after="0" w:line="222" w:lineRule="exact"/>
              <w:rPr>
                <w:sz w:val="20"/>
                <w:szCs w:val="20"/>
                <w:color w:val="auto"/>
              </w:rPr>
            </w:pPr>
            <w:r>
              <w:rPr>
                <w:rFonts w:ascii="Arial" w:cs="Arial" w:eastAsia="Arial" w:hAnsi="Arial"/>
                <w:sz w:val="20"/>
                <w:szCs w:val="20"/>
                <w:color w:val="auto"/>
              </w:rPr>
              <w:t>Effect of restricted stock and performance</w:t>
            </w:r>
          </w:p>
        </w:tc>
        <w:tc>
          <w:tcPr>
            <w:tcW w:w="3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0"/>
        </w:trPr>
        <w:tc>
          <w:tcPr>
            <w:tcW w:w="4280" w:type="dxa"/>
            <w:vAlign w:val="bottom"/>
          </w:tcPr>
          <w:p>
            <w:pPr>
              <w:ind w:left="240"/>
              <w:spacing w:after="0"/>
              <w:rPr>
                <w:sz w:val="20"/>
                <w:szCs w:val="20"/>
                <w:color w:val="auto"/>
              </w:rPr>
            </w:pPr>
            <w:r>
              <w:rPr>
                <w:rFonts w:ascii="Arial" w:cs="Arial" w:eastAsia="Arial" w:hAnsi="Arial"/>
                <w:sz w:val="20"/>
                <w:szCs w:val="20"/>
                <w:color w:val="auto"/>
              </w:rPr>
              <w:t>awards</w:t>
            </w:r>
          </w:p>
        </w:tc>
        <w:tc>
          <w:tcPr>
            <w:tcW w:w="36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Arial" w:cs="Arial" w:eastAsia="Arial" w:hAnsi="Arial"/>
                <w:sz w:val="20"/>
                <w:szCs w:val="20"/>
                <w:color w:val="auto"/>
              </w:rPr>
              <w:t>1,363</w:t>
            </w: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20" w:type="dxa"/>
            <w:vAlign w:val="bottom"/>
          </w:tcPr>
          <w:p>
            <w:pPr>
              <w:jc w:val="right"/>
              <w:spacing w:after="0"/>
              <w:rPr>
                <w:sz w:val="20"/>
                <w:szCs w:val="20"/>
                <w:color w:val="auto"/>
              </w:rPr>
            </w:pPr>
            <w:r>
              <w:rPr>
                <w:rFonts w:ascii="Arial" w:cs="Arial" w:eastAsia="Arial" w:hAnsi="Arial"/>
                <w:sz w:val="20"/>
                <w:szCs w:val="20"/>
                <w:color w:val="auto"/>
              </w:rPr>
              <w:t>—</w:t>
            </w: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320" w:type="dxa"/>
            <w:vAlign w:val="bottom"/>
          </w:tcPr>
          <w:p>
            <w:pPr>
              <w:jc w:val="right"/>
              <w:ind w:right="1"/>
              <w:spacing w:after="0"/>
              <w:rPr>
                <w:sz w:val="20"/>
                <w:szCs w:val="20"/>
                <w:color w:val="auto"/>
              </w:rPr>
            </w:pPr>
            <w:r>
              <w:rPr>
                <w:rFonts w:ascii="Arial" w:cs="Arial" w:eastAsia="Arial" w:hAnsi="Arial"/>
                <w:sz w:val="20"/>
                <w:szCs w:val="20"/>
                <w:color w:val="auto"/>
              </w:rPr>
              <w:t>885</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20" w:type="dxa"/>
            <w:vAlign w:val="bottom"/>
          </w:tcPr>
          <w:p>
            <w:pPr>
              <w:jc w:val="right"/>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83"/>
        </w:trPr>
        <w:tc>
          <w:tcPr>
            <w:tcW w:w="428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20"/>
                <w:szCs w:val="20"/>
                <w:color w:val="auto"/>
              </w:rPr>
              <w:t>Weighted average shares</w:t>
            </w:r>
          </w:p>
        </w:tc>
        <w:tc>
          <w:tcPr>
            <w:tcW w:w="360" w:type="dxa"/>
            <w:vAlign w:val="bottom"/>
            <w:tcBorders>
              <w:bottom w:val="single" w:sz="8" w:color="auto"/>
            </w:tcBorders>
            <w:shd w:val="clear" w:color="auto" w:fill="CCEEFF"/>
          </w:tcPr>
          <w:p>
            <w:pPr>
              <w:spacing w:after="0"/>
              <w:rPr>
                <w:sz w:val="24"/>
                <w:szCs w:val="24"/>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154,090</w:t>
            </w:r>
          </w:p>
        </w:tc>
        <w:tc>
          <w:tcPr>
            <w:tcW w:w="8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auto"/>
            </w:tcBorders>
            <w:shd w:val="clear" w:color="auto" w:fill="CCEEFF"/>
          </w:tcPr>
          <w:p>
            <w:pPr>
              <w:spacing w:after="0"/>
              <w:rPr>
                <w:sz w:val="24"/>
                <w:szCs w:val="24"/>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151,923</w:t>
            </w:r>
          </w:p>
        </w:tc>
        <w:tc>
          <w:tcPr>
            <w:tcW w:w="8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spacing w:after="0"/>
              <w:rPr>
                <w:sz w:val="24"/>
                <w:szCs w:val="24"/>
                <w:color w:val="auto"/>
              </w:rPr>
            </w:pPr>
          </w:p>
        </w:tc>
        <w:tc>
          <w:tcPr>
            <w:tcW w:w="13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20"/>
                <w:szCs w:val="20"/>
                <w:color w:val="auto"/>
              </w:rPr>
              <w:t>153,350</w:t>
            </w:r>
          </w:p>
        </w:tc>
        <w:tc>
          <w:tcPr>
            <w:tcW w:w="8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spacing w:after="0"/>
              <w:rPr>
                <w:sz w:val="24"/>
                <w:szCs w:val="24"/>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151,691</w:t>
            </w:r>
          </w:p>
        </w:tc>
        <w:tc>
          <w:tcPr>
            <w:tcW w:w="0" w:type="dxa"/>
            <w:vAlign w:val="bottom"/>
          </w:tcPr>
          <w:p>
            <w:pPr>
              <w:spacing w:after="0"/>
              <w:rPr>
                <w:sz w:val="1"/>
                <w:szCs w:val="1"/>
                <w:color w:val="auto"/>
              </w:rPr>
            </w:pPr>
          </w:p>
        </w:tc>
      </w:tr>
      <w:tr>
        <w:trPr>
          <w:trHeight w:val="20"/>
        </w:trPr>
        <w:tc>
          <w:tcPr>
            <w:tcW w:w="42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8"/>
        </w:trPr>
        <w:tc>
          <w:tcPr>
            <w:tcW w:w="4280" w:type="dxa"/>
            <w:vAlign w:val="bottom"/>
          </w:tcPr>
          <w:p>
            <w:pPr>
              <w:ind w:left="240"/>
              <w:spacing w:after="0"/>
              <w:rPr>
                <w:sz w:val="20"/>
                <w:szCs w:val="20"/>
                <w:color w:val="auto"/>
              </w:rPr>
            </w:pPr>
            <w:r>
              <w:rPr>
                <w:rFonts w:ascii="Arial" w:cs="Arial" w:eastAsia="Arial" w:hAnsi="Arial"/>
                <w:sz w:val="20"/>
                <w:szCs w:val="20"/>
                <w:color w:val="auto"/>
              </w:rPr>
              <w:t>Income (loss) per share</w:t>
            </w:r>
          </w:p>
        </w:tc>
        <w:tc>
          <w:tcPr>
            <w:tcW w:w="360" w:type="dxa"/>
            <w:vAlign w:val="bottom"/>
          </w:tcPr>
          <w:p>
            <w:pPr>
              <w:jc w:val="right"/>
              <w:ind w:right="161"/>
              <w:spacing w:after="0"/>
              <w:rPr>
                <w:sz w:val="20"/>
                <w:szCs w:val="20"/>
                <w:color w:val="auto"/>
              </w:rPr>
            </w:pPr>
            <w:r>
              <w:rPr>
                <w:rFonts w:ascii="Arial" w:cs="Arial" w:eastAsia="Arial" w:hAnsi="Arial"/>
                <w:sz w:val="20"/>
                <w:szCs w:val="20"/>
                <w:color w:val="auto"/>
                <w:w w:val="71"/>
              </w:rPr>
              <w:t>$</w:t>
            </w:r>
          </w:p>
        </w:tc>
        <w:tc>
          <w:tcPr>
            <w:tcW w:w="1300" w:type="dxa"/>
            <w:vAlign w:val="bottom"/>
          </w:tcPr>
          <w:p>
            <w:pPr>
              <w:jc w:val="right"/>
              <w:spacing w:after="0"/>
              <w:rPr>
                <w:sz w:val="20"/>
                <w:szCs w:val="20"/>
                <w:color w:val="auto"/>
              </w:rPr>
            </w:pPr>
            <w:r>
              <w:rPr>
                <w:rFonts w:ascii="Arial" w:cs="Arial" w:eastAsia="Arial" w:hAnsi="Arial"/>
                <w:sz w:val="20"/>
                <w:szCs w:val="20"/>
                <w:color w:val="auto"/>
              </w:rPr>
              <w:t>0.12</w:t>
            </w:r>
          </w:p>
        </w:tc>
        <w:tc>
          <w:tcPr>
            <w:tcW w:w="80" w:type="dxa"/>
            <w:vAlign w:val="bottom"/>
          </w:tcPr>
          <w:p>
            <w:pPr>
              <w:spacing w:after="0"/>
              <w:rPr>
                <w:sz w:val="22"/>
                <w:szCs w:val="22"/>
                <w:color w:val="auto"/>
              </w:rPr>
            </w:pPr>
          </w:p>
        </w:tc>
        <w:tc>
          <w:tcPr>
            <w:tcW w:w="380" w:type="dxa"/>
            <w:vAlign w:val="bottom"/>
          </w:tcPr>
          <w:p>
            <w:pPr>
              <w:jc w:val="right"/>
              <w:ind w:right="161"/>
              <w:spacing w:after="0"/>
              <w:rPr>
                <w:sz w:val="20"/>
                <w:szCs w:val="20"/>
                <w:color w:val="auto"/>
              </w:rPr>
            </w:pPr>
            <w:r>
              <w:rPr>
                <w:rFonts w:ascii="Arial" w:cs="Arial" w:eastAsia="Arial" w:hAnsi="Arial"/>
                <w:sz w:val="20"/>
                <w:szCs w:val="20"/>
                <w:color w:val="auto"/>
                <w:w w:val="89"/>
              </w:rPr>
              <w:t>$</w:t>
            </w:r>
          </w:p>
        </w:tc>
        <w:tc>
          <w:tcPr>
            <w:tcW w:w="1320" w:type="dxa"/>
            <w:vAlign w:val="bottom"/>
          </w:tcPr>
          <w:p>
            <w:pPr>
              <w:jc w:val="right"/>
              <w:spacing w:after="0"/>
              <w:rPr>
                <w:sz w:val="20"/>
                <w:szCs w:val="20"/>
                <w:color w:val="auto"/>
              </w:rPr>
            </w:pPr>
            <w:r>
              <w:rPr>
                <w:rFonts w:ascii="Arial" w:cs="Arial" w:eastAsia="Arial" w:hAnsi="Arial"/>
                <w:sz w:val="20"/>
                <w:szCs w:val="20"/>
                <w:color w:val="auto"/>
              </w:rPr>
              <w:t>(1.02)</w:t>
            </w:r>
          </w:p>
        </w:tc>
        <w:tc>
          <w:tcPr>
            <w:tcW w:w="440" w:type="dxa"/>
            <w:vAlign w:val="bottom"/>
            <w:gridSpan w:val="2"/>
          </w:tcPr>
          <w:p>
            <w:pPr>
              <w:jc w:val="right"/>
              <w:ind w:right="161"/>
              <w:spacing w:after="0"/>
              <w:rPr>
                <w:sz w:val="20"/>
                <w:szCs w:val="20"/>
                <w:color w:val="auto"/>
              </w:rPr>
            </w:pPr>
            <w:r>
              <w:rPr>
                <w:rFonts w:ascii="Arial" w:cs="Arial" w:eastAsia="Arial" w:hAnsi="Arial"/>
                <w:sz w:val="20"/>
                <w:szCs w:val="20"/>
                <w:color w:val="auto"/>
              </w:rPr>
              <w:t>$</w:t>
            </w:r>
          </w:p>
        </w:tc>
        <w:tc>
          <w:tcPr>
            <w:tcW w:w="1320" w:type="dxa"/>
            <w:vAlign w:val="bottom"/>
          </w:tcPr>
          <w:p>
            <w:pPr>
              <w:jc w:val="right"/>
              <w:ind w:right="1"/>
              <w:spacing w:after="0"/>
              <w:rPr>
                <w:sz w:val="20"/>
                <w:szCs w:val="20"/>
                <w:color w:val="auto"/>
              </w:rPr>
            </w:pPr>
            <w:r>
              <w:rPr>
                <w:rFonts w:ascii="Arial" w:cs="Arial" w:eastAsia="Arial" w:hAnsi="Arial"/>
                <w:sz w:val="20"/>
                <w:szCs w:val="20"/>
                <w:color w:val="auto"/>
              </w:rPr>
              <w:t>0.32</w:t>
            </w:r>
          </w:p>
        </w:tc>
        <w:tc>
          <w:tcPr>
            <w:tcW w:w="80" w:type="dxa"/>
            <w:vAlign w:val="bottom"/>
          </w:tcPr>
          <w:p>
            <w:pPr>
              <w:spacing w:after="0"/>
              <w:rPr>
                <w:sz w:val="22"/>
                <w:szCs w:val="22"/>
                <w:color w:val="auto"/>
              </w:rPr>
            </w:pPr>
          </w:p>
        </w:tc>
        <w:tc>
          <w:tcPr>
            <w:tcW w:w="360" w:type="dxa"/>
            <w:vAlign w:val="bottom"/>
            <w:gridSpan w:val="2"/>
          </w:tcPr>
          <w:p>
            <w:pPr>
              <w:jc w:val="right"/>
              <w:ind w:right="161"/>
              <w:spacing w:after="0"/>
              <w:rPr>
                <w:sz w:val="20"/>
                <w:szCs w:val="20"/>
                <w:color w:val="auto"/>
              </w:rPr>
            </w:pPr>
            <w:r>
              <w:rPr>
                <w:rFonts w:ascii="Arial" w:cs="Arial" w:eastAsia="Arial" w:hAnsi="Arial"/>
                <w:sz w:val="20"/>
                <w:szCs w:val="20"/>
                <w:color w:val="auto"/>
                <w:w w:val="71"/>
              </w:rPr>
              <w:t>$</w:t>
            </w:r>
          </w:p>
        </w:tc>
        <w:tc>
          <w:tcPr>
            <w:tcW w:w="1320" w:type="dxa"/>
            <w:vAlign w:val="bottom"/>
          </w:tcPr>
          <w:p>
            <w:pPr>
              <w:jc w:val="right"/>
              <w:spacing w:after="0"/>
              <w:rPr>
                <w:sz w:val="20"/>
                <w:szCs w:val="20"/>
                <w:color w:val="auto"/>
              </w:rPr>
            </w:pPr>
            <w:r>
              <w:rPr>
                <w:rFonts w:ascii="Arial" w:cs="Arial" w:eastAsia="Arial" w:hAnsi="Arial"/>
                <w:sz w:val="20"/>
                <w:szCs w:val="20"/>
                <w:color w:val="auto"/>
              </w:rPr>
              <w:t>(1.02)</w:t>
            </w:r>
          </w:p>
        </w:tc>
        <w:tc>
          <w:tcPr>
            <w:tcW w:w="0" w:type="dxa"/>
            <w:vAlign w:val="bottom"/>
          </w:tcPr>
          <w:p>
            <w:pPr>
              <w:spacing w:after="0"/>
              <w:rPr>
                <w:sz w:val="1"/>
                <w:szCs w:val="1"/>
                <w:color w:val="auto"/>
              </w:rPr>
            </w:pPr>
          </w:p>
        </w:tc>
      </w:tr>
      <w:tr>
        <w:trPr>
          <w:trHeight w:val="20"/>
        </w:trPr>
        <w:tc>
          <w:tcPr>
            <w:tcW w:w="42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29" w:lineRule="exact"/>
        <w:rPr>
          <w:sz w:val="20"/>
          <w:szCs w:val="20"/>
          <w:color w:val="auto"/>
        </w:rPr>
      </w:pPr>
    </w:p>
    <w:p>
      <w:pPr>
        <w:jc w:val="both"/>
        <w:spacing w:after="0" w:line="266" w:lineRule="auto"/>
        <w:rPr>
          <w:sz w:val="20"/>
          <w:szCs w:val="20"/>
          <w:color w:val="auto"/>
        </w:rPr>
      </w:pPr>
      <w:r>
        <w:rPr>
          <w:rFonts w:ascii="Arial" w:cs="Arial" w:eastAsia="Arial" w:hAnsi="Arial"/>
          <w:sz w:val="20"/>
          <w:szCs w:val="20"/>
          <w:color w:val="auto"/>
        </w:rPr>
        <w:t>Potentially dilutive common shares issuable pursuant to equity-based awards of 720,294 and 1,241,815 were excluded from the computation of diluted earnings per share for the three and nine months ended September 30, 2025, respectively, as their effect would have been antidilutive. Since the Company was in a loss position for the three and nine months ended September 30, 2024, basic net loss per share to common shareholders is the same as diluted net loss per share to common stockholders, as the inclusion of all potential shares of common stock outstanding would have been anti-dilutive. As such, 3,834,690 shares of common stock equivalents were excluded from the calculation of diluted net loss per share during the three and nine months ended September 30, 2024, as they had an antidilutive effect.</w:t>
      </w:r>
    </w:p>
    <w:p>
      <w:pPr>
        <w:spacing w:after="0" w:line="200" w:lineRule="exact"/>
        <w:rPr>
          <w:sz w:val="20"/>
          <w:szCs w:val="20"/>
          <w:color w:val="auto"/>
        </w:rPr>
      </w:pPr>
    </w:p>
    <w:p>
      <w:pPr>
        <w:jc w:val="both"/>
        <w:spacing w:after="0" w:line="276" w:lineRule="auto"/>
        <w:rPr>
          <w:sz w:val="20"/>
          <w:szCs w:val="20"/>
          <w:color w:val="auto"/>
        </w:rPr>
      </w:pPr>
      <w:r>
        <w:rPr>
          <w:rFonts w:ascii="Arial" w:cs="Arial" w:eastAsia="Arial" w:hAnsi="Arial"/>
          <w:sz w:val="20"/>
          <w:szCs w:val="20"/>
          <w:color w:val="auto"/>
        </w:rPr>
        <w:t>In addition, there were no potentially dilutive common shares issuable pursuant to the Convertible Notes for both the nine months ended September 30, 2025 and 2024, as the average market price of the Company’s common stock did not exceed the applicable conversion price during those periods.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4" w:name="page35"/>
    <w:bookmarkEnd w:id="34"/>
    <w:p>
      <w:pPr>
        <w:spacing w:after="0" w:line="310" w:lineRule="exact"/>
        <w:rPr>
          <w:sz w:val="20"/>
          <w:szCs w:val="20"/>
          <w:color w:val="auto"/>
        </w:rPr>
      </w:pPr>
    </w:p>
    <w:p>
      <w:pPr>
        <w:ind w:left="500" w:hanging="492"/>
        <w:spacing w:after="0"/>
        <w:tabs>
          <w:tab w:leader="none" w:pos="500" w:val="left"/>
        </w:tabs>
        <w:numPr>
          <w:ilvl w:val="0"/>
          <w:numId w:val="18"/>
        </w:numPr>
        <w:rPr>
          <w:rFonts w:ascii="Arial" w:cs="Arial" w:eastAsia="Arial" w:hAnsi="Arial"/>
          <w:sz w:val="20"/>
          <w:szCs w:val="20"/>
          <w:b w:val="1"/>
          <w:bCs w:val="1"/>
          <w:color w:val="auto"/>
        </w:rPr>
      </w:pPr>
      <w:r>
        <w:rPr>
          <w:rFonts w:ascii="Arial" w:cs="Arial" w:eastAsia="Arial" w:hAnsi="Arial"/>
          <w:sz w:val="20"/>
          <w:szCs w:val="20"/>
          <w:b w:val="1"/>
          <w:bCs w:val="1"/>
          <w:color w:val="auto"/>
        </w:rPr>
        <w:t>Commitments and Contingencies</w:t>
      </w:r>
    </w:p>
    <w:p>
      <w:pPr>
        <w:spacing w:after="0" w:line="25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Legal Proceedings</w:t>
      </w:r>
    </w:p>
    <w:p>
      <w:pPr>
        <w:spacing w:after="0" w:line="137" w:lineRule="exact"/>
        <w:rPr>
          <w:sz w:val="20"/>
          <w:szCs w:val="20"/>
          <w:color w:val="auto"/>
        </w:rPr>
      </w:pPr>
    </w:p>
    <w:p>
      <w:pPr>
        <w:jc w:val="both"/>
        <w:spacing w:after="0" w:line="269" w:lineRule="auto"/>
        <w:rPr>
          <w:sz w:val="20"/>
          <w:szCs w:val="20"/>
          <w:color w:val="auto"/>
        </w:rPr>
      </w:pPr>
      <w:r>
        <w:rPr>
          <w:rFonts w:ascii="Arial" w:cs="Arial" w:eastAsia="Arial" w:hAnsi="Arial"/>
          <w:sz w:val="20"/>
          <w:szCs w:val="20"/>
          <w:color w:val="auto"/>
        </w:rPr>
        <w:t>The Company, in the normal course of business, is subject to claims and litigation. The Company reviews the status of each matter and assesses its potential financial exposure. If the potential loss from any claim or legal proceeding is considered probable and the amount can be reasonably estimated, the Company would accrue a liability for the estimated loss.</w:t>
      </w:r>
    </w:p>
    <w:p>
      <w:pPr>
        <w:spacing w:after="0" w:line="212" w:lineRule="exact"/>
        <w:rPr>
          <w:sz w:val="20"/>
          <w:szCs w:val="20"/>
          <w:color w:val="auto"/>
        </w:rPr>
      </w:pPr>
    </w:p>
    <w:p>
      <w:pPr>
        <w:jc w:val="both"/>
        <w:spacing w:after="0" w:line="263" w:lineRule="auto"/>
        <w:rPr>
          <w:sz w:val="20"/>
          <w:szCs w:val="20"/>
          <w:color w:val="auto"/>
        </w:rPr>
      </w:pPr>
      <w:r>
        <w:rPr>
          <w:rFonts w:ascii="Arial" w:cs="Arial" w:eastAsia="Arial" w:hAnsi="Arial"/>
          <w:sz w:val="20"/>
          <w:szCs w:val="20"/>
          <w:color w:val="auto"/>
        </w:rPr>
        <w:t>On May 14, 2021, a putative class action (the “Plymouth Action”) was filed in the U.S. District Court for the Southern District of New York against the Company and certain officers and directors alleging violations of Sections 10(b) and 20(a) of the Securities Exchange Act of 1934, as amended (the “Exchange Act”), and Rule 10b-5, promulgated thereunder, and Sections 11, 12(a)(2) and 15 of the Securities Act of 1933, as amended (the “Securities Act”). The complaint alleges misstatements and/or omissions in the Company’s registration statements and prospectuses related to the Company’s October 2020 initial public offering, the Company’s December 2020 offering, and the Company’s March 2021 offering during the putative class period of October 14, 2020 through May 11, 2021. A consolidated amended class action complaint was filed on December 7, 2021 with additional allegations regarding misstatements and/or omissions in: (1) in the Company’s Annual Report on Form 10-K and associated press release announcing results for the fourth quarter and full fiscal year 2020; and (2) in the Company’s November 5, 2020 and March 9, 2021 earnings calls.</w:t>
      </w:r>
    </w:p>
    <w:p>
      <w:pPr>
        <w:spacing w:after="0" w:line="220" w:lineRule="exact"/>
        <w:rPr>
          <w:sz w:val="20"/>
          <w:szCs w:val="20"/>
          <w:color w:val="auto"/>
        </w:rPr>
      </w:pPr>
    </w:p>
    <w:p>
      <w:pPr>
        <w:jc w:val="both"/>
        <w:spacing w:after="0" w:line="290" w:lineRule="auto"/>
        <w:rPr>
          <w:sz w:val="20"/>
          <w:szCs w:val="20"/>
          <w:color w:val="auto"/>
        </w:rPr>
      </w:pPr>
      <w:r>
        <w:rPr>
          <w:rFonts w:ascii="Arial" w:cs="Arial" w:eastAsia="Arial" w:hAnsi="Arial"/>
          <w:sz w:val="19"/>
          <w:szCs w:val="19"/>
          <w:color w:val="auto"/>
        </w:rPr>
        <w:t>On June 30, 2021, a substantially similar second putative class action was filed in the Southern District of New York against the Company and certain officers and directors alleging violations of Sections 10(b) and 20(a) of the Exchange Act, and Rule 10b-5, promulgated thereunder, and Sections 11 and 15 of the Securities Act, which was consolidated with the Plymouth Action.</w:t>
      </w:r>
    </w:p>
    <w:p>
      <w:pPr>
        <w:spacing w:after="0" w:line="193" w:lineRule="exact"/>
        <w:rPr>
          <w:sz w:val="20"/>
          <w:szCs w:val="20"/>
          <w:color w:val="auto"/>
        </w:rPr>
      </w:pPr>
    </w:p>
    <w:p>
      <w:pPr>
        <w:jc w:val="both"/>
        <w:spacing w:after="0" w:line="269" w:lineRule="auto"/>
        <w:rPr>
          <w:sz w:val="20"/>
          <w:szCs w:val="20"/>
          <w:color w:val="auto"/>
        </w:rPr>
      </w:pPr>
      <w:r>
        <w:rPr>
          <w:rFonts w:ascii="Arial" w:cs="Arial" w:eastAsia="Arial" w:hAnsi="Arial"/>
          <w:sz w:val="20"/>
          <w:szCs w:val="20"/>
          <w:color w:val="auto"/>
        </w:rPr>
        <w:t>All Defendants in the Plymouth Action, including the Company, moved to dismiss the consolidated amended complaint. On May 19, 2023, the court granted the Company’s motion to dismiss and, on July 5, 2023, denied a request from the Plymouth Action plaintiffs for leave to amend the consolidated amended complaint and dismissed the Plymouth Action in its entirety with prejudice.</w:t>
      </w:r>
    </w:p>
    <w:p>
      <w:pPr>
        <w:spacing w:after="0" w:line="197" w:lineRule="exact"/>
        <w:rPr>
          <w:sz w:val="20"/>
          <w:szCs w:val="20"/>
          <w:color w:val="auto"/>
        </w:rPr>
      </w:pPr>
    </w:p>
    <w:p>
      <w:pPr>
        <w:jc w:val="both"/>
        <w:spacing w:after="0" w:line="276" w:lineRule="auto"/>
        <w:rPr>
          <w:sz w:val="20"/>
          <w:szCs w:val="20"/>
          <w:color w:val="auto"/>
        </w:rPr>
      </w:pPr>
      <w:r>
        <w:rPr>
          <w:rFonts w:ascii="Arial" w:cs="Arial" w:eastAsia="Arial" w:hAnsi="Arial"/>
          <w:sz w:val="20"/>
          <w:szCs w:val="20"/>
          <w:color w:val="auto"/>
        </w:rPr>
        <w:t>On August 4, 2023, the lead plaintiffs filed a notice of appeal of the court’s dismissal of the consolidated amended complaint to the U.S. Court of Appeals for the Second Circuit. After full briefing, the court of appeals heard oral argument on June 26, 2024 and the case is still pending decision by the court.</w:t>
      </w:r>
    </w:p>
    <w:p>
      <w:pPr>
        <w:spacing w:after="0" w:line="192" w:lineRule="exact"/>
        <w:rPr>
          <w:sz w:val="20"/>
          <w:szCs w:val="20"/>
          <w:color w:val="auto"/>
        </w:rPr>
      </w:pPr>
    </w:p>
    <w:p>
      <w:pPr>
        <w:jc w:val="both"/>
        <w:spacing w:after="0" w:line="269" w:lineRule="auto"/>
        <w:rPr>
          <w:sz w:val="20"/>
          <w:szCs w:val="20"/>
          <w:color w:val="auto"/>
        </w:rPr>
      </w:pPr>
      <w:r>
        <w:rPr>
          <w:rFonts w:ascii="Arial" w:cs="Arial" w:eastAsia="Arial" w:hAnsi="Arial"/>
          <w:sz w:val="20"/>
          <w:szCs w:val="20"/>
          <w:color w:val="auto"/>
        </w:rPr>
        <w:t>On July 16, 2021, a verified derivative complaint was filed in the Southern District of New York against certain officers and directors of the Company. The complaint alleges: (1) violations of Section 14(a) of the Exchange Act for misleading proxy statements, (2) breach of fiduciary duty, (3) unjust enrichment, (4) abuse of control, (5) gross mismanagement, (6) corporate waste, (7) aiding and abetting breach of fiduciary duty, and (8) contribution under sections 10(b) and 21D of the Exchange Act.</w:t>
      </w:r>
    </w:p>
    <w:p>
      <w:pPr>
        <w:spacing w:after="0" w:line="197" w:lineRule="exact"/>
        <w:rPr>
          <w:sz w:val="20"/>
          <w:szCs w:val="20"/>
          <w:color w:val="auto"/>
        </w:rPr>
      </w:pPr>
    </w:p>
    <w:p>
      <w:pPr>
        <w:jc w:val="both"/>
        <w:spacing w:after="0" w:line="269" w:lineRule="auto"/>
        <w:rPr>
          <w:sz w:val="20"/>
          <w:szCs w:val="20"/>
          <w:color w:val="auto"/>
        </w:rPr>
      </w:pPr>
      <w:r>
        <w:rPr>
          <w:rFonts w:ascii="Arial" w:cs="Arial" w:eastAsia="Arial" w:hAnsi="Arial"/>
          <w:sz w:val="20"/>
          <w:szCs w:val="20"/>
          <w:color w:val="auto"/>
        </w:rPr>
        <w:t>On July 30, 2021, a second verified derivative complaint was filed in the Southern District of New York against certain officers and directors of the Company. The complaint alleges: (1) violations of Section 14(a) of the Exchange Act for causing the issuance of a false/misleading proxy statement, (2) breach of fiduciary duty, and (3) aiding and abetting breaches of fiduciary duty.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78105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5" w:name="page36"/>
    <w:bookmarkEnd w:id="35"/>
    <w:p>
      <w:pPr>
        <w:spacing w:after="0" w:line="312" w:lineRule="exact"/>
        <w:rPr>
          <w:sz w:val="20"/>
          <w:szCs w:val="20"/>
          <w:color w:val="auto"/>
        </w:rPr>
      </w:pPr>
    </w:p>
    <w:p>
      <w:pPr>
        <w:jc w:val="both"/>
        <w:spacing w:after="0" w:line="286" w:lineRule="auto"/>
        <w:rPr>
          <w:sz w:val="20"/>
          <w:szCs w:val="20"/>
          <w:color w:val="auto"/>
        </w:rPr>
      </w:pPr>
      <w:r>
        <w:rPr>
          <w:rFonts w:ascii="Arial" w:cs="Arial" w:eastAsia="Arial" w:hAnsi="Arial"/>
          <w:sz w:val="20"/>
          <w:szCs w:val="20"/>
          <w:color w:val="auto"/>
        </w:rPr>
        <w:t>On August 24, 2021, the Southern District of New York derivative actions were consolidated, and the court appointed co-lead counsel. The consolidated cases remain stayed pending the outcome of the appeal of the Plymouth Action.</w:t>
      </w:r>
    </w:p>
    <w:p>
      <w:pPr>
        <w:spacing w:after="0" w:line="194" w:lineRule="exact"/>
        <w:rPr>
          <w:sz w:val="20"/>
          <w:szCs w:val="20"/>
          <w:color w:val="auto"/>
        </w:rPr>
      </w:pPr>
    </w:p>
    <w:p>
      <w:pPr>
        <w:jc w:val="both"/>
        <w:ind w:right="20"/>
        <w:spacing w:after="0" w:line="286" w:lineRule="auto"/>
        <w:rPr>
          <w:sz w:val="20"/>
          <w:szCs w:val="20"/>
          <w:color w:val="auto"/>
        </w:rPr>
      </w:pPr>
      <w:r>
        <w:rPr>
          <w:rFonts w:ascii="Arial" w:cs="Arial" w:eastAsia="Arial" w:hAnsi="Arial"/>
          <w:sz w:val="20"/>
          <w:szCs w:val="20"/>
          <w:color w:val="auto"/>
        </w:rPr>
        <w:t>On August 3, 2022, a verified derivative complaint was filed in the Court of Chancery of the State of Delaware against certain officers and directors of the Company, asserting claims for: (1) breach of fiduciary duty and (2) unjust enrichment.</w:t>
      </w:r>
    </w:p>
    <w:p>
      <w:pPr>
        <w:spacing w:after="0" w:line="181" w:lineRule="exact"/>
        <w:rPr>
          <w:sz w:val="20"/>
          <w:szCs w:val="20"/>
          <w:color w:val="auto"/>
        </w:rPr>
      </w:pPr>
    </w:p>
    <w:p>
      <w:pPr>
        <w:jc w:val="both"/>
        <w:spacing w:after="0" w:line="276" w:lineRule="auto"/>
        <w:rPr>
          <w:sz w:val="20"/>
          <w:szCs w:val="20"/>
          <w:color w:val="auto"/>
        </w:rPr>
      </w:pPr>
      <w:r>
        <w:rPr>
          <w:rFonts w:ascii="Arial" w:cs="Arial" w:eastAsia="Arial" w:hAnsi="Arial"/>
          <w:sz w:val="20"/>
          <w:szCs w:val="20"/>
          <w:color w:val="auto"/>
        </w:rPr>
        <w:t>On August 11, 2022, a second verified derivative complaint was filed with the Court of Chancery against certain officers and directors of the Company, asserting claims for: (1) breach of fiduciary duty; (2) aiding and abetting breaches of fiduciary duty; (3) waste of corporate assets; (4) unjust enrichment; (5) insider selling; and (6) aiding and abetting insider selling.</w:t>
      </w:r>
    </w:p>
    <w:p>
      <w:pPr>
        <w:spacing w:after="0" w:line="192" w:lineRule="exact"/>
        <w:rPr>
          <w:sz w:val="20"/>
          <w:szCs w:val="20"/>
          <w:color w:val="auto"/>
        </w:rPr>
      </w:pPr>
    </w:p>
    <w:p>
      <w:pPr>
        <w:jc w:val="both"/>
        <w:spacing w:after="0" w:line="300" w:lineRule="auto"/>
        <w:rPr>
          <w:sz w:val="20"/>
          <w:szCs w:val="20"/>
          <w:color w:val="auto"/>
        </w:rPr>
      </w:pPr>
      <w:r>
        <w:rPr>
          <w:rFonts w:ascii="Arial" w:cs="Arial" w:eastAsia="Arial" w:hAnsi="Arial"/>
          <w:sz w:val="20"/>
          <w:szCs w:val="20"/>
          <w:color w:val="auto"/>
        </w:rPr>
        <w:t>On September 2, 2022, the derivative cases with the Court of Chancery were consolidated and the court appointed co-lead counsel. The consolidated cases remain stayed pending the outcome of the appeal of the Plymouth Action.</w:t>
      </w:r>
    </w:p>
    <w:p>
      <w:pPr>
        <w:spacing w:after="0" w:line="168" w:lineRule="exact"/>
        <w:rPr>
          <w:sz w:val="20"/>
          <w:szCs w:val="20"/>
          <w:color w:val="auto"/>
        </w:rPr>
      </w:pPr>
    </w:p>
    <w:p>
      <w:pPr>
        <w:jc w:val="both"/>
        <w:spacing w:after="0" w:line="276" w:lineRule="auto"/>
        <w:rPr>
          <w:sz w:val="20"/>
          <w:szCs w:val="20"/>
          <w:color w:val="auto"/>
        </w:rPr>
      </w:pPr>
      <w:r>
        <w:rPr>
          <w:rFonts w:ascii="Arial" w:cs="Arial" w:eastAsia="Arial" w:hAnsi="Arial"/>
          <w:sz w:val="20"/>
          <w:szCs w:val="20"/>
          <w:color w:val="auto"/>
        </w:rPr>
        <w:t>The Company continues to believe the claims alleged in the actions are without merit and intends to continue to vigorously defend its position in these matters. The Company has not recorded any material loss contingency in the condensed consolidated balance sheets as of September 30, 2025.</w:t>
      </w:r>
    </w:p>
    <w:p>
      <w:pPr>
        <w:spacing w:after="0" w:line="192" w:lineRule="exact"/>
        <w:rPr>
          <w:sz w:val="20"/>
          <w:szCs w:val="20"/>
          <w:color w:val="auto"/>
        </w:rPr>
      </w:pPr>
    </w:p>
    <w:p>
      <w:pPr>
        <w:jc w:val="both"/>
        <w:spacing w:after="0" w:line="263" w:lineRule="auto"/>
        <w:rPr>
          <w:sz w:val="20"/>
          <w:szCs w:val="20"/>
          <w:color w:val="auto"/>
        </w:rPr>
      </w:pPr>
      <w:r>
        <w:rPr>
          <w:rFonts w:ascii="Arial" w:cs="Arial" w:eastAsia="Arial" w:hAnsi="Arial"/>
          <w:sz w:val="20"/>
          <w:szCs w:val="20"/>
          <w:color w:val="auto"/>
        </w:rPr>
        <w:t>The Company is party to various other legal proceedings, claims, governmental and/or regulatory inspections, inquiries and investigations arising out of the ordinary course of its business. The Company believes that there are no other proceedings or claims pending against it, the ultimate resolution of which could have a material adverse effect on its financial condition or results of operations. In all cases, at each reporting period, the Company evaluates whether or not a potential loss amount or a potential range of loss is probable and reasonably estimable under ASC 450, Contingencies (ASC 450). Legal costs are expensed as incurred. It is possible that future results for any particular quarter or annual period may be materially affected by changes in our assumption or the effectiveness of the Company’s strategies relating to these proceedings.</w:t>
      </w:r>
    </w:p>
    <w:p>
      <w:pPr>
        <w:spacing w:after="0" w:line="20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Contingent Consideration</w:t>
      </w:r>
    </w:p>
    <w:p>
      <w:pPr>
        <w:spacing w:after="0" w:line="137"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Tax Receivable Agreement</w:t>
      </w:r>
    </w:p>
    <w:p>
      <w:pPr>
        <w:spacing w:after="0" w:line="121" w:lineRule="exact"/>
        <w:rPr>
          <w:sz w:val="20"/>
          <w:szCs w:val="20"/>
          <w:color w:val="auto"/>
        </w:rPr>
      </w:pPr>
    </w:p>
    <w:p>
      <w:pPr>
        <w:jc w:val="both"/>
        <w:spacing w:after="0" w:line="262" w:lineRule="auto"/>
        <w:rPr>
          <w:sz w:val="20"/>
          <w:szCs w:val="20"/>
          <w:color w:val="auto"/>
        </w:rPr>
      </w:pPr>
      <w:r>
        <w:rPr>
          <w:rFonts w:ascii="Arial" w:cs="Arial" w:eastAsia="Arial" w:hAnsi="Arial"/>
          <w:sz w:val="20"/>
          <w:szCs w:val="20"/>
          <w:color w:val="auto"/>
        </w:rPr>
        <w:t>Concurrent with the Former Parent’s acquisition of Array Technologies Patent Holdings Co., LLC on July 8, 2016, the Company’s operating subsidiary, Array Tech, Inc. (f/k/a Array Technologies, Inc.), entered into a tax receivable agreement (the “TRA”) with the former majority shareholder of Array Tech, Inc. The TRA is valued based on the future expected payments under the agreement. The TRA provides for the payment by Array Tech, Inc., to the former owners for certain federal, state, local and non-U.S. tax benefits deemed realized in post-closing taxable periods by Array Tech, Inc., from the use of certain deductions generated by the increase in the tax value of the developed technology. The TRA is accounted for as contingent consideration and subsequent changes in fair value of the contingent liability are recognized in contingent consideration on the condensed consolidated statements of operations. As of September 30, 2025 and December 31, 2024, the fair value of the TRA was $8.5 million and $9.1 million, respectively.</w:t>
      </w:r>
    </w:p>
    <w:p>
      <w:pPr>
        <w:spacing w:after="0" w:line="211" w:lineRule="exact"/>
        <w:rPr>
          <w:sz w:val="20"/>
          <w:szCs w:val="20"/>
          <w:color w:val="auto"/>
        </w:rPr>
      </w:pPr>
    </w:p>
    <w:p>
      <w:pPr>
        <w:jc w:val="both"/>
        <w:spacing w:after="0" w:line="276" w:lineRule="auto"/>
        <w:rPr>
          <w:sz w:val="20"/>
          <w:szCs w:val="20"/>
          <w:color w:val="auto"/>
        </w:rPr>
      </w:pPr>
      <w:r>
        <w:rPr>
          <w:rFonts w:ascii="Arial" w:cs="Arial" w:eastAsia="Arial" w:hAnsi="Arial"/>
          <w:sz w:val="20"/>
          <w:szCs w:val="20"/>
          <w:color w:val="auto"/>
        </w:rPr>
        <w:t>The TRA liability is valued using a Monte-Carlo simulation method as of the end of each reporting period. Estimating the amount of payments that may be made under the TRA is by nature imprecise. The significant fair value inputs used to estimate the future expected TRA payments to the former owners include the timing of</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78105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6" w:name="page37"/>
    <w:bookmarkEnd w:id="36"/>
    <w:p>
      <w:pPr>
        <w:spacing w:after="0" w:line="312" w:lineRule="exact"/>
        <w:rPr>
          <w:sz w:val="20"/>
          <w:szCs w:val="20"/>
          <w:color w:val="auto"/>
        </w:rPr>
      </w:pPr>
    </w:p>
    <w:p>
      <w:pPr>
        <w:jc w:val="both"/>
        <w:spacing w:after="0" w:line="286" w:lineRule="auto"/>
        <w:rPr>
          <w:sz w:val="20"/>
          <w:szCs w:val="20"/>
          <w:color w:val="auto"/>
        </w:rPr>
      </w:pPr>
      <w:r>
        <w:rPr>
          <w:rFonts w:ascii="Arial" w:cs="Arial" w:eastAsia="Arial" w:hAnsi="Arial"/>
          <w:sz w:val="20"/>
          <w:szCs w:val="20"/>
          <w:color w:val="auto"/>
        </w:rPr>
        <w:t>tax payments, a discount rate, book income projections, timing of expected adjustments to calculate taxable income and the projected rate of use for attributes defined in the TRA.</w:t>
      </w:r>
    </w:p>
    <w:p>
      <w:pPr>
        <w:spacing w:after="0" w:line="194" w:lineRule="exact"/>
        <w:rPr>
          <w:sz w:val="20"/>
          <w:szCs w:val="20"/>
          <w:color w:val="auto"/>
        </w:rPr>
      </w:pPr>
    </w:p>
    <w:p>
      <w:pPr>
        <w:jc w:val="both"/>
        <w:spacing w:after="0" w:line="269" w:lineRule="auto"/>
        <w:rPr>
          <w:sz w:val="20"/>
          <w:szCs w:val="20"/>
          <w:color w:val="auto"/>
        </w:rPr>
      </w:pPr>
      <w:r>
        <w:rPr>
          <w:rFonts w:ascii="Arial" w:cs="Arial" w:eastAsia="Arial" w:hAnsi="Arial"/>
          <w:sz w:val="20"/>
          <w:szCs w:val="20"/>
          <w:color w:val="auto"/>
        </w:rPr>
        <w:t>Payments made under the TRA consider tax positions taken by the Company and are due within 125 days following the filing of the Company’s U.S. federal and state income tax returns under procedures described in the agreement. The current portion of the TRA liability is based on tax returns. The TRA will continue until all tax benefit payments have been made or the Company elects early termination under the terms described in the TRA.</w:t>
      </w:r>
    </w:p>
    <w:p>
      <w:pPr>
        <w:spacing w:after="0" w:line="197" w:lineRule="exact"/>
        <w:rPr>
          <w:sz w:val="20"/>
          <w:szCs w:val="20"/>
          <w:color w:val="auto"/>
        </w:rPr>
      </w:pPr>
    </w:p>
    <w:p>
      <w:pPr>
        <w:spacing w:after="0"/>
        <w:rPr>
          <w:sz w:val="20"/>
          <w:szCs w:val="20"/>
          <w:color w:val="auto"/>
        </w:rPr>
      </w:pPr>
      <w:r>
        <w:rPr>
          <w:rFonts w:ascii="Arial" w:cs="Arial" w:eastAsia="Arial" w:hAnsi="Arial"/>
          <w:sz w:val="20"/>
          <w:szCs w:val="20"/>
          <w:color w:val="auto"/>
        </w:rPr>
        <w:t>The following table summarizes the activity related to the estimated TRA liability (in thousands):</w:t>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267"/>
        </w:trPr>
        <w:tc>
          <w:tcPr>
            <w:tcW w:w="4300" w:type="dxa"/>
            <w:vAlign w:val="bottom"/>
          </w:tcPr>
          <w:p>
            <w:pPr>
              <w:spacing w:after="0"/>
              <w:rPr>
                <w:sz w:val="23"/>
                <w:szCs w:val="23"/>
                <w:color w:val="auto"/>
              </w:rPr>
            </w:pPr>
          </w:p>
        </w:tc>
        <w:tc>
          <w:tcPr>
            <w:tcW w:w="3520" w:type="dxa"/>
            <w:vAlign w:val="bottom"/>
            <w:gridSpan w:val="6"/>
          </w:tcPr>
          <w:p>
            <w:pPr>
              <w:jc w:val="right"/>
              <w:ind w:right="120"/>
              <w:spacing w:after="0"/>
              <w:rPr>
                <w:sz w:val="20"/>
                <w:szCs w:val="20"/>
                <w:color w:val="auto"/>
              </w:rPr>
            </w:pPr>
            <w:r>
              <w:rPr>
                <w:rFonts w:ascii="Arial" w:cs="Arial" w:eastAsia="Arial" w:hAnsi="Arial"/>
                <w:sz w:val="20"/>
                <w:szCs w:val="20"/>
                <w:b w:val="1"/>
                <w:bCs w:val="1"/>
                <w:color w:val="auto"/>
                <w:w w:val="99"/>
              </w:rPr>
              <w:t>Three Months Ended September 30,</w:t>
            </w:r>
          </w:p>
        </w:tc>
        <w:tc>
          <w:tcPr>
            <w:tcW w:w="3420" w:type="dxa"/>
            <w:vAlign w:val="bottom"/>
            <w:gridSpan w:val="5"/>
          </w:tcPr>
          <w:p>
            <w:pPr>
              <w:jc w:val="right"/>
              <w:spacing w:after="0"/>
              <w:rPr>
                <w:sz w:val="20"/>
                <w:szCs w:val="20"/>
                <w:color w:val="auto"/>
              </w:rPr>
            </w:pPr>
            <w:r>
              <w:rPr>
                <w:rFonts w:ascii="Arial" w:cs="Arial" w:eastAsia="Arial" w:hAnsi="Arial"/>
                <w:sz w:val="20"/>
                <w:szCs w:val="20"/>
                <w:b w:val="1"/>
                <w:bCs w:val="1"/>
                <w:color w:val="auto"/>
              </w:rPr>
              <w:t>Nine Months Ended September 30,</w:t>
            </w:r>
          </w:p>
        </w:tc>
      </w:tr>
      <w:tr>
        <w:trPr>
          <w:trHeight w:val="250"/>
        </w:trPr>
        <w:tc>
          <w:tcPr>
            <w:tcW w:w="4300" w:type="dxa"/>
            <w:vAlign w:val="bottom"/>
            <w:tcBorders>
              <w:bottom w:val="single" w:sz="8" w:color="CCEEFF"/>
            </w:tcBorders>
          </w:tcPr>
          <w:p>
            <w:pPr>
              <w:spacing w:after="0"/>
              <w:rPr>
                <w:sz w:val="21"/>
                <w:szCs w:val="21"/>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b w:val="1"/>
                <w:bCs w:val="1"/>
                <w:color w:val="auto"/>
              </w:rPr>
              <w:t>2025</w:t>
            </w:r>
          </w:p>
        </w:tc>
        <w:tc>
          <w:tcPr>
            <w:tcW w:w="600" w:type="dxa"/>
            <w:vAlign w:val="bottom"/>
            <w:tcBorders>
              <w:top w:val="single" w:sz="8" w:color="auto"/>
              <w:bottom w:val="single" w:sz="8" w:color="auto"/>
            </w:tcBorders>
          </w:tcPr>
          <w:p>
            <w:pPr>
              <w:spacing w:after="0"/>
              <w:rPr>
                <w:sz w:val="21"/>
                <w:szCs w:val="21"/>
                <w:color w:val="auto"/>
              </w:rPr>
            </w:pPr>
          </w:p>
        </w:tc>
        <w:tc>
          <w:tcPr>
            <w:tcW w:w="80" w:type="dxa"/>
            <w:vAlign w:val="bottom"/>
            <w:tcBorders>
              <w:top w:val="single" w:sz="8" w:color="auto"/>
              <w:bottom w:val="single" w:sz="8" w:color="CCEEFF"/>
            </w:tcBorders>
          </w:tcPr>
          <w:p>
            <w:pPr>
              <w:spacing w:after="0"/>
              <w:rPr>
                <w:sz w:val="21"/>
                <w:szCs w:val="21"/>
                <w:color w:val="auto"/>
              </w:rPr>
            </w:pPr>
          </w:p>
        </w:tc>
        <w:tc>
          <w:tcPr>
            <w:tcW w:w="360" w:type="dxa"/>
            <w:vAlign w:val="bottom"/>
            <w:tcBorders>
              <w:top w:val="single" w:sz="8" w:color="auto"/>
              <w:bottom w:val="single" w:sz="8" w:color="auto"/>
            </w:tcBorders>
          </w:tcPr>
          <w:p>
            <w:pPr>
              <w:spacing w:after="0"/>
              <w:rPr>
                <w:sz w:val="21"/>
                <w:szCs w:val="21"/>
                <w:color w:val="auto"/>
              </w:rPr>
            </w:pPr>
          </w:p>
        </w:tc>
        <w:tc>
          <w:tcPr>
            <w:tcW w:w="1300" w:type="dxa"/>
            <w:vAlign w:val="bottom"/>
            <w:tcBorders>
              <w:top w:val="single" w:sz="8" w:color="auto"/>
              <w:bottom w:val="single" w:sz="8" w:color="auto"/>
            </w:tcBorders>
          </w:tcPr>
          <w:p>
            <w:pPr>
              <w:jc w:val="right"/>
              <w:ind w:right="501"/>
              <w:spacing w:after="0"/>
              <w:rPr>
                <w:sz w:val="20"/>
                <w:szCs w:val="20"/>
                <w:color w:val="auto"/>
              </w:rPr>
            </w:pPr>
            <w:r>
              <w:rPr>
                <w:rFonts w:ascii="Arial" w:cs="Arial" w:eastAsia="Arial" w:hAnsi="Arial"/>
                <w:sz w:val="20"/>
                <w:szCs w:val="20"/>
                <w:b w:val="1"/>
                <w:bCs w:val="1"/>
                <w:color w:val="auto"/>
              </w:rPr>
              <w:t>2024</w:t>
            </w:r>
          </w:p>
        </w:tc>
        <w:tc>
          <w:tcPr>
            <w:tcW w:w="100" w:type="dxa"/>
            <w:vAlign w:val="bottom"/>
            <w:tcBorders>
              <w:bottom w:val="single" w:sz="8" w:color="CCEEFF"/>
            </w:tcBorders>
          </w:tcPr>
          <w:p>
            <w:pPr>
              <w:spacing w:after="0"/>
              <w:rPr>
                <w:sz w:val="21"/>
                <w:szCs w:val="21"/>
                <w:color w:val="auto"/>
              </w:rPr>
            </w:pPr>
          </w:p>
        </w:tc>
        <w:tc>
          <w:tcPr>
            <w:tcW w:w="360" w:type="dxa"/>
            <w:vAlign w:val="bottom"/>
            <w:tcBorders>
              <w:top w:val="single" w:sz="8" w:color="auto"/>
              <w:bottom w:val="single" w:sz="8" w:color="auto"/>
            </w:tcBorders>
          </w:tcPr>
          <w:p>
            <w:pPr>
              <w:spacing w:after="0"/>
              <w:rPr>
                <w:sz w:val="21"/>
                <w:szCs w:val="21"/>
                <w:color w:val="auto"/>
              </w:rPr>
            </w:pPr>
          </w:p>
        </w:tc>
        <w:tc>
          <w:tcPr>
            <w:tcW w:w="1300" w:type="dxa"/>
            <w:vAlign w:val="bottom"/>
            <w:tcBorders>
              <w:top w:val="single" w:sz="8" w:color="auto"/>
              <w:bottom w:val="single" w:sz="8" w:color="auto"/>
            </w:tcBorders>
          </w:tcPr>
          <w:p>
            <w:pPr>
              <w:jc w:val="right"/>
              <w:ind w:right="521"/>
              <w:spacing w:after="0"/>
              <w:rPr>
                <w:sz w:val="20"/>
                <w:szCs w:val="20"/>
                <w:color w:val="auto"/>
              </w:rPr>
            </w:pPr>
            <w:r>
              <w:rPr>
                <w:rFonts w:ascii="Arial" w:cs="Arial" w:eastAsia="Arial" w:hAnsi="Arial"/>
                <w:sz w:val="20"/>
                <w:szCs w:val="20"/>
                <w:b w:val="1"/>
                <w:bCs w:val="1"/>
                <w:color w:val="auto"/>
              </w:rPr>
              <w:t>2025</w:t>
            </w:r>
          </w:p>
        </w:tc>
        <w:tc>
          <w:tcPr>
            <w:tcW w:w="80" w:type="dxa"/>
            <w:vAlign w:val="bottom"/>
            <w:tcBorders>
              <w:top w:val="single" w:sz="8" w:color="auto"/>
              <w:bottom w:val="single" w:sz="8" w:color="CCEEFF"/>
            </w:tcBorders>
          </w:tcPr>
          <w:p>
            <w:pPr>
              <w:spacing w:after="0"/>
              <w:rPr>
                <w:sz w:val="21"/>
                <w:szCs w:val="21"/>
                <w:color w:val="auto"/>
              </w:rPr>
            </w:pPr>
          </w:p>
        </w:tc>
        <w:tc>
          <w:tcPr>
            <w:tcW w:w="360" w:type="dxa"/>
            <w:vAlign w:val="bottom"/>
            <w:tcBorders>
              <w:top w:val="single" w:sz="8" w:color="auto"/>
              <w:bottom w:val="single" w:sz="8" w:color="auto"/>
            </w:tcBorders>
          </w:tcPr>
          <w:p>
            <w:pPr>
              <w:spacing w:after="0"/>
              <w:rPr>
                <w:sz w:val="21"/>
                <w:szCs w:val="21"/>
                <w:color w:val="auto"/>
              </w:rPr>
            </w:pPr>
          </w:p>
        </w:tc>
        <w:tc>
          <w:tcPr>
            <w:tcW w:w="1320" w:type="dxa"/>
            <w:vAlign w:val="bottom"/>
            <w:tcBorders>
              <w:top w:val="single" w:sz="8" w:color="auto"/>
              <w:bottom w:val="single" w:sz="8" w:color="auto"/>
            </w:tcBorders>
          </w:tcPr>
          <w:p>
            <w:pPr>
              <w:jc w:val="right"/>
              <w:ind w:right="521"/>
              <w:spacing w:after="0"/>
              <w:rPr>
                <w:sz w:val="20"/>
                <w:szCs w:val="20"/>
                <w:color w:val="auto"/>
              </w:rPr>
            </w:pPr>
            <w:r>
              <w:rPr>
                <w:rFonts w:ascii="Arial" w:cs="Arial" w:eastAsia="Arial" w:hAnsi="Arial"/>
                <w:sz w:val="20"/>
                <w:szCs w:val="20"/>
                <w:b w:val="1"/>
                <w:bCs w:val="1"/>
                <w:color w:val="auto"/>
              </w:rPr>
              <w:t>2024</w:t>
            </w:r>
          </w:p>
        </w:tc>
      </w:tr>
      <w:tr>
        <w:trPr>
          <w:trHeight w:val="277"/>
        </w:trPr>
        <w:tc>
          <w:tcPr>
            <w:tcW w:w="4300" w:type="dxa"/>
            <w:vAlign w:val="bottom"/>
            <w:shd w:val="clear" w:color="auto" w:fill="CCEEFF"/>
          </w:tcPr>
          <w:p>
            <w:pPr>
              <w:ind w:left="20"/>
              <w:spacing w:after="0"/>
              <w:rPr>
                <w:sz w:val="20"/>
                <w:szCs w:val="20"/>
                <w:color w:val="auto"/>
              </w:rPr>
            </w:pPr>
            <w:r>
              <w:rPr>
                <w:rFonts w:ascii="Arial" w:cs="Arial" w:eastAsia="Arial" w:hAnsi="Arial"/>
                <w:sz w:val="20"/>
                <w:szCs w:val="20"/>
                <w:color w:val="auto"/>
              </w:rPr>
              <w:t>Beginning balance</w:t>
            </w:r>
          </w:p>
        </w:tc>
        <w:tc>
          <w:tcPr>
            <w:tcW w:w="1080" w:type="dxa"/>
            <w:vAlign w:val="bottom"/>
            <w:shd w:val="clear" w:color="auto" w:fill="CCEEFF"/>
          </w:tcPr>
          <w:p>
            <w:pPr>
              <w:jc w:val="right"/>
              <w:ind w:right="861"/>
              <w:spacing w:after="0"/>
              <w:rPr>
                <w:sz w:val="20"/>
                <w:szCs w:val="20"/>
                <w:color w:val="auto"/>
              </w:rPr>
            </w:pPr>
            <w:r>
              <w:rPr>
                <w:rFonts w:ascii="Arial" w:cs="Arial" w:eastAsia="Arial" w:hAnsi="Arial"/>
                <w:sz w:val="20"/>
                <w:szCs w:val="20"/>
                <w:color w:val="auto"/>
                <w:w w:val="8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20"/>
                <w:szCs w:val="20"/>
                <w:color w:val="auto"/>
                <w:w w:val="99"/>
              </w:rPr>
              <w:t>7,857</w:t>
            </w:r>
          </w:p>
        </w:tc>
        <w:tc>
          <w:tcPr>
            <w:tcW w:w="80" w:type="dxa"/>
            <w:vAlign w:val="bottom"/>
            <w:shd w:val="clear" w:color="auto" w:fill="CCEEFF"/>
          </w:tcPr>
          <w:p>
            <w:pPr>
              <w:spacing w:after="0"/>
              <w:rPr>
                <w:sz w:val="24"/>
                <w:szCs w:val="24"/>
                <w:color w:val="auto"/>
              </w:rPr>
            </w:pPr>
          </w:p>
        </w:tc>
        <w:tc>
          <w:tcPr>
            <w:tcW w:w="360" w:type="dxa"/>
            <w:vAlign w:val="bottom"/>
            <w:shd w:val="clear" w:color="auto" w:fill="CCEEFF"/>
          </w:tcPr>
          <w:p>
            <w:pPr>
              <w:jc w:val="right"/>
              <w:ind w:right="161"/>
              <w:spacing w:after="0"/>
              <w:rPr>
                <w:sz w:val="20"/>
                <w:szCs w:val="20"/>
                <w:color w:val="auto"/>
              </w:rPr>
            </w:pPr>
            <w:r>
              <w:rPr>
                <w:rFonts w:ascii="Arial" w:cs="Arial" w:eastAsia="Arial" w:hAnsi="Arial"/>
                <w:sz w:val="20"/>
                <w:szCs w:val="20"/>
                <w:color w:val="auto"/>
                <w:w w:val="71"/>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8,704</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jc w:val="right"/>
              <w:ind w:right="161"/>
              <w:spacing w:after="0"/>
              <w:rPr>
                <w:sz w:val="20"/>
                <w:szCs w:val="20"/>
                <w:color w:val="auto"/>
              </w:rPr>
            </w:pPr>
            <w:r>
              <w:rPr>
                <w:rFonts w:ascii="Arial" w:cs="Arial" w:eastAsia="Arial" w:hAnsi="Arial"/>
                <w:sz w:val="20"/>
                <w:szCs w:val="20"/>
                <w:color w:val="auto"/>
                <w:w w:val="71"/>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9,061</w:t>
            </w:r>
          </w:p>
        </w:tc>
        <w:tc>
          <w:tcPr>
            <w:tcW w:w="80" w:type="dxa"/>
            <w:vAlign w:val="bottom"/>
            <w:shd w:val="clear" w:color="auto" w:fill="CCEEFF"/>
          </w:tcPr>
          <w:p>
            <w:pPr>
              <w:spacing w:after="0"/>
              <w:rPr>
                <w:sz w:val="24"/>
                <w:szCs w:val="24"/>
                <w:color w:val="auto"/>
              </w:rPr>
            </w:pPr>
          </w:p>
        </w:tc>
        <w:tc>
          <w:tcPr>
            <w:tcW w:w="360" w:type="dxa"/>
            <w:vAlign w:val="bottom"/>
            <w:shd w:val="clear" w:color="auto" w:fill="CCEEFF"/>
          </w:tcPr>
          <w:p>
            <w:pPr>
              <w:jc w:val="right"/>
              <w:ind w:right="141"/>
              <w:spacing w:after="0"/>
              <w:rPr>
                <w:sz w:val="20"/>
                <w:szCs w:val="20"/>
                <w:color w:val="auto"/>
              </w:rPr>
            </w:pPr>
            <w:r>
              <w:rPr>
                <w:rFonts w:ascii="Arial" w:cs="Arial" w:eastAsia="Arial" w:hAnsi="Arial"/>
                <w:sz w:val="20"/>
                <w:szCs w:val="20"/>
                <w:color w:val="auto"/>
                <w:w w:val="8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10,363</w:t>
            </w:r>
          </w:p>
        </w:tc>
      </w:tr>
      <w:tr>
        <w:trPr>
          <w:trHeight w:val="282"/>
        </w:trPr>
        <w:tc>
          <w:tcPr>
            <w:tcW w:w="4300" w:type="dxa"/>
            <w:vAlign w:val="bottom"/>
          </w:tcPr>
          <w:p>
            <w:pPr>
              <w:ind w:left="140"/>
              <w:spacing w:after="0"/>
              <w:rPr>
                <w:sz w:val="20"/>
                <w:szCs w:val="20"/>
                <w:color w:val="auto"/>
              </w:rPr>
            </w:pPr>
            <w:r>
              <w:rPr>
                <w:rFonts w:ascii="Arial" w:cs="Arial" w:eastAsia="Arial" w:hAnsi="Arial"/>
                <w:sz w:val="20"/>
                <w:szCs w:val="20"/>
                <w:color w:val="auto"/>
              </w:rPr>
              <w:t>Payments</w:t>
            </w:r>
          </w:p>
        </w:tc>
        <w:tc>
          <w:tcPr>
            <w:tcW w:w="1080" w:type="dxa"/>
            <w:vAlign w:val="bottom"/>
          </w:tcPr>
          <w:p>
            <w:pPr>
              <w:spacing w:after="0"/>
              <w:rPr>
                <w:sz w:val="24"/>
                <w:szCs w:val="24"/>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20"/>
                <w:szCs w:val="20"/>
                <w:color w:val="auto"/>
              </w:rPr>
              <w:t>—</w:t>
            </w:r>
          </w:p>
        </w:tc>
        <w:tc>
          <w:tcPr>
            <w:tcW w:w="360" w:type="dxa"/>
            <w:vAlign w:val="bottom"/>
          </w:tcPr>
          <w:p>
            <w:pPr>
              <w:spacing w:after="0"/>
              <w:rPr>
                <w:sz w:val="24"/>
                <w:szCs w:val="24"/>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20"/>
                <w:szCs w:val="20"/>
                <w:color w:val="auto"/>
              </w:rPr>
              <w:t>—</w:t>
            </w:r>
          </w:p>
        </w:tc>
        <w:tc>
          <w:tcPr>
            <w:tcW w:w="36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Arial" w:cs="Arial" w:eastAsia="Arial" w:hAnsi="Arial"/>
                <w:sz w:val="20"/>
                <w:szCs w:val="20"/>
                <w:color w:val="auto"/>
              </w:rPr>
              <w:t>(1,204)</w:t>
            </w: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320" w:type="dxa"/>
            <w:vAlign w:val="bottom"/>
          </w:tcPr>
          <w:p>
            <w:pPr>
              <w:jc w:val="right"/>
              <w:spacing w:after="0"/>
              <w:rPr>
                <w:sz w:val="20"/>
                <w:szCs w:val="20"/>
                <w:color w:val="auto"/>
              </w:rPr>
            </w:pPr>
            <w:r>
              <w:rPr>
                <w:rFonts w:ascii="Arial" w:cs="Arial" w:eastAsia="Arial" w:hAnsi="Arial"/>
                <w:sz w:val="20"/>
                <w:szCs w:val="20"/>
                <w:color w:val="auto"/>
              </w:rPr>
              <w:t>(1,427)</w:t>
            </w:r>
          </w:p>
        </w:tc>
      </w:tr>
      <w:tr>
        <w:trPr>
          <w:trHeight w:val="284"/>
        </w:trPr>
        <w:tc>
          <w:tcPr>
            <w:tcW w:w="4300" w:type="dxa"/>
            <w:vAlign w:val="bottom"/>
            <w:shd w:val="clear" w:color="auto" w:fill="CCEEFF"/>
          </w:tcPr>
          <w:p>
            <w:pPr>
              <w:ind w:left="140"/>
              <w:spacing w:after="0"/>
              <w:rPr>
                <w:sz w:val="20"/>
                <w:szCs w:val="20"/>
                <w:color w:val="auto"/>
              </w:rPr>
            </w:pPr>
            <w:r>
              <w:rPr>
                <w:rFonts w:ascii="Arial" w:cs="Arial" w:eastAsia="Arial" w:hAnsi="Arial"/>
                <w:sz w:val="20"/>
                <w:szCs w:val="20"/>
                <w:color w:val="auto"/>
              </w:rPr>
              <w:t>Fair value adjustment</w:t>
            </w:r>
          </w:p>
        </w:tc>
        <w:tc>
          <w:tcPr>
            <w:tcW w:w="1080" w:type="dxa"/>
            <w:vAlign w:val="bottom"/>
            <w:tcBorders>
              <w:bottom w:val="single" w:sz="8" w:color="auto"/>
            </w:tcBorders>
            <w:shd w:val="clear" w:color="auto" w:fill="CCEEFF"/>
          </w:tcPr>
          <w:p>
            <w:pPr>
              <w:spacing w:after="0"/>
              <w:rPr>
                <w:sz w:val="24"/>
                <w:szCs w:val="24"/>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611</w:t>
            </w:r>
          </w:p>
        </w:tc>
        <w:tc>
          <w:tcPr>
            <w:tcW w:w="80" w:type="dxa"/>
            <w:vAlign w:val="bottom"/>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spacing w:after="0"/>
              <w:rPr>
                <w:sz w:val="24"/>
                <w:szCs w:val="24"/>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(39)</w:t>
            </w:r>
          </w:p>
        </w:tc>
        <w:tc>
          <w:tcPr>
            <w:tcW w:w="100" w:type="dxa"/>
            <w:vAlign w:val="bottom"/>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spacing w:after="0"/>
              <w:rPr>
                <w:sz w:val="24"/>
                <w:szCs w:val="24"/>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611</w:t>
            </w:r>
          </w:p>
        </w:tc>
        <w:tc>
          <w:tcPr>
            <w:tcW w:w="80" w:type="dxa"/>
            <w:vAlign w:val="bottom"/>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spacing w:after="0"/>
              <w:rPr>
                <w:sz w:val="24"/>
                <w:szCs w:val="24"/>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(271)</w:t>
            </w:r>
          </w:p>
        </w:tc>
      </w:tr>
      <w:tr>
        <w:trPr>
          <w:trHeight w:val="279"/>
        </w:trPr>
        <w:tc>
          <w:tcPr>
            <w:tcW w:w="4300" w:type="dxa"/>
            <w:vAlign w:val="bottom"/>
          </w:tcPr>
          <w:p>
            <w:pPr>
              <w:ind w:left="20"/>
              <w:spacing w:after="0"/>
              <w:rPr>
                <w:sz w:val="20"/>
                <w:szCs w:val="20"/>
                <w:color w:val="auto"/>
              </w:rPr>
            </w:pPr>
            <w:r>
              <w:rPr>
                <w:rFonts w:ascii="Arial" w:cs="Arial" w:eastAsia="Arial" w:hAnsi="Arial"/>
                <w:sz w:val="20"/>
                <w:szCs w:val="20"/>
                <w:color w:val="auto"/>
              </w:rPr>
              <w:t>Ending balance</w:t>
            </w:r>
          </w:p>
        </w:tc>
        <w:tc>
          <w:tcPr>
            <w:tcW w:w="1080" w:type="dxa"/>
            <w:vAlign w:val="bottom"/>
            <w:tcBorders>
              <w:bottom w:val="single" w:sz="8" w:color="auto"/>
            </w:tcBorders>
          </w:tcPr>
          <w:p>
            <w:pPr>
              <w:jc w:val="right"/>
              <w:ind w:right="861"/>
              <w:spacing w:after="0"/>
              <w:rPr>
                <w:sz w:val="20"/>
                <w:szCs w:val="20"/>
                <w:color w:val="auto"/>
              </w:rPr>
            </w:pPr>
            <w:r>
              <w:rPr>
                <w:rFonts w:ascii="Arial" w:cs="Arial" w:eastAsia="Arial" w:hAnsi="Arial"/>
                <w:sz w:val="20"/>
                <w:szCs w:val="20"/>
                <w:color w:val="auto"/>
                <w:w w:val="8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w w:val="99"/>
              </w:rPr>
              <w:t>8,468</w:t>
            </w:r>
          </w:p>
        </w:tc>
        <w:tc>
          <w:tcPr>
            <w:tcW w:w="8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jc w:val="right"/>
              <w:ind w:right="161"/>
              <w:spacing w:after="0"/>
              <w:rPr>
                <w:sz w:val="20"/>
                <w:szCs w:val="20"/>
                <w:color w:val="auto"/>
              </w:rPr>
            </w:pPr>
            <w:r>
              <w:rPr>
                <w:rFonts w:ascii="Arial" w:cs="Arial" w:eastAsia="Arial" w:hAnsi="Arial"/>
                <w:sz w:val="20"/>
                <w:szCs w:val="20"/>
                <w:color w:val="auto"/>
                <w:w w:val="71"/>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8,665</w:t>
            </w:r>
          </w:p>
        </w:tc>
        <w:tc>
          <w:tcPr>
            <w:tcW w:w="100" w:type="dxa"/>
            <w:vAlign w:val="bottom"/>
          </w:tcPr>
          <w:p>
            <w:pPr>
              <w:spacing w:after="0"/>
              <w:rPr>
                <w:sz w:val="24"/>
                <w:szCs w:val="24"/>
                <w:color w:val="auto"/>
              </w:rPr>
            </w:pPr>
          </w:p>
        </w:tc>
        <w:tc>
          <w:tcPr>
            <w:tcW w:w="360" w:type="dxa"/>
            <w:vAlign w:val="bottom"/>
            <w:tcBorders>
              <w:bottom w:val="single" w:sz="8" w:color="auto"/>
            </w:tcBorders>
          </w:tcPr>
          <w:p>
            <w:pPr>
              <w:jc w:val="right"/>
              <w:ind w:right="161"/>
              <w:spacing w:after="0"/>
              <w:rPr>
                <w:sz w:val="20"/>
                <w:szCs w:val="20"/>
                <w:color w:val="auto"/>
              </w:rPr>
            </w:pPr>
            <w:r>
              <w:rPr>
                <w:rFonts w:ascii="Arial" w:cs="Arial" w:eastAsia="Arial" w:hAnsi="Arial"/>
                <w:sz w:val="20"/>
                <w:szCs w:val="20"/>
                <w:color w:val="auto"/>
                <w:w w:val="71"/>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8,468</w:t>
            </w:r>
          </w:p>
        </w:tc>
        <w:tc>
          <w:tcPr>
            <w:tcW w:w="80" w:type="dxa"/>
            <w:vAlign w:val="bottom"/>
          </w:tcPr>
          <w:p>
            <w:pPr>
              <w:spacing w:after="0"/>
              <w:rPr>
                <w:sz w:val="24"/>
                <w:szCs w:val="24"/>
                <w:color w:val="auto"/>
              </w:rPr>
            </w:pPr>
          </w:p>
        </w:tc>
        <w:tc>
          <w:tcPr>
            <w:tcW w:w="360" w:type="dxa"/>
            <w:vAlign w:val="bottom"/>
            <w:tcBorders>
              <w:bottom w:val="single" w:sz="8" w:color="auto"/>
            </w:tcBorders>
          </w:tcPr>
          <w:p>
            <w:pPr>
              <w:jc w:val="right"/>
              <w:ind w:right="141"/>
              <w:spacing w:after="0"/>
              <w:rPr>
                <w:sz w:val="20"/>
                <w:szCs w:val="20"/>
                <w:color w:val="auto"/>
              </w:rPr>
            </w:pPr>
            <w:r>
              <w:rPr>
                <w:rFonts w:ascii="Arial" w:cs="Arial" w:eastAsia="Arial" w:hAnsi="Arial"/>
                <w:sz w:val="20"/>
                <w:szCs w:val="20"/>
                <w:color w:val="auto"/>
                <w:w w:val="8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8,665</w:t>
            </w:r>
          </w:p>
        </w:tc>
      </w:tr>
      <w:tr>
        <w:trPr>
          <w:trHeight w:val="21"/>
        </w:trPr>
        <w:tc>
          <w:tcPr>
            <w:tcW w:w="43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329" w:lineRule="exact"/>
        <w:rPr>
          <w:sz w:val="20"/>
          <w:szCs w:val="20"/>
          <w:color w:val="auto"/>
        </w:rPr>
      </w:pPr>
    </w:p>
    <w:p>
      <w:pPr>
        <w:spacing w:after="0"/>
        <w:rPr>
          <w:sz w:val="20"/>
          <w:szCs w:val="20"/>
          <w:color w:val="auto"/>
        </w:rPr>
      </w:pPr>
      <w:r>
        <w:rPr>
          <w:rFonts w:ascii="Arial" w:cs="Arial" w:eastAsia="Arial" w:hAnsi="Arial"/>
          <w:sz w:val="20"/>
          <w:szCs w:val="20"/>
          <w:color w:val="auto"/>
        </w:rPr>
        <w:t>The TRA liability requires significant judgment and is classified as Level 3 in the fair value hierarchy.</w:t>
      </w:r>
    </w:p>
    <w:p>
      <w:pPr>
        <w:spacing w:after="0" w:line="256"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Earnout Consideration</w:t>
      </w:r>
    </w:p>
    <w:p>
      <w:pPr>
        <w:spacing w:after="0" w:line="135" w:lineRule="exact"/>
        <w:rPr>
          <w:sz w:val="20"/>
          <w:szCs w:val="20"/>
          <w:color w:val="auto"/>
        </w:rPr>
      </w:pPr>
    </w:p>
    <w:p>
      <w:pPr>
        <w:jc w:val="both"/>
        <w:spacing w:after="0" w:line="261" w:lineRule="auto"/>
        <w:rPr>
          <w:sz w:val="20"/>
          <w:szCs w:val="20"/>
          <w:color w:val="auto"/>
        </w:rPr>
      </w:pPr>
      <w:r>
        <w:rPr>
          <w:rFonts w:ascii="Arial" w:cs="Arial" w:eastAsia="Arial" w:hAnsi="Arial"/>
          <w:sz w:val="20"/>
          <w:szCs w:val="20"/>
          <w:color w:val="auto"/>
        </w:rPr>
        <w:t xml:space="preserve">As discussed in </w:t>
      </w:r>
      <w:r>
        <w:rPr>
          <w:rFonts w:ascii="Arial" w:cs="Arial" w:eastAsia="Arial" w:hAnsi="Arial"/>
          <w:sz w:val="20"/>
          <w:szCs w:val="20"/>
          <w:u w:val="single" w:color="auto"/>
          <w:color w:val="0000FF"/>
        </w:rPr>
        <w:t>Note 3 – Acquisition</w:t>
      </w:r>
      <w:r>
        <w:rPr>
          <w:rFonts w:ascii="Arial" w:cs="Arial" w:eastAsia="Arial" w:hAnsi="Arial"/>
          <w:sz w:val="20"/>
          <w:szCs w:val="20"/>
          <w:color w:val="auto"/>
        </w:rPr>
        <w:t>, the Purchase Agreement includes an earnout provision pursuant to which Seller may be granted shares of the Company’s common stock, or equivalent cash value at the Buyer’s discretion, based upon APA’s achievement of certain financial performance targets during the three-year period ending September 30, 2028 (the “Earnout Consideration”). The maximum number of shares payable as Earnout Consideration is 4,686,530 shares of common stock, which was determined by dividing $40 million by the volume weighted average price of the Company’s common stock for the 10 trading days immediately following the Closing Date. The number of shares payable will be subject to reduction if the cumulative value of the Earnout Consideration earned (measured on each date such shares are issued) exceeds $90 million. The Purchase Agreement provides that, to the extent the issuance of any Earnout Consideration or Deferred Consideration Shares would require stockholder approval under Nasdaq Listing Rule 5635(a), the Company will pay cash in lieu of issuing such shares, unless such stockholder approval has been obtained.</w:t>
      </w:r>
    </w:p>
    <w:p>
      <w:pPr>
        <w:spacing w:after="0" w:line="212" w:lineRule="exact"/>
        <w:rPr>
          <w:sz w:val="20"/>
          <w:szCs w:val="20"/>
          <w:color w:val="auto"/>
        </w:rPr>
      </w:pPr>
    </w:p>
    <w:p>
      <w:pPr>
        <w:jc w:val="both"/>
        <w:spacing w:after="0" w:line="263" w:lineRule="auto"/>
        <w:rPr>
          <w:sz w:val="20"/>
          <w:szCs w:val="20"/>
          <w:color w:val="auto"/>
        </w:rPr>
      </w:pPr>
      <w:r>
        <w:rPr>
          <w:rFonts w:ascii="Arial" w:cs="Arial" w:eastAsia="Arial" w:hAnsi="Arial"/>
          <w:sz w:val="20"/>
          <w:szCs w:val="20"/>
          <w:color w:val="auto"/>
        </w:rPr>
        <w:t>The Earnout Consideration is accounted for as contingent consideration, and the fair value is estimated each reporting period. As of September 30, 2025, the Earnout Consideration was estimated to have a fair value of approximately $20.4 million using a Monte-Carlo simulation method. Changes in fair value of the contingent liability are recognized in contingent consideration on the condensed consolidated statements of operations. Estimating the amount of payments that may be made under the Earnout Consideration is by nature imprecise. The significant fair value inputs used to estimate the future expected Earnout Consideration payments to Seller include a discount rate, earnings forecasts, and actual and estimated future volatility in the Company’s stock price.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7" w:name="page38"/>
    <w:bookmarkEnd w:id="37"/>
    <w:p>
      <w:pPr>
        <w:spacing w:after="0" w:line="312" w:lineRule="exact"/>
        <w:rPr>
          <w:sz w:val="20"/>
          <w:szCs w:val="20"/>
          <w:color w:val="auto"/>
        </w:rPr>
      </w:pPr>
    </w:p>
    <w:p>
      <w:pPr>
        <w:spacing w:after="0"/>
        <w:rPr>
          <w:sz w:val="20"/>
          <w:szCs w:val="20"/>
          <w:color w:val="auto"/>
        </w:rPr>
      </w:pPr>
      <w:r>
        <w:rPr>
          <w:rFonts w:ascii="Arial" w:cs="Arial" w:eastAsia="Arial" w:hAnsi="Arial"/>
          <w:sz w:val="20"/>
          <w:szCs w:val="20"/>
          <w:color w:val="auto"/>
        </w:rPr>
        <w:t>The following table summarizes the activity related to the estimated Earnout Consideration liability (in thousands):</w:t>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267"/>
        </w:trPr>
        <w:tc>
          <w:tcPr>
            <w:tcW w:w="4300" w:type="dxa"/>
            <w:vAlign w:val="bottom"/>
          </w:tcPr>
          <w:p>
            <w:pPr>
              <w:spacing w:after="0"/>
              <w:rPr>
                <w:sz w:val="23"/>
                <w:szCs w:val="23"/>
                <w:color w:val="auto"/>
              </w:rPr>
            </w:pPr>
          </w:p>
        </w:tc>
        <w:tc>
          <w:tcPr>
            <w:tcW w:w="3520" w:type="dxa"/>
            <w:vAlign w:val="bottom"/>
            <w:gridSpan w:val="6"/>
          </w:tcPr>
          <w:p>
            <w:pPr>
              <w:ind w:left="40"/>
              <w:spacing w:after="0"/>
              <w:rPr>
                <w:sz w:val="20"/>
                <w:szCs w:val="20"/>
                <w:color w:val="auto"/>
              </w:rPr>
            </w:pPr>
            <w:r>
              <w:rPr>
                <w:rFonts w:ascii="Arial" w:cs="Arial" w:eastAsia="Arial" w:hAnsi="Arial"/>
                <w:sz w:val="20"/>
                <w:szCs w:val="20"/>
                <w:b w:val="1"/>
                <w:bCs w:val="1"/>
                <w:color w:val="auto"/>
              </w:rPr>
              <w:t>Three Months Ended September 30,</w:t>
            </w:r>
          </w:p>
        </w:tc>
        <w:tc>
          <w:tcPr>
            <w:tcW w:w="3420" w:type="dxa"/>
            <w:vAlign w:val="bottom"/>
            <w:gridSpan w:val="5"/>
          </w:tcPr>
          <w:p>
            <w:pPr>
              <w:jc w:val="right"/>
              <w:spacing w:after="0"/>
              <w:rPr>
                <w:sz w:val="20"/>
                <w:szCs w:val="20"/>
                <w:color w:val="auto"/>
              </w:rPr>
            </w:pPr>
            <w:r>
              <w:rPr>
                <w:rFonts w:ascii="Arial" w:cs="Arial" w:eastAsia="Arial" w:hAnsi="Arial"/>
                <w:sz w:val="20"/>
                <w:szCs w:val="20"/>
                <w:b w:val="1"/>
                <w:bCs w:val="1"/>
                <w:color w:val="auto"/>
              </w:rPr>
              <w:t>Nine Months Ended September 30,</w:t>
            </w:r>
          </w:p>
        </w:tc>
      </w:tr>
      <w:tr>
        <w:trPr>
          <w:trHeight w:val="250"/>
        </w:trPr>
        <w:tc>
          <w:tcPr>
            <w:tcW w:w="4300" w:type="dxa"/>
            <w:vAlign w:val="bottom"/>
            <w:tcBorders>
              <w:bottom w:val="single" w:sz="8" w:color="CCEEFF"/>
            </w:tcBorders>
          </w:tcPr>
          <w:p>
            <w:pPr>
              <w:spacing w:after="0"/>
              <w:rPr>
                <w:sz w:val="21"/>
                <w:szCs w:val="21"/>
                <w:color w:val="auto"/>
              </w:rPr>
            </w:pPr>
          </w:p>
        </w:tc>
        <w:tc>
          <w:tcPr>
            <w:tcW w:w="360" w:type="dxa"/>
            <w:vAlign w:val="bottom"/>
            <w:tcBorders>
              <w:top w:val="single" w:sz="8" w:color="auto"/>
              <w:bottom w:val="single" w:sz="8" w:color="auto"/>
            </w:tcBorders>
          </w:tcPr>
          <w:p>
            <w:pPr>
              <w:spacing w:after="0"/>
              <w:rPr>
                <w:sz w:val="21"/>
                <w:szCs w:val="21"/>
                <w:color w:val="auto"/>
              </w:rPr>
            </w:pPr>
          </w:p>
        </w:tc>
        <w:tc>
          <w:tcPr>
            <w:tcW w:w="1320" w:type="dxa"/>
            <w:vAlign w:val="bottom"/>
            <w:tcBorders>
              <w:top w:val="single" w:sz="8" w:color="auto"/>
              <w:bottom w:val="single" w:sz="8" w:color="auto"/>
            </w:tcBorders>
          </w:tcPr>
          <w:p>
            <w:pPr>
              <w:jc w:val="right"/>
              <w:ind w:right="521"/>
              <w:spacing w:after="0"/>
              <w:rPr>
                <w:sz w:val="20"/>
                <w:szCs w:val="20"/>
                <w:color w:val="auto"/>
              </w:rPr>
            </w:pPr>
            <w:r>
              <w:rPr>
                <w:rFonts w:ascii="Arial" w:cs="Arial" w:eastAsia="Arial" w:hAnsi="Arial"/>
                <w:sz w:val="20"/>
                <w:szCs w:val="20"/>
                <w:b w:val="1"/>
                <w:bCs w:val="1"/>
                <w:color w:val="auto"/>
              </w:rPr>
              <w:t>2025</w:t>
            </w:r>
          </w:p>
        </w:tc>
        <w:tc>
          <w:tcPr>
            <w:tcW w:w="80" w:type="dxa"/>
            <w:vAlign w:val="bottom"/>
            <w:tcBorders>
              <w:top w:val="single" w:sz="8" w:color="auto"/>
              <w:bottom w:val="single" w:sz="8" w:color="CCEEFF"/>
            </w:tcBorders>
          </w:tcPr>
          <w:p>
            <w:pPr>
              <w:spacing w:after="0"/>
              <w:rPr>
                <w:sz w:val="21"/>
                <w:szCs w:val="21"/>
                <w:color w:val="auto"/>
              </w:rPr>
            </w:pPr>
          </w:p>
        </w:tc>
        <w:tc>
          <w:tcPr>
            <w:tcW w:w="360" w:type="dxa"/>
            <w:vAlign w:val="bottom"/>
            <w:tcBorders>
              <w:top w:val="single" w:sz="8" w:color="auto"/>
              <w:bottom w:val="single" w:sz="8" w:color="auto"/>
            </w:tcBorders>
          </w:tcPr>
          <w:p>
            <w:pPr>
              <w:spacing w:after="0"/>
              <w:rPr>
                <w:sz w:val="21"/>
                <w:szCs w:val="21"/>
                <w:color w:val="auto"/>
              </w:rPr>
            </w:pPr>
          </w:p>
        </w:tc>
        <w:tc>
          <w:tcPr>
            <w:tcW w:w="1300" w:type="dxa"/>
            <w:vAlign w:val="bottom"/>
            <w:tcBorders>
              <w:top w:val="single" w:sz="8" w:color="auto"/>
              <w:bottom w:val="single" w:sz="8" w:color="auto"/>
            </w:tcBorders>
          </w:tcPr>
          <w:p>
            <w:pPr>
              <w:ind w:left="260"/>
              <w:spacing w:after="0"/>
              <w:rPr>
                <w:sz w:val="20"/>
                <w:szCs w:val="20"/>
                <w:color w:val="auto"/>
              </w:rPr>
            </w:pPr>
            <w:r>
              <w:rPr>
                <w:rFonts w:ascii="Arial" w:cs="Arial" w:eastAsia="Arial" w:hAnsi="Arial"/>
                <w:sz w:val="20"/>
                <w:szCs w:val="20"/>
                <w:b w:val="1"/>
                <w:bCs w:val="1"/>
                <w:color w:val="auto"/>
              </w:rPr>
              <w:t>2024</w:t>
            </w:r>
          </w:p>
        </w:tc>
        <w:tc>
          <w:tcPr>
            <w:tcW w:w="100" w:type="dxa"/>
            <w:vAlign w:val="bottom"/>
            <w:tcBorders>
              <w:bottom w:val="single" w:sz="8" w:color="CCEEFF"/>
            </w:tcBorders>
          </w:tcPr>
          <w:p>
            <w:pPr>
              <w:spacing w:after="0"/>
              <w:rPr>
                <w:sz w:val="21"/>
                <w:szCs w:val="21"/>
                <w:color w:val="auto"/>
              </w:rPr>
            </w:pPr>
          </w:p>
        </w:tc>
        <w:tc>
          <w:tcPr>
            <w:tcW w:w="360" w:type="dxa"/>
            <w:vAlign w:val="bottom"/>
            <w:tcBorders>
              <w:top w:val="single" w:sz="8" w:color="auto"/>
              <w:bottom w:val="single" w:sz="8" w:color="auto"/>
            </w:tcBorders>
          </w:tcPr>
          <w:p>
            <w:pPr>
              <w:spacing w:after="0"/>
              <w:rPr>
                <w:sz w:val="21"/>
                <w:szCs w:val="21"/>
                <w:color w:val="auto"/>
              </w:rPr>
            </w:pPr>
          </w:p>
        </w:tc>
        <w:tc>
          <w:tcPr>
            <w:tcW w:w="1300" w:type="dxa"/>
            <w:vAlign w:val="bottom"/>
            <w:tcBorders>
              <w:top w:val="single" w:sz="8" w:color="auto"/>
              <w:bottom w:val="single" w:sz="8" w:color="auto"/>
            </w:tcBorders>
          </w:tcPr>
          <w:p>
            <w:pPr>
              <w:jc w:val="right"/>
              <w:ind w:right="521"/>
              <w:spacing w:after="0"/>
              <w:rPr>
                <w:sz w:val="20"/>
                <w:szCs w:val="20"/>
                <w:color w:val="auto"/>
              </w:rPr>
            </w:pPr>
            <w:r>
              <w:rPr>
                <w:rFonts w:ascii="Arial" w:cs="Arial" w:eastAsia="Arial" w:hAnsi="Arial"/>
                <w:sz w:val="20"/>
                <w:szCs w:val="20"/>
                <w:b w:val="1"/>
                <w:bCs w:val="1"/>
                <w:color w:val="auto"/>
              </w:rPr>
              <w:t>2025</w:t>
            </w:r>
          </w:p>
        </w:tc>
        <w:tc>
          <w:tcPr>
            <w:tcW w:w="80" w:type="dxa"/>
            <w:vAlign w:val="bottom"/>
            <w:tcBorders>
              <w:top w:val="single" w:sz="8" w:color="auto"/>
              <w:bottom w:val="single" w:sz="8" w:color="CCEEFF"/>
            </w:tcBorders>
          </w:tcPr>
          <w:p>
            <w:pPr>
              <w:spacing w:after="0"/>
              <w:rPr>
                <w:sz w:val="21"/>
                <w:szCs w:val="21"/>
                <w:color w:val="auto"/>
              </w:rPr>
            </w:pPr>
          </w:p>
        </w:tc>
        <w:tc>
          <w:tcPr>
            <w:tcW w:w="360" w:type="dxa"/>
            <w:vAlign w:val="bottom"/>
            <w:tcBorders>
              <w:top w:val="single" w:sz="8" w:color="auto"/>
              <w:bottom w:val="single" w:sz="8" w:color="auto"/>
            </w:tcBorders>
          </w:tcPr>
          <w:p>
            <w:pPr>
              <w:spacing w:after="0"/>
              <w:rPr>
                <w:sz w:val="21"/>
                <w:szCs w:val="21"/>
                <w:color w:val="auto"/>
              </w:rPr>
            </w:pPr>
          </w:p>
        </w:tc>
        <w:tc>
          <w:tcPr>
            <w:tcW w:w="1320" w:type="dxa"/>
            <w:vAlign w:val="bottom"/>
            <w:tcBorders>
              <w:top w:val="single" w:sz="8" w:color="auto"/>
              <w:bottom w:val="single" w:sz="8" w:color="auto"/>
            </w:tcBorders>
          </w:tcPr>
          <w:p>
            <w:pPr>
              <w:jc w:val="right"/>
              <w:ind w:right="521"/>
              <w:spacing w:after="0"/>
              <w:rPr>
                <w:sz w:val="20"/>
                <w:szCs w:val="20"/>
                <w:color w:val="auto"/>
              </w:rPr>
            </w:pPr>
            <w:r>
              <w:rPr>
                <w:rFonts w:ascii="Arial" w:cs="Arial" w:eastAsia="Arial" w:hAnsi="Arial"/>
                <w:sz w:val="20"/>
                <w:szCs w:val="20"/>
                <w:b w:val="1"/>
                <w:bCs w:val="1"/>
                <w:color w:val="auto"/>
              </w:rPr>
              <w:t>2024</w:t>
            </w:r>
          </w:p>
        </w:tc>
      </w:tr>
      <w:tr>
        <w:trPr>
          <w:trHeight w:val="277"/>
        </w:trPr>
        <w:tc>
          <w:tcPr>
            <w:tcW w:w="4300" w:type="dxa"/>
            <w:vAlign w:val="bottom"/>
            <w:shd w:val="clear" w:color="auto" w:fill="CCEEFF"/>
          </w:tcPr>
          <w:p>
            <w:pPr>
              <w:ind w:left="20"/>
              <w:spacing w:after="0"/>
              <w:rPr>
                <w:sz w:val="20"/>
                <w:szCs w:val="20"/>
                <w:color w:val="auto"/>
              </w:rPr>
            </w:pPr>
            <w:r>
              <w:rPr>
                <w:rFonts w:ascii="Arial" w:cs="Arial" w:eastAsia="Arial" w:hAnsi="Arial"/>
                <w:sz w:val="20"/>
                <w:szCs w:val="20"/>
                <w:color w:val="auto"/>
              </w:rPr>
              <w:t>Beginning balance</w:t>
            </w:r>
          </w:p>
        </w:tc>
        <w:tc>
          <w:tcPr>
            <w:tcW w:w="360" w:type="dxa"/>
            <w:vAlign w:val="bottom"/>
            <w:shd w:val="clear" w:color="auto" w:fill="CCEEFF"/>
          </w:tcPr>
          <w:p>
            <w:pPr>
              <w:jc w:val="right"/>
              <w:ind w:right="141"/>
              <w:spacing w:after="0"/>
              <w:rPr>
                <w:sz w:val="20"/>
                <w:szCs w:val="20"/>
                <w:color w:val="auto"/>
              </w:rPr>
            </w:pPr>
            <w:r>
              <w:rPr>
                <w:rFonts w:ascii="Arial" w:cs="Arial" w:eastAsia="Arial" w:hAnsi="Arial"/>
                <w:sz w:val="20"/>
                <w:szCs w:val="20"/>
                <w:color w:val="auto"/>
                <w:w w:val="89"/>
              </w:rPr>
              <w:t>$</w:t>
            </w: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20"/>
                <w:szCs w:val="20"/>
                <w:color w:val="auto"/>
              </w:rPr>
              <w:t>—</w:t>
            </w:r>
          </w:p>
        </w:tc>
        <w:tc>
          <w:tcPr>
            <w:tcW w:w="360" w:type="dxa"/>
            <w:vAlign w:val="bottom"/>
            <w:shd w:val="clear" w:color="auto" w:fill="CCEEFF"/>
          </w:tcPr>
          <w:p>
            <w:pPr>
              <w:jc w:val="right"/>
              <w:ind w:right="161"/>
              <w:spacing w:after="0"/>
              <w:rPr>
                <w:sz w:val="20"/>
                <w:szCs w:val="20"/>
                <w:color w:val="auto"/>
              </w:rPr>
            </w:pPr>
            <w:r>
              <w:rPr>
                <w:rFonts w:ascii="Arial" w:cs="Arial" w:eastAsia="Arial" w:hAnsi="Arial"/>
                <w:sz w:val="20"/>
                <w:szCs w:val="20"/>
                <w:color w:val="auto"/>
                <w:w w:val="71"/>
              </w:rPr>
              <w:t>$</w:t>
            </w:r>
          </w:p>
        </w:tc>
        <w:tc>
          <w:tcPr>
            <w:tcW w:w="1400" w:type="dxa"/>
            <w:vAlign w:val="bottom"/>
            <w:gridSpan w:val="2"/>
            <w:shd w:val="clear" w:color="auto" w:fill="CCEEFF"/>
          </w:tcPr>
          <w:p>
            <w:pPr>
              <w:ind w:left="1040"/>
              <w:spacing w:after="0"/>
              <w:rPr>
                <w:sz w:val="20"/>
                <w:szCs w:val="20"/>
                <w:color w:val="auto"/>
              </w:rPr>
            </w:pPr>
            <w:r>
              <w:rPr>
                <w:rFonts w:ascii="Arial" w:cs="Arial" w:eastAsia="Arial" w:hAnsi="Arial"/>
                <w:sz w:val="20"/>
                <w:szCs w:val="20"/>
                <w:color w:val="auto"/>
              </w:rPr>
              <w:t>—</w:t>
            </w:r>
          </w:p>
        </w:tc>
        <w:tc>
          <w:tcPr>
            <w:tcW w:w="360" w:type="dxa"/>
            <w:vAlign w:val="bottom"/>
            <w:shd w:val="clear" w:color="auto" w:fill="CCEEFF"/>
          </w:tcPr>
          <w:p>
            <w:pPr>
              <w:jc w:val="right"/>
              <w:ind w:right="161"/>
              <w:spacing w:after="0"/>
              <w:rPr>
                <w:sz w:val="20"/>
                <w:szCs w:val="20"/>
                <w:color w:val="auto"/>
              </w:rPr>
            </w:pPr>
            <w:r>
              <w:rPr>
                <w:rFonts w:ascii="Arial" w:cs="Arial" w:eastAsia="Arial" w:hAnsi="Arial"/>
                <w:sz w:val="20"/>
                <w:szCs w:val="20"/>
                <w:color w:val="auto"/>
                <w:w w:val="71"/>
              </w:rPr>
              <w:t>$</w:t>
            </w: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20"/>
                <w:szCs w:val="20"/>
                <w:color w:val="auto"/>
              </w:rPr>
              <w:t>—</w:t>
            </w:r>
          </w:p>
        </w:tc>
        <w:tc>
          <w:tcPr>
            <w:tcW w:w="360" w:type="dxa"/>
            <w:vAlign w:val="bottom"/>
            <w:shd w:val="clear" w:color="auto" w:fill="CCEEFF"/>
          </w:tcPr>
          <w:p>
            <w:pPr>
              <w:jc w:val="right"/>
              <w:ind w:right="141"/>
              <w:spacing w:after="0"/>
              <w:rPr>
                <w:sz w:val="20"/>
                <w:szCs w:val="20"/>
                <w:color w:val="auto"/>
              </w:rPr>
            </w:pPr>
            <w:r>
              <w:rPr>
                <w:rFonts w:ascii="Arial" w:cs="Arial" w:eastAsia="Arial" w:hAnsi="Arial"/>
                <w:sz w:val="20"/>
                <w:szCs w:val="20"/>
                <w:color w:val="auto"/>
                <w:w w:val="8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w:t>
            </w:r>
          </w:p>
        </w:tc>
      </w:tr>
      <w:tr>
        <w:trPr>
          <w:trHeight w:val="282"/>
        </w:trPr>
        <w:tc>
          <w:tcPr>
            <w:tcW w:w="4300" w:type="dxa"/>
            <w:vAlign w:val="bottom"/>
          </w:tcPr>
          <w:p>
            <w:pPr>
              <w:ind w:left="140"/>
              <w:spacing w:after="0"/>
              <w:rPr>
                <w:sz w:val="20"/>
                <w:szCs w:val="20"/>
                <w:color w:val="auto"/>
              </w:rPr>
            </w:pPr>
            <w:r>
              <w:rPr>
                <w:rFonts w:ascii="Arial" w:cs="Arial" w:eastAsia="Arial" w:hAnsi="Arial"/>
                <w:sz w:val="20"/>
                <w:szCs w:val="20"/>
                <w:color w:val="auto"/>
              </w:rPr>
              <w:t>Additions</w:t>
            </w:r>
          </w:p>
        </w:tc>
        <w:tc>
          <w:tcPr>
            <w:tcW w:w="360" w:type="dxa"/>
            <w:vAlign w:val="bottom"/>
          </w:tcPr>
          <w:p>
            <w:pPr>
              <w:spacing w:after="0"/>
              <w:rPr>
                <w:sz w:val="24"/>
                <w:szCs w:val="24"/>
                <w:color w:val="auto"/>
              </w:rPr>
            </w:pPr>
          </w:p>
        </w:tc>
        <w:tc>
          <w:tcPr>
            <w:tcW w:w="1320" w:type="dxa"/>
            <w:vAlign w:val="bottom"/>
          </w:tcPr>
          <w:p>
            <w:pPr>
              <w:jc w:val="right"/>
              <w:spacing w:after="0"/>
              <w:rPr>
                <w:sz w:val="20"/>
                <w:szCs w:val="20"/>
                <w:color w:val="auto"/>
              </w:rPr>
            </w:pPr>
            <w:r>
              <w:rPr>
                <w:rFonts w:ascii="Arial" w:cs="Arial" w:eastAsia="Arial" w:hAnsi="Arial"/>
                <w:sz w:val="20"/>
                <w:szCs w:val="20"/>
                <w:color w:val="auto"/>
              </w:rPr>
              <w:t>20,007</w:t>
            </w: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0" w:type="dxa"/>
            <w:vAlign w:val="bottom"/>
            <w:gridSpan w:val="2"/>
          </w:tcPr>
          <w:p>
            <w:pPr>
              <w:ind w:left="1040"/>
              <w:spacing w:after="0"/>
              <w:rPr>
                <w:sz w:val="20"/>
                <w:szCs w:val="20"/>
                <w:color w:val="auto"/>
              </w:rPr>
            </w:pPr>
            <w:r>
              <w:rPr>
                <w:rFonts w:ascii="Arial" w:cs="Arial" w:eastAsia="Arial" w:hAnsi="Arial"/>
                <w:sz w:val="20"/>
                <w:szCs w:val="20"/>
                <w:color w:val="auto"/>
              </w:rPr>
              <w:t>—</w:t>
            </w:r>
          </w:p>
        </w:tc>
        <w:tc>
          <w:tcPr>
            <w:tcW w:w="36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Arial" w:cs="Arial" w:eastAsia="Arial" w:hAnsi="Arial"/>
                <w:sz w:val="20"/>
                <w:szCs w:val="20"/>
                <w:color w:val="auto"/>
              </w:rPr>
              <w:t>20,007</w:t>
            </w: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320" w:type="dxa"/>
            <w:vAlign w:val="bottom"/>
          </w:tcPr>
          <w:p>
            <w:pPr>
              <w:jc w:val="right"/>
              <w:spacing w:after="0"/>
              <w:rPr>
                <w:sz w:val="20"/>
                <w:szCs w:val="20"/>
                <w:color w:val="auto"/>
              </w:rPr>
            </w:pPr>
            <w:r>
              <w:rPr>
                <w:rFonts w:ascii="Arial" w:cs="Arial" w:eastAsia="Arial" w:hAnsi="Arial"/>
                <w:sz w:val="20"/>
                <w:szCs w:val="20"/>
                <w:color w:val="auto"/>
              </w:rPr>
              <w:t>—</w:t>
            </w:r>
          </w:p>
        </w:tc>
      </w:tr>
      <w:tr>
        <w:trPr>
          <w:trHeight w:val="285"/>
        </w:trPr>
        <w:tc>
          <w:tcPr>
            <w:tcW w:w="4300" w:type="dxa"/>
            <w:vAlign w:val="bottom"/>
            <w:shd w:val="clear" w:color="auto" w:fill="CCEEFF"/>
          </w:tcPr>
          <w:p>
            <w:pPr>
              <w:ind w:left="140"/>
              <w:spacing w:after="0"/>
              <w:rPr>
                <w:sz w:val="20"/>
                <w:szCs w:val="20"/>
                <w:color w:val="auto"/>
              </w:rPr>
            </w:pPr>
            <w:r>
              <w:rPr>
                <w:rFonts w:ascii="Arial" w:cs="Arial" w:eastAsia="Arial" w:hAnsi="Arial"/>
                <w:sz w:val="20"/>
                <w:szCs w:val="20"/>
                <w:color w:val="auto"/>
              </w:rPr>
              <w:t>Payments</w:t>
            </w:r>
          </w:p>
        </w:tc>
        <w:tc>
          <w:tcPr>
            <w:tcW w:w="360" w:type="dxa"/>
            <w:vAlign w:val="bottom"/>
            <w:shd w:val="clear" w:color="auto" w:fill="CCEEFF"/>
          </w:tcPr>
          <w:p>
            <w:pPr>
              <w:spacing w:after="0"/>
              <w:rPr>
                <w:sz w:val="24"/>
                <w:szCs w:val="24"/>
                <w:color w:val="auto"/>
              </w:rPr>
            </w:pP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20"/>
                <w:szCs w:val="20"/>
                <w:color w:val="auto"/>
              </w:rPr>
              <w:t>—</w:t>
            </w:r>
          </w:p>
        </w:tc>
        <w:tc>
          <w:tcPr>
            <w:tcW w:w="360" w:type="dxa"/>
            <w:vAlign w:val="bottom"/>
            <w:shd w:val="clear" w:color="auto" w:fill="CCEEFF"/>
          </w:tcPr>
          <w:p>
            <w:pPr>
              <w:spacing w:after="0"/>
              <w:rPr>
                <w:sz w:val="24"/>
                <w:szCs w:val="24"/>
                <w:color w:val="auto"/>
              </w:rPr>
            </w:pPr>
          </w:p>
        </w:tc>
        <w:tc>
          <w:tcPr>
            <w:tcW w:w="1400" w:type="dxa"/>
            <w:vAlign w:val="bottom"/>
            <w:gridSpan w:val="2"/>
            <w:shd w:val="clear" w:color="auto" w:fill="CCEEFF"/>
          </w:tcPr>
          <w:p>
            <w:pPr>
              <w:ind w:left="1040"/>
              <w:spacing w:after="0"/>
              <w:rPr>
                <w:sz w:val="20"/>
                <w:szCs w:val="20"/>
                <w:color w:val="auto"/>
              </w:rPr>
            </w:pPr>
            <w:r>
              <w:rPr>
                <w:rFonts w:ascii="Arial" w:cs="Arial" w:eastAsia="Arial" w:hAnsi="Arial"/>
                <w:sz w:val="20"/>
                <w:szCs w:val="20"/>
                <w:color w:val="auto"/>
              </w:rPr>
              <w:t>—</w:t>
            </w:r>
          </w:p>
        </w:tc>
        <w:tc>
          <w:tcPr>
            <w:tcW w:w="360" w:type="dxa"/>
            <w:vAlign w:val="bottom"/>
            <w:shd w:val="clear" w:color="auto" w:fill="CCEEFF"/>
          </w:tcPr>
          <w:p>
            <w:pPr>
              <w:spacing w:after="0"/>
              <w:rPr>
                <w:sz w:val="24"/>
                <w:szCs w:val="24"/>
                <w:color w:val="auto"/>
              </w:rPr>
            </w:pP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20"/>
                <w:szCs w:val="20"/>
                <w:color w:val="auto"/>
              </w:rPr>
              <w:t>—</w:t>
            </w:r>
          </w:p>
        </w:tc>
        <w:tc>
          <w:tcPr>
            <w:tcW w:w="360" w:type="dxa"/>
            <w:vAlign w:val="bottom"/>
            <w:shd w:val="clear" w:color="auto" w:fill="CCEEFF"/>
          </w:tcPr>
          <w:p>
            <w:pPr>
              <w:spacing w:after="0"/>
              <w:rPr>
                <w:sz w:val="24"/>
                <w:szCs w:val="24"/>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w:t>
            </w:r>
          </w:p>
        </w:tc>
      </w:tr>
      <w:tr>
        <w:trPr>
          <w:trHeight w:val="282"/>
        </w:trPr>
        <w:tc>
          <w:tcPr>
            <w:tcW w:w="4300" w:type="dxa"/>
            <w:vAlign w:val="bottom"/>
            <w:tcBorders>
              <w:bottom w:val="single" w:sz="8" w:color="CCEEFF"/>
            </w:tcBorders>
          </w:tcPr>
          <w:p>
            <w:pPr>
              <w:ind w:left="140"/>
              <w:spacing w:after="0"/>
              <w:rPr>
                <w:sz w:val="20"/>
                <w:szCs w:val="20"/>
                <w:color w:val="auto"/>
              </w:rPr>
            </w:pPr>
            <w:r>
              <w:rPr>
                <w:rFonts w:ascii="Arial" w:cs="Arial" w:eastAsia="Arial" w:hAnsi="Arial"/>
                <w:sz w:val="20"/>
                <w:szCs w:val="20"/>
                <w:color w:val="auto"/>
              </w:rPr>
              <w:t>Fair value adjustment</w:t>
            </w:r>
          </w:p>
        </w:tc>
        <w:tc>
          <w:tcPr>
            <w:tcW w:w="36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403</w:t>
            </w:r>
          </w:p>
        </w:tc>
        <w:tc>
          <w:tcPr>
            <w:tcW w:w="8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ind w:left="1040"/>
              <w:spacing w:after="0"/>
              <w:rPr>
                <w:sz w:val="20"/>
                <w:szCs w:val="20"/>
                <w:color w:val="auto"/>
              </w:rPr>
            </w:pPr>
            <w:r>
              <w:rPr>
                <w:rFonts w:ascii="Arial" w:cs="Arial" w:eastAsia="Arial" w:hAnsi="Arial"/>
                <w:sz w:val="20"/>
                <w:szCs w:val="20"/>
                <w:color w:val="auto"/>
              </w:rPr>
              <w:t>—</w:t>
            </w:r>
          </w:p>
        </w:tc>
        <w:tc>
          <w:tcPr>
            <w:tcW w:w="10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403</w:t>
            </w:r>
          </w:p>
        </w:tc>
        <w:tc>
          <w:tcPr>
            <w:tcW w:w="8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r>
      <w:tr>
        <w:trPr>
          <w:trHeight w:val="299"/>
        </w:trPr>
        <w:tc>
          <w:tcPr>
            <w:tcW w:w="4300" w:type="dxa"/>
            <w:vAlign w:val="bottom"/>
            <w:shd w:val="clear" w:color="auto" w:fill="CCEEFF"/>
          </w:tcPr>
          <w:p>
            <w:pPr>
              <w:ind w:left="20"/>
              <w:spacing w:after="0"/>
              <w:rPr>
                <w:sz w:val="20"/>
                <w:szCs w:val="20"/>
                <w:color w:val="auto"/>
              </w:rPr>
            </w:pPr>
            <w:r>
              <w:rPr>
                <w:rFonts w:ascii="Arial" w:cs="Arial" w:eastAsia="Arial" w:hAnsi="Arial"/>
                <w:sz w:val="20"/>
                <w:szCs w:val="20"/>
                <w:color w:val="auto"/>
              </w:rPr>
              <w:t>Ending balance</w:t>
            </w:r>
          </w:p>
        </w:tc>
        <w:tc>
          <w:tcPr>
            <w:tcW w:w="360" w:type="dxa"/>
            <w:vAlign w:val="bottom"/>
            <w:shd w:val="clear" w:color="auto" w:fill="CCEEFF"/>
          </w:tcPr>
          <w:p>
            <w:pPr>
              <w:jc w:val="right"/>
              <w:ind w:right="141"/>
              <w:spacing w:after="0"/>
              <w:rPr>
                <w:sz w:val="20"/>
                <w:szCs w:val="20"/>
                <w:color w:val="auto"/>
              </w:rPr>
            </w:pPr>
            <w:r>
              <w:rPr>
                <w:rFonts w:ascii="Arial" w:cs="Arial" w:eastAsia="Arial" w:hAnsi="Arial"/>
                <w:sz w:val="20"/>
                <w:szCs w:val="20"/>
                <w:color w:val="auto"/>
                <w:w w:val="8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20,410</w:t>
            </w:r>
          </w:p>
        </w:tc>
        <w:tc>
          <w:tcPr>
            <w:tcW w:w="80" w:type="dxa"/>
            <w:vAlign w:val="bottom"/>
            <w:shd w:val="clear" w:color="auto" w:fill="CCEEFF"/>
          </w:tcPr>
          <w:p>
            <w:pPr>
              <w:spacing w:after="0"/>
              <w:rPr>
                <w:sz w:val="24"/>
                <w:szCs w:val="24"/>
                <w:color w:val="auto"/>
              </w:rPr>
            </w:pPr>
          </w:p>
        </w:tc>
        <w:tc>
          <w:tcPr>
            <w:tcW w:w="360" w:type="dxa"/>
            <w:vAlign w:val="bottom"/>
            <w:shd w:val="clear" w:color="auto" w:fill="CCEEFF"/>
          </w:tcPr>
          <w:p>
            <w:pPr>
              <w:jc w:val="right"/>
              <w:ind w:right="161"/>
              <w:spacing w:after="0"/>
              <w:rPr>
                <w:sz w:val="20"/>
                <w:szCs w:val="20"/>
                <w:color w:val="auto"/>
              </w:rPr>
            </w:pPr>
            <w:r>
              <w:rPr>
                <w:rFonts w:ascii="Arial" w:cs="Arial" w:eastAsia="Arial" w:hAnsi="Arial"/>
                <w:sz w:val="20"/>
                <w:szCs w:val="20"/>
                <w:color w:val="auto"/>
                <w:w w:val="71"/>
              </w:rPr>
              <w:t>$</w:t>
            </w:r>
          </w:p>
        </w:tc>
        <w:tc>
          <w:tcPr>
            <w:tcW w:w="1400" w:type="dxa"/>
            <w:vAlign w:val="bottom"/>
            <w:gridSpan w:val="2"/>
            <w:shd w:val="clear" w:color="auto" w:fill="CCEEFF"/>
          </w:tcPr>
          <w:p>
            <w:pPr>
              <w:ind w:left="1040"/>
              <w:spacing w:after="0"/>
              <w:rPr>
                <w:sz w:val="20"/>
                <w:szCs w:val="20"/>
                <w:color w:val="auto"/>
              </w:rPr>
            </w:pPr>
            <w:r>
              <w:rPr>
                <w:rFonts w:ascii="Arial" w:cs="Arial" w:eastAsia="Arial" w:hAnsi="Arial"/>
                <w:sz w:val="20"/>
                <w:szCs w:val="20"/>
                <w:color w:val="auto"/>
              </w:rPr>
              <w:t>—</w:t>
            </w:r>
          </w:p>
        </w:tc>
        <w:tc>
          <w:tcPr>
            <w:tcW w:w="360" w:type="dxa"/>
            <w:vAlign w:val="bottom"/>
            <w:shd w:val="clear" w:color="auto" w:fill="CCEEFF"/>
          </w:tcPr>
          <w:p>
            <w:pPr>
              <w:jc w:val="right"/>
              <w:ind w:right="161"/>
              <w:spacing w:after="0"/>
              <w:rPr>
                <w:sz w:val="20"/>
                <w:szCs w:val="20"/>
                <w:color w:val="auto"/>
              </w:rPr>
            </w:pPr>
            <w:r>
              <w:rPr>
                <w:rFonts w:ascii="Arial" w:cs="Arial" w:eastAsia="Arial" w:hAnsi="Arial"/>
                <w:sz w:val="20"/>
                <w:szCs w:val="20"/>
                <w:color w:val="auto"/>
                <w:w w:val="71"/>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20,410</w:t>
            </w:r>
          </w:p>
        </w:tc>
        <w:tc>
          <w:tcPr>
            <w:tcW w:w="80" w:type="dxa"/>
            <w:vAlign w:val="bottom"/>
            <w:shd w:val="clear" w:color="auto" w:fill="CCEEFF"/>
          </w:tcPr>
          <w:p>
            <w:pPr>
              <w:spacing w:after="0"/>
              <w:rPr>
                <w:sz w:val="24"/>
                <w:szCs w:val="24"/>
                <w:color w:val="auto"/>
              </w:rPr>
            </w:pPr>
          </w:p>
        </w:tc>
        <w:tc>
          <w:tcPr>
            <w:tcW w:w="360" w:type="dxa"/>
            <w:vAlign w:val="bottom"/>
            <w:shd w:val="clear" w:color="auto" w:fill="CCEEFF"/>
          </w:tcPr>
          <w:p>
            <w:pPr>
              <w:jc w:val="right"/>
              <w:ind w:right="141"/>
              <w:spacing w:after="0"/>
              <w:rPr>
                <w:sz w:val="20"/>
                <w:szCs w:val="20"/>
                <w:color w:val="auto"/>
              </w:rPr>
            </w:pPr>
            <w:r>
              <w:rPr>
                <w:rFonts w:ascii="Arial" w:cs="Arial" w:eastAsia="Arial" w:hAnsi="Arial"/>
                <w:sz w:val="20"/>
                <w:szCs w:val="20"/>
                <w:color w:val="auto"/>
                <w:w w:val="8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w:t>
            </w:r>
          </w:p>
        </w:tc>
      </w:tr>
      <w:tr>
        <w:trPr>
          <w:trHeight w:val="20"/>
        </w:trPr>
        <w:tc>
          <w:tcPr>
            <w:tcW w:w="43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r>
    </w:tbl>
    <w:p>
      <w:pPr>
        <w:spacing w:after="0" w:line="329" w:lineRule="exact"/>
        <w:rPr>
          <w:sz w:val="20"/>
          <w:szCs w:val="20"/>
          <w:color w:val="auto"/>
        </w:rPr>
      </w:pPr>
    </w:p>
    <w:p>
      <w:pPr>
        <w:spacing w:after="0"/>
        <w:rPr>
          <w:sz w:val="20"/>
          <w:szCs w:val="20"/>
          <w:color w:val="auto"/>
        </w:rPr>
      </w:pPr>
      <w:r>
        <w:rPr>
          <w:rFonts w:ascii="Arial" w:cs="Arial" w:eastAsia="Arial" w:hAnsi="Arial"/>
          <w:sz w:val="20"/>
          <w:szCs w:val="20"/>
          <w:color w:val="auto"/>
        </w:rPr>
        <w:t>The Earnout Consideration liability requires significant judgment and is classified as Level 3 in the fair value hierarchy.</w:t>
      </w:r>
    </w:p>
    <w:p>
      <w:pPr>
        <w:spacing w:after="0" w:line="25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Surety Bonds</w:t>
      </w:r>
    </w:p>
    <w:p>
      <w:pPr>
        <w:spacing w:after="0" w:line="137" w:lineRule="exact"/>
        <w:rPr>
          <w:sz w:val="20"/>
          <w:szCs w:val="20"/>
          <w:color w:val="auto"/>
        </w:rPr>
      </w:pPr>
    </w:p>
    <w:p>
      <w:pPr>
        <w:jc w:val="both"/>
        <w:spacing w:after="0" w:line="269" w:lineRule="auto"/>
        <w:rPr>
          <w:sz w:val="20"/>
          <w:szCs w:val="20"/>
          <w:color w:val="auto"/>
        </w:rPr>
      </w:pPr>
      <w:r>
        <w:rPr>
          <w:rFonts w:ascii="Arial" w:cs="Arial" w:eastAsia="Arial" w:hAnsi="Arial"/>
          <w:sz w:val="20"/>
          <w:szCs w:val="20"/>
          <w:color w:val="auto"/>
        </w:rPr>
        <w:t>As of September 30, 2025, the Company posted surety bonds in the total amount of $227.4 million. The Company is required to provide surety bonds to various parties as required for certain transactions initiated during the ordinary course of business to guarantee the Company’s performance in accordance with contractual or legal obligations. These off-balance sheet arrangements do not adversely impact the Company’s liquidity or capital resources.</w:t>
      </w:r>
    </w:p>
    <w:p>
      <w:pPr>
        <w:spacing w:after="0" w:line="195" w:lineRule="exact"/>
        <w:rPr>
          <w:sz w:val="20"/>
          <w:szCs w:val="20"/>
          <w:color w:val="auto"/>
        </w:rPr>
      </w:pPr>
    </w:p>
    <w:p>
      <w:pPr>
        <w:ind w:left="500" w:hanging="492"/>
        <w:spacing w:after="0"/>
        <w:tabs>
          <w:tab w:leader="none" w:pos="500" w:val="left"/>
        </w:tabs>
        <w:numPr>
          <w:ilvl w:val="0"/>
          <w:numId w:val="19"/>
        </w:numPr>
        <w:rPr>
          <w:rFonts w:ascii="Arial" w:cs="Arial" w:eastAsia="Arial" w:hAnsi="Arial"/>
          <w:sz w:val="20"/>
          <w:szCs w:val="20"/>
          <w:b w:val="1"/>
          <w:bCs w:val="1"/>
          <w:color w:val="auto"/>
        </w:rPr>
      </w:pPr>
      <w:r>
        <w:rPr>
          <w:rFonts w:ascii="Arial" w:cs="Arial" w:eastAsia="Arial" w:hAnsi="Arial"/>
          <w:sz w:val="20"/>
          <w:szCs w:val="20"/>
          <w:b w:val="1"/>
          <w:bCs w:val="1"/>
          <w:color w:val="auto"/>
        </w:rPr>
        <w:t>Fair Value of Financial Instruments</w:t>
      </w:r>
    </w:p>
    <w:p>
      <w:pPr>
        <w:spacing w:after="0" w:line="258" w:lineRule="exact"/>
        <w:rPr>
          <w:sz w:val="20"/>
          <w:szCs w:val="20"/>
          <w:color w:val="auto"/>
        </w:rPr>
      </w:pPr>
    </w:p>
    <w:p>
      <w:pPr>
        <w:spacing w:after="0"/>
        <w:rPr>
          <w:sz w:val="20"/>
          <w:szCs w:val="20"/>
          <w:color w:val="auto"/>
        </w:rPr>
      </w:pPr>
      <w:r>
        <w:rPr>
          <w:rFonts w:ascii="Arial" w:cs="Arial" w:eastAsia="Arial" w:hAnsi="Arial"/>
          <w:sz w:val="20"/>
          <w:szCs w:val="20"/>
          <w:color w:val="auto"/>
        </w:rPr>
        <w:t>The carrying values and estimated fair values of the Company’s debt financial instruments were as follows (in thousands):</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77"/>
        </w:trPr>
        <w:tc>
          <w:tcPr>
            <w:tcW w:w="4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380" w:type="dxa"/>
            <w:vAlign w:val="bottom"/>
            <w:gridSpan w:val="5"/>
          </w:tcPr>
          <w:p>
            <w:pPr>
              <w:ind w:left="660"/>
              <w:spacing w:after="0"/>
              <w:rPr>
                <w:sz w:val="20"/>
                <w:szCs w:val="20"/>
                <w:color w:val="auto"/>
              </w:rPr>
            </w:pPr>
            <w:r>
              <w:rPr>
                <w:rFonts w:ascii="Arial" w:cs="Arial" w:eastAsia="Arial" w:hAnsi="Arial"/>
                <w:sz w:val="20"/>
                <w:szCs w:val="20"/>
                <w:b w:val="1"/>
                <w:bCs w:val="1"/>
                <w:color w:val="auto"/>
              </w:rPr>
              <w:t>September 30, 2025</w:t>
            </w:r>
          </w:p>
        </w:tc>
        <w:tc>
          <w:tcPr>
            <w:tcW w:w="140" w:type="dxa"/>
            <w:vAlign w:val="bottom"/>
          </w:tcPr>
          <w:p>
            <w:pPr>
              <w:spacing w:after="0"/>
              <w:rPr>
                <w:sz w:val="24"/>
                <w:szCs w:val="24"/>
                <w:color w:val="auto"/>
              </w:rPr>
            </w:pPr>
          </w:p>
        </w:tc>
        <w:tc>
          <w:tcPr>
            <w:tcW w:w="3320" w:type="dxa"/>
            <w:vAlign w:val="bottom"/>
            <w:gridSpan w:val="4"/>
          </w:tcPr>
          <w:p>
            <w:pPr>
              <w:jc w:val="right"/>
              <w:ind w:right="741"/>
              <w:spacing w:after="0"/>
              <w:rPr>
                <w:sz w:val="20"/>
                <w:szCs w:val="20"/>
                <w:color w:val="auto"/>
              </w:rPr>
            </w:pPr>
            <w:r>
              <w:rPr>
                <w:rFonts w:ascii="Arial" w:cs="Arial" w:eastAsia="Arial" w:hAnsi="Arial"/>
                <w:sz w:val="20"/>
                <w:szCs w:val="20"/>
                <w:b w:val="1"/>
                <w:bCs w:val="1"/>
                <w:color w:val="auto"/>
              </w:rPr>
              <w:t>December 31, 2024</w:t>
            </w:r>
          </w:p>
        </w:tc>
      </w:tr>
      <w:tr>
        <w:trPr>
          <w:trHeight w:val="253"/>
        </w:trPr>
        <w:tc>
          <w:tcPr>
            <w:tcW w:w="426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1620" w:type="dxa"/>
            <w:vAlign w:val="bottom"/>
            <w:tcBorders>
              <w:top w:val="single" w:sz="8" w:color="auto"/>
            </w:tcBorders>
            <w:gridSpan w:val="2"/>
          </w:tcPr>
          <w:p>
            <w:pPr>
              <w:spacing w:after="0"/>
              <w:rPr>
                <w:sz w:val="20"/>
                <w:szCs w:val="20"/>
                <w:color w:val="auto"/>
              </w:rPr>
            </w:pPr>
            <w:r>
              <w:rPr>
                <w:rFonts w:ascii="Arial" w:cs="Arial" w:eastAsia="Arial" w:hAnsi="Arial"/>
                <w:sz w:val="20"/>
                <w:szCs w:val="20"/>
                <w:b w:val="1"/>
                <w:bCs w:val="1"/>
                <w:color w:val="auto"/>
              </w:rPr>
              <w:t>Carrying Value</w:t>
            </w:r>
          </w:p>
        </w:tc>
        <w:tc>
          <w:tcPr>
            <w:tcW w:w="240" w:type="dxa"/>
            <w:vAlign w:val="bottom"/>
            <w:tcBorders>
              <w:top w:val="single" w:sz="8" w:color="auto"/>
            </w:tcBorders>
          </w:tcPr>
          <w:p>
            <w:pPr>
              <w:spacing w:after="0"/>
              <w:rPr>
                <w:sz w:val="22"/>
                <w:szCs w:val="22"/>
                <w:color w:val="auto"/>
              </w:rPr>
            </w:pPr>
          </w:p>
        </w:tc>
        <w:tc>
          <w:tcPr>
            <w:tcW w:w="1440" w:type="dxa"/>
            <w:vAlign w:val="bottom"/>
            <w:tcBorders>
              <w:top w:val="single" w:sz="8" w:color="auto"/>
            </w:tcBorders>
          </w:tcPr>
          <w:p>
            <w:pPr>
              <w:jc w:val="right"/>
              <w:ind w:right="281"/>
              <w:spacing w:after="0"/>
              <w:rPr>
                <w:sz w:val="20"/>
                <w:szCs w:val="20"/>
                <w:color w:val="auto"/>
              </w:rPr>
            </w:pPr>
            <w:r>
              <w:rPr>
                <w:rFonts w:ascii="Arial" w:cs="Arial" w:eastAsia="Arial" w:hAnsi="Arial"/>
                <w:sz w:val="20"/>
                <w:szCs w:val="20"/>
                <w:b w:val="1"/>
                <w:bCs w:val="1"/>
                <w:color w:val="auto"/>
              </w:rPr>
              <w:t>Fair Value</w:t>
            </w:r>
          </w:p>
        </w:tc>
        <w:tc>
          <w:tcPr>
            <w:tcW w:w="8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1640" w:type="dxa"/>
            <w:vAlign w:val="bottom"/>
            <w:tcBorders>
              <w:top w:val="single" w:sz="8" w:color="auto"/>
            </w:tcBorders>
            <w:gridSpan w:val="2"/>
          </w:tcPr>
          <w:p>
            <w:pPr>
              <w:ind w:left="20"/>
              <w:spacing w:after="0"/>
              <w:rPr>
                <w:sz w:val="20"/>
                <w:szCs w:val="20"/>
                <w:color w:val="auto"/>
              </w:rPr>
            </w:pPr>
            <w:r>
              <w:rPr>
                <w:rFonts w:ascii="Arial" w:cs="Arial" w:eastAsia="Arial" w:hAnsi="Arial"/>
                <w:sz w:val="20"/>
                <w:szCs w:val="20"/>
                <w:b w:val="1"/>
                <w:bCs w:val="1"/>
                <w:color w:val="auto"/>
              </w:rPr>
              <w:t>Carrying Value</w:t>
            </w:r>
          </w:p>
        </w:tc>
        <w:tc>
          <w:tcPr>
            <w:tcW w:w="240" w:type="dxa"/>
            <w:vAlign w:val="bottom"/>
            <w:tcBorders>
              <w:top w:val="single" w:sz="8" w:color="auto"/>
            </w:tcBorders>
          </w:tcPr>
          <w:p>
            <w:pPr>
              <w:spacing w:after="0"/>
              <w:rPr>
                <w:sz w:val="22"/>
                <w:szCs w:val="22"/>
                <w:color w:val="auto"/>
              </w:rPr>
            </w:pPr>
          </w:p>
        </w:tc>
        <w:tc>
          <w:tcPr>
            <w:tcW w:w="1440" w:type="dxa"/>
            <w:vAlign w:val="bottom"/>
            <w:tcBorders>
              <w:top w:val="single" w:sz="8" w:color="auto"/>
            </w:tcBorders>
          </w:tcPr>
          <w:p>
            <w:pPr>
              <w:jc w:val="right"/>
              <w:ind w:right="281"/>
              <w:spacing w:after="0"/>
              <w:rPr>
                <w:sz w:val="20"/>
                <w:szCs w:val="20"/>
                <w:color w:val="auto"/>
              </w:rPr>
            </w:pPr>
            <w:r>
              <w:rPr>
                <w:rFonts w:ascii="Arial" w:cs="Arial" w:eastAsia="Arial" w:hAnsi="Arial"/>
                <w:sz w:val="20"/>
                <w:szCs w:val="20"/>
                <w:b w:val="1"/>
                <w:bCs w:val="1"/>
                <w:color w:val="auto"/>
              </w:rPr>
              <w:t>Fair Value</w:t>
            </w:r>
          </w:p>
        </w:tc>
      </w:tr>
      <w:tr>
        <w:trPr>
          <w:trHeight w:val="250"/>
        </w:trPr>
        <w:tc>
          <w:tcPr>
            <w:tcW w:w="42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20"/>
                <w:szCs w:val="20"/>
                <w:color w:val="auto"/>
              </w:rPr>
              <w:t>2028 Convertible Notes</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w w:val="89"/>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320,367</w:t>
            </w:r>
          </w:p>
        </w:tc>
        <w:tc>
          <w:tcPr>
            <w:tcW w:w="80" w:type="dxa"/>
            <w:vAlign w:val="bottom"/>
            <w:tcBorders>
              <w:top w:val="single" w:sz="8" w:color="CCEEFF"/>
            </w:tcBorders>
            <w:shd w:val="clear" w:color="auto" w:fill="CCEEFF"/>
          </w:tcPr>
          <w:p>
            <w:pPr>
              <w:spacing w:after="0"/>
              <w:rPr>
                <w:sz w:val="21"/>
                <w:szCs w:val="21"/>
                <w:color w:val="auto"/>
              </w:rPr>
            </w:pPr>
          </w:p>
        </w:tc>
        <w:tc>
          <w:tcPr>
            <w:tcW w:w="240" w:type="dxa"/>
            <w:vAlign w:val="bottom"/>
            <w:tcBorders>
              <w:top w:val="single" w:sz="8" w:color="auto"/>
            </w:tcBorders>
            <w:shd w:val="clear" w:color="auto" w:fill="CCEEFF"/>
          </w:tcPr>
          <w:p>
            <w:pPr>
              <w:jc w:val="right"/>
              <w:ind w:right="21"/>
              <w:spacing w:after="0"/>
              <w:rPr>
                <w:sz w:val="20"/>
                <w:szCs w:val="20"/>
                <w:color w:val="auto"/>
              </w:rPr>
            </w:pPr>
            <w:r>
              <w:rPr>
                <w:rFonts w:ascii="Arial" w:cs="Arial" w:eastAsia="Arial" w:hAnsi="Arial"/>
                <w:sz w:val="20"/>
                <w:szCs w:val="20"/>
                <w:color w:val="auto"/>
                <w:w w:val="89"/>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288,304</w:t>
            </w:r>
          </w:p>
        </w:tc>
        <w:tc>
          <w:tcPr>
            <w:tcW w:w="80" w:type="dxa"/>
            <w:vAlign w:val="bottom"/>
            <w:tcBorders>
              <w:top w:val="single" w:sz="8" w:color="CCEEFF"/>
            </w:tcBorders>
            <w:shd w:val="clear" w:color="auto" w:fill="CCEEFF"/>
          </w:tcPr>
          <w:p>
            <w:pPr>
              <w:spacing w:after="0"/>
              <w:rPr>
                <w:sz w:val="21"/>
                <w:szCs w:val="21"/>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156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20"/>
                <w:szCs w:val="20"/>
                <w:color w:val="auto"/>
              </w:rPr>
              <w:t>417,525</w:t>
            </w:r>
          </w:p>
        </w:tc>
        <w:tc>
          <w:tcPr>
            <w:tcW w:w="80" w:type="dxa"/>
            <w:vAlign w:val="bottom"/>
            <w:tcBorders>
              <w:top w:val="single" w:sz="8" w:color="CCEEFF"/>
            </w:tcBorders>
            <w:shd w:val="clear" w:color="auto" w:fill="CCEEFF"/>
          </w:tcPr>
          <w:p>
            <w:pPr>
              <w:spacing w:after="0"/>
              <w:rPr>
                <w:sz w:val="21"/>
                <w:szCs w:val="21"/>
                <w:color w:val="auto"/>
              </w:rPr>
            </w:pPr>
          </w:p>
        </w:tc>
        <w:tc>
          <w:tcPr>
            <w:tcW w:w="240" w:type="dxa"/>
            <w:vAlign w:val="bottom"/>
            <w:tcBorders>
              <w:top w:val="single" w:sz="8" w:color="auto"/>
            </w:tcBorders>
            <w:shd w:val="clear" w:color="auto" w:fill="CCEEFF"/>
          </w:tcPr>
          <w:p>
            <w:pPr>
              <w:jc w:val="right"/>
              <w:ind w:right="21"/>
              <w:spacing w:after="0"/>
              <w:rPr>
                <w:sz w:val="20"/>
                <w:szCs w:val="20"/>
                <w:color w:val="auto"/>
              </w:rPr>
            </w:pPr>
            <w:r>
              <w:rPr>
                <w:rFonts w:ascii="Arial" w:cs="Arial" w:eastAsia="Arial" w:hAnsi="Arial"/>
                <w:sz w:val="20"/>
                <w:szCs w:val="20"/>
                <w:color w:val="auto"/>
                <w:w w:val="89"/>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311,525</w:t>
            </w:r>
          </w:p>
        </w:tc>
      </w:tr>
      <w:tr>
        <w:trPr>
          <w:trHeight w:val="261"/>
        </w:trPr>
        <w:tc>
          <w:tcPr>
            <w:tcW w:w="4260" w:type="dxa"/>
            <w:vAlign w:val="bottom"/>
          </w:tcPr>
          <w:p>
            <w:pPr>
              <w:ind w:left="20"/>
              <w:spacing w:after="0"/>
              <w:rPr>
                <w:sz w:val="20"/>
                <w:szCs w:val="20"/>
                <w:color w:val="auto"/>
              </w:rPr>
            </w:pPr>
            <w:r>
              <w:rPr>
                <w:rFonts w:ascii="Arial" w:cs="Arial" w:eastAsia="Arial" w:hAnsi="Arial"/>
                <w:sz w:val="20"/>
                <w:szCs w:val="20"/>
                <w:color w:val="auto"/>
              </w:rPr>
              <w:t>2031 Convertible Notes</w:t>
            </w:r>
          </w:p>
        </w:tc>
        <w:tc>
          <w:tcPr>
            <w:tcW w:w="140" w:type="dxa"/>
            <w:vAlign w:val="bottom"/>
          </w:tcPr>
          <w:p>
            <w:pPr>
              <w:spacing w:after="0"/>
              <w:rPr>
                <w:sz w:val="22"/>
                <w:szCs w:val="22"/>
                <w:color w:val="auto"/>
              </w:rPr>
            </w:pPr>
          </w:p>
        </w:tc>
        <w:tc>
          <w:tcPr>
            <w:tcW w:w="1540" w:type="dxa"/>
            <w:vAlign w:val="bottom"/>
          </w:tcPr>
          <w:p>
            <w:pPr>
              <w:jc w:val="right"/>
              <w:spacing w:after="0"/>
              <w:rPr>
                <w:sz w:val="20"/>
                <w:szCs w:val="20"/>
                <w:color w:val="auto"/>
              </w:rPr>
            </w:pPr>
            <w:r>
              <w:rPr>
                <w:rFonts w:ascii="Arial" w:cs="Arial" w:eastAsia="Arial" w:hAnsi="Arial"/>
                <w:sz w:val="20"/>
                <w:szCs w:val="20"/>
                <w:color w:val="auto"/>
              </w:rPr>
              <w:t>335,012</w:t>
            </w: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440" w:type="dxa"/>
            <w:vAlign w:val="bottom"/>
          </w:tcPr>
          <w:p>
            <w:pPr>
              <w:jc w:val="right"/>
              <w:spacing w:after="0"/>
              <w:rPr>
                <w:sz w:val="20"/>
                <w:szCs w:val="20"/>
                <w:color w:val="auto"/>
              </w:rPr>
            </w:pPr>
            <w:r>
              <w:rPr>
                <w:rFonts w:ascii="Arial" w:cs="Arial" w:eastAsia="Arial" w:hAnsi="Arial"/>
                <w:sz w:val="20"/>
                <w:szCs w:val="20"/>
                <w:color w:val="auto"/>
              </w:rPr>
              <w:t>445,913</w:t>
            </w: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640" w:type="dxa"/>
            <w:vAlign w:val="bottom"/>
            <w:gridSpan w:val="2"/>
          </w:tcPr>
          <w:p>
            <w:pPr>
              <w:jc w:val="right"/>
              <w:ind w:right="180"/>
              <w:spacing w:after="0"/>
              <w:rPr>
                <w:sz w:val="20"/>
                <w:szCs w:val="20"/>
                <w:color w:val="auto"/>
              </w:rPr>
            </w:pPr>
            <w:r>
              <w:rPr>
                <w:rFonts w:ascii="Arial" w:cs="Arial" w:eastAsia="Arial" w:hAnsi="Arial"/>
                <w:sz w:val="20"/>
                <w:szCs w:val="20"/>
                <w:color w:val="auto"/>
              </w:rPr>
              <w:t>—</w:t>
            </w:r>
          </w:p>
        </w:tc>
        <w:tc>
          <w:tcPr>
            <w:tcW w:w="240" w:type="dxa"/>
            <w:vAlign w:val="bottom"/>
          </w:tcPr>
          <w:p>
            <w:pPr>
              <w:spacing w:after="0"/>
              <w:rPr>
                <w:sz w:val="22"/>
                <w:szCs w:val="22"/>
                <w:color w:val="auto"/>
              </w:rPr>
            </w:pPr>
          </w:p>
        </w:tc>
        <w:tc>
          <w:tcPr>
            <w:tcW w:w="1440" w:type="dxa"/>
            <w:vAlign w:val="bottom"/>
          </w:tcPr>
          <w:p>
            <w:pPr>
              <w:jc w:val="right"/>
              <w:spacing w:after="0"/>
              <w:rPr>
                <w:sz w:val="20"/>
                <w:szCs w:val="20"/>
                <w:color w:val="auto"/>
              </w:rPr>
            </w:pPr>
            <w:r>
              <w:rPr>
                <w:rFonts w:ascii="Arial" w:cs="Arial" w:eastAsia="Arial" w:hAnsi="Arial"/>
                <w:sz w:val="20"/>
                <w:szCs w:val="20"/>
                <w:color w:val="auto"/>
              </w:rPr>
              <w:t>—</w:t>
            </w:r>
          </w:p>
        </w:tc>
      </w:tr>
    </w:tbl>
    <w:p>
      <w:pPr>
        <w:spacing w:after="0" w:line="311" w:lineRule="exact"/>
        <w:rPr>
          <w:sz w:val="20"/>
          <w:szCs w:val="20"/>
          <w:color w:val="auto"/>
        </w:rPr>
      </w:pPr>
    </w:p>
    <w:p>
      <w:pPr>
        <w:jc w:val="both"/>
        <w:spacing w:after="0" w:line="300" w:lineRule="auto"/>
        <w:rPr>
          <w:sz w:val="20"/>
          <w:szCs w:val="20"/>
          <w:color w:val="auto"/>
        </w:rPr>
      </w:pPr>
      <w:r>
        <w:rPr>
          <w:rFonts w:ascii="Arial" w:cs="Arial" w:eastAsia="Arial" w:hAnsi="Arial"/>
          <w:sz w:val="20"/>
          <w:szCs w:val="20"/>
          <w:color w:val="auto"/>
        </w:rPr>
        <w:t>The fair value of the Convertible Notes is estimated using Level 2 inputs, as they are not registered securities nor listed on any securities exchange but may be traded by qualified institutional buyers.</w:t>
      </w:r>
    </w:p>
    <w:p>
      <w:pPr>
        <w:spacing w:after="0" w:line="168" w:lineRule="exact"/>
        <w:rPr>
          <w:sz w:val="20"/>
          <w:szCs w:val="20"/>
          <w:color w:val="auto"/>
        </w:rPr>
      </w:pPr>
    </w:p>
    <w:p>
      <w:pPr>
        <w:jc w:val="both"/>
        <w:spacing w:after="0" w:line="276" w:lineRule="auto"/>
        <w:rPr>
          <w:sz w:val="20"/>
          <w:szCs w:val="20"/>
          <w:color w:val="auto"/>
        </w:rPr>
      </w:pPr>
      <w:r>
        <w:rPr>
          <w:rFonts w:ascii="Arial" w:cs="Arial" w:eastAsia="Arial" w:hAnsi="Arial"/>
          <w:sz w:val="20"/>
          <w:szCs w:val="20"/>
          <w:color w:val="auto"/>
        </w:rPr>
        <w:t>The fair value of the Term Loan Facility and Other Debt is estimated using Level 2 inputs. The carrying values of the Term Loan Facility outstanding under the Senior Secured Credit Facility recorded in the condensed consolidated balance sheets approximate fair value due to the variable nature of the interest rates.</w:t>
      </w:r>
    </w:p>
    <w:p>
      <w:pPr>
        <w:spacing w:after="0" w:line="192" w:lineRule="exact"/>
        <w:rPr>
          <w:sz w:val="20"/>
          <w:szCs w:val="20"/>
          <w:color w:val="auto"/>
        </w:rPr>
      </w:pPr>
    </w:p>
    <w:p>
      <w:pPr>
        <w:jc w:val="both"/>
        <w:spacing w:after="0" w:line="276" w:lineRule="auto"/>
        <w:rPr>
          <w:sz w:val="20"/>
          <w:szCs w:val="20"/>
          <w:color w:val="auto"/>
        </w:rPr>
      </w:pPr>
      <w:r>
        <w:rPr>
          <w:rFonts w:ascii="Arial" w:cs="Arial" w:eastAsia="Arial" w:hAnsi="Arial"/>
          <w:sz w:val="20"/>
          <w:szCs w:val="20"/>
          <w:color w:val="auto"/>
        </w:rPr>
        <w:t>Other Debt with an aggregate carrying value of $25.6 million, consists of variable and fixed rate obligations. Due to the relative short-term maturity of the fixed rate obligations, the Company believes the carrying value approximates fair value. The carrying value of the variable rate obligations approximates fair value due to the variable nature of the interest rates.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78105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8" w:name="page39"/>
    <w:bookmarkEnd w:id="38"/>
    <w:p>
      <w:pPr>
        <w:spacing w:after="0" w:line="310" w:lineRule="exact"/>
        <w:rPr>
          <w:sz w:val="20"/>
          <w:szCs w:val="20"/>
          <w:color w:val="auto"/>
        </w:rPr>
      </w:pPr>
    </w:p>
    <w:p>
      <w:pPr>
        <w:ind w:left="500" w:hanging="492"/>
        <w:spacing w:after="0"/>
        <w:tabs>
          <w:tab w:leader="none" w:pos="500" w:val="left"/>
        </w:tabs>
        <w:numPr>
          <w:ilvl w:val="0"/>
          <w:numId w:val="20"/>
        </w:numPr>
        <w:rPr>
          <w:rFonts w:ascii="Arial" w:cs="Arial" w:eastAsia="Arial" w:hAnsi="Arial"/>
          <w:sz w:val="20"/>
          <w:szCs w:val="20"/>
          <w:b w:val="1"/>
          <w:bCs w:val="1"/>
          <w:color w:val="auto"/>
        </w:rPr>
      </w:pPr>
      <w:r>
        <w:rPr>
          <w:rFonts w:ascii="Arial" w:cs="Arial" w:eastAsia="Arial" w:hAnsi="Arial"/>
          <w:sz w:val="20"/>
          <w:szCs w:val="20"/>
          <w:b w:val="1"/>
          <w:bCs w:val="1"/>
          <w:color w:val="auto"/>
        </w:rPr>
        <w:t>Equity-Based Compensation</w:t>
      </w:r>
    </w:p>
    <w:p>
      <w:pPr>
        <w:spacing w:after="0" w:line="25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2020 Equity Incentive Plan</w:t>
      </w:r>
    </w:p>
    <w:p>
      <w:pPr>
        <w:spacing w:after="0" w:line="137" w:lineRule="exact"/>
        <w:rPr>
          <w:sz w:val="20"/>
          <w:szCs w:val="20"/>
          <w:color w:val="auto"/>
        </w:rPr>
      </w:pPr>
    </w:p>
    <w:p>
      <w:pPr>
        <w:jc w:val="both"/>
        <w:spacing w:after="0" w:line="286" w:lineRule="auto"/>
        <w:rPr>
          <w:sz w:val="20"/>
          <w:szCs w:val="20"/>
          <w:color w:val="auto"/>
        </w:rPr>
      </w:pPr>
      <w:r>
        <w:rPr>
          <w:rFonts w:ascii="Arial" w:cs="Arial" w:eastAsia="Arial" w:hAnsi="Arial"/>
          <w:sz w:val="20"/>
          <w:szCs w:val="20"/>
          <w:color w:val="auto"/>
        </w:rPr>
        <w:t>On October 14, 2020, the Company’s 2020 Equity Incentive Plan (the “2020 Plan”) became effective. The 2020 Plan authorized 6,683,919 new shares, subject to adjustments pursuant to the 2020 Plan.</w:t>
      </w:r>
    </w:p>
    <w:p>
      <w:pPr>
        <w:spacing w:after="0" w:line="17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Restricted Stock Units</w:t>
      </w:r>
    </w:p>
    <w:p>
      <w:pPr>
        <w:spacing w:after="0" w:line="137" w:lineRule="exact"/>
        <w:rPr>
          <w:sz w:val="20"/>
          <w:szCs w:val="20"/>
          <w:color w:val="auto"/>
        </w:rPr>
      </w:pPr>
    </w:p>
    <w:p>
      <w:pPr>
        <w:jc w:val="both"/>
        <w:spacing w:after="0" w:line="269" w:lineRule="auto"/>
        <w:rPr>
          <w:sz w:val="20"/>
          <w:szCs w:val="20"/>
          <w:color w:val="auto"/>
        </w:rPr>
      </w:pPr>
      <w:r>
        <w:rPr>
          <w:rFonts w:ascii="Arial" w:cs="Arial" w:eastAsia="Arial" w:hAnsi="Arial"/>
          <w:sz w:val="20"/>
          <w:szCs w:val="20"/>
          <w:color w:val="auto"/>
        </w:rPr>
        <w:t>Pursuant to the 2020 Plan, the Company grants time-based restricted stock units (“RSUs”) to employees and members of the Company’s board of directors. The fair value of the RSUs is determined using the market value of the Company’s common stock on the grant date and is recognized on a straight-line basis over the vesting term of the awards.</w:t>
      </w:r>
    </w:p>
    <w:p>
      <w:pPr>
        <w:spacing w:after="0" w:line="212" w:lineRule="exact"/>
        <w:rPr>
          <w:sz w:val="20"/>
          <w:szCs w:val="20"/>
          <w:color w:val="auto"/>
        </w:rPr>
      </w:pPr>
    </w:p>
    <w:p>
      <w:pPr>
        <w:spacing w:after="0"/>
        <w:rPr>
          <w:sz w:val="20"/>
          <w:szCs w:val="20"/>
          <w:color w:val="auto"/>
        </w:rPr>
      </w:pPr>
      <w:r>
        <w:rPr>
          <w:rFonts w:ascii="Arial" w:cs="Arial" w:eastAsia="Arial" w:hAnsi="Arial"/>
          <w:sz w:val="20"/>
          <w:szCs w:val="20"/>
          <w:color w:val="auto"/>
        </w:rPr>
        <w:t>RSU activity under the 2020 Plan during the nine months ended September 30, 2025, was as follows:</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560" w:type="dxa"/>
            <w:vAlign w:val="bottom"/>
          </w:tcPr>
          <w:p>
            <w:pPr>
              <w:spacing w:after="0"/>
              <w:rPr>
                <w:sz w:val="19"/>
                <w:szCs w:val="19"/>
                <w:color w:val="auto"/>
              </w:rPr>
            </w:pPr>
          </w:p>
        </w:tc>
        <w:tc>
          <w:tcPr>
            <w:tcW w:w="2300" w:type="dxa"/>
            <w:vAlign w:val="bottom"/>
            <w:vMerge w:val="restart"/>
          </w:tcPr>
          <w:p>
            <w:pPr>
              <w:jc w:val="right"/>
              <w:ind w:right="201"/>
              <w:spacing w:after="0"/>
              <w:rPr>
                <w:sz w:val="20"/>
                <w:szCs w:val="20"/>
                <w:color w:val="auto"/>
              </w:rPr>
            </w:pPr>
            <w:r>
              <w:rPr>
                <w:rFonts w:ascii="Arial" w:cs="Arial" w:eastAsia="Arial" w:hAnsi="Arial"/>
                <w:sz w:val="20"/>
                <w:szCs w:val="20"/>
                <w:b w:val="1"/>
                <w:bCs w:val="1"/>
                <w:color w:val="auto"/>
              </w:rPr>
              <w:t>Number of Shares</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180" w:type="dxa"/>
            <w:vAlign w:val="bottom"/>
          </w:tcPr>
          <w:p>
            <w:pPr>
              <w:jc w:val="right"/>
              <w:ind w:right="201"/>
              <w:spacing w:after="0"/>
              <w:rPr>
                <w:sz w:val="20"/>
                <w:szCs w:val="20"/>
                <w:color w:val="auto"/>
              </w:rPr>
            </w:pPr>
            <w:r>
              <w:rPr>
                <w:rFonts w:ascii="Arial" w:cs="Arial" w:eastAsia="Arial" w:hAnsi="Arial"/>
                <w:sz w:val="20"/>
                <w:szCs w:val="20"/>
                <w:b w:val="1"/>
                <w:bCs w:val="1"/>
                <w:color w:val="auto"/>
              </w:rPr>
              <w:t>Weighted Average</w:t>
            </w:r>
          </w:p>
        </w:tc>
        <w:tc>
          <w:tcPr>
            <w:tcW w:w="0" w:type="dxa"/>
            <w:vAlign w:val="bottom"/>
          </w:tcPr>
          <w:p>
            <w:pPr>
              <w:spacing w:after="0"/>
              <w:rPr>
                <w:sz w:val="1"/>
                <w:szCs w:val="1"/>
                <w:color w:val="auto"/>
              </w:rPr>
            </w:pPr>
          </w:p>
        </w:tc>
      </w:tr>
      <w:tr>
        <w:trPr>
          <w:trHeight w:val="267"/>
        </w:trPr>
        <w:tc>
          <w:tcPr>
            <w:tcW w:w="6560" w:type="dxa"/>
            <w:vAlign w:val="bottom"/>
            <w:tcBorders>
              <w:bottom w:val="single" w:sz="8" w:color="CCEEFF"/>
            </w:tcBorders>
          </w:tcPr>
          <w:p>
            <w:pPr>
              <w:spacing w:after="0"/>
              <w:rPr>
                <w:sz w:val="23"/>
                <w:szCs w:val="23"/>
                <w:color w:val="auto"/>
              </w:rPr>
            </w:pPr>
          </w:p>
        </w:tc>
        <w:tc>
          <w:tcPr>
            <w:tcW w:w="2300" w:type="dxa"/>
            <w:vAlign w:val="bottom"/>
            <w:tcBorders>
              <w:bottom w:val="single" w:sz="8" w:color="auto"/>
            </w:tcBorders>
            <w:vMerge w:val="continue"/>
          </w:tcPr>
          <w:p>
            <w:pPr>
              <w:spacing w:after="0"/>
              <w:rPr>
                <w:sz w:val="23"/>
                <w:szCs w:val="23"/>
                <w:color w:val="auto"/>
              </w:rPr>
            </w:pPr>
          </w:p>
        </w:tc>
        <w:tc>
          <w:tcPr>
            <w:tcW w:w="80" w:type="dxa"/>
            <w:vAlign w:val="bottom"/>
            <w:tcBorders>
              <w:bottom w:val="single" w:sz="8" w:color="CCEEFF"/>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2180" w:type="dxa"/>
            <w:vAlign w:val="bottom"/>
            <w:tcBorders>
              <w:bottom w:val="single" w:sz="8" w:color="auto"/>
            </w:tcBorders>
          </w:tcPr>
          <w:p>
            <w:pPr>
              <w:jc w:val="right"/>
              <w:ind w:right="61"/>
              <w:spacing w:after="0"/>
              <w:rPr>
                <w:sz w:val="20"/>
                <w:szCs w:val="20"/>
                <w:color w:val="auto"/>
              </w:rPr>
            </w:pPr>
            <w:r>
              <w:rPr>
                <w:rFonts w:ascii="Arial" w:cs="Arial" w:eastAsia="Arial" w:hAnsi="Arial"/>
                <w:sz w:val="20"/>
                <w:szCs w:val="20"/>
                <w:b w:val="1"/>
                <w:bCs w:val="1"/>
                <w:color w:val="auto"/>
                <w:w w:val="98"/>
              </w:rPr>
              <w:t>Grant Date Fair Value</w:t>
            </w:r>
          </w:p>
        </w:tc>
        <w:tc>
          <w:tcPr>
            <w:tcW w:w="0" w:type="dxa"/>
            <w:vAlign w:val="bottom"/>
          </w:tcPr>
          <w:p>
            <w:pPr>
              <w:spacing w:after="0"/>
              <w:rPr>
                <w:sz w:val="1"/>
                <w:szCs w:val="1"/>
                <w:color w:val="auto"/>
              </w:rPr>
            </w:pPr>
          </w:p>
        </w:tc>
      </w:tr>
      <w:tr>
        <w:trPr>
          <w:trHeight w:val="277"/>
        </w:trPr>
        <w:tc>
          <w:tcPr>
            <w:tcW w:w="6560" w:type="dxa"/>
            <w:vAlign w:val="bottom"/>
            <w:shd w:val="clear" w:color="auto" w:fill="CCEEFF"/>
          </w:tcPr>
          <w:p>
            <w:pPr>
              <w:ind w:left="20"/>
              <w:spacing w:after="0"/>
              <w:rPr>
                <w:sz w:val="20"/>
                <w:szCs w:val="20"/>
                <w:color w:val="auto"/>
              </w:rPr>
            </w:pPr>
            <w:r>
              <w:rPr>
                <w:rFonts w:ascii="Arial" w:cs="Arial" w:eastAsia="Arial" w:hAnsi="Arial"/>
                <w:sz w:val="20"/>
                <w:szCs w:val="20"/>
                <w:color w:val="auto"/>
              </w:rPr>
              <w:t>Outstanding non-vested, December 31, 2024</w:t>
            </w:r>
          </w:p>
        </w:tc>
        <w:tc>
          <w:tcPr>
            <w:tcW w:w="2300" w:type="dxa"/>
            <w:vAlign w:val="bottom"/>
            <w:shd w:val="clear" w:color="auto" w:fill="CCEEFF"/>
          </w:tcPr>
          <w:p>
            <w:pPr>
              <w:jc w:val="right"/>
              <w:ind w:right="1"/>
              <w:spacing w:after="0"/>
              <w:rPr>
                <w:sz w:val="20"/>
                <w:szCs w:val="20"/>
                <w:color w:val="auto"/>
              </w:rPr>
            </w:pPr>
            <w:r>
              <w:rPr>
                <w:rFonts w:ascii="Arial" w:cs="Arial" w:eastAsia="Arial" w:hAnsi="Arial"/>
                <w:sz w:val="20"/>
                <w:szCs w:val="20"/>
                <w:color w:val="auto"/>
              </w:rPr>
              <w:t>2,648,161</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20"/>
                <w:szCs w:val="20"/>
                <w:color w:val="auto"/>
              </w:rPr>
              <w:t>$</w:t>
            </w:r>
          </w:p>
        </w:tc>
        <w:tc>
          <w:tcPr>
            <w:tcW w:w="21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10.97</w:t>
            </w:r>
          </w:p>
        </w:tc>
        <w:tc>
          <w:tcPr>
            <w:tcW w:w="0" w:type="dxa"/>
            <w:vAlign w:val="bottom"/>
          </w:tcPr>
          <w:p>
            <w:pPr>
              <w:spacing w:after="0"/>
              <w:rPr>
                <w:sz w:val="1"/>
                <w:szCs w:val="1"/>
                <w:color w:val="auto"/>
              </w:rPr>
            </w:pPr>
          </w:p>
        </w:tc>
      </w:tr>
      <w:tr>
        <w:trPr>
          <w:trHeight w:val="282"/>
        </w:trPr>
        <w:tc>
          <w:tcPr>
            <w:tcW w:w="6560" w:type="dxa"/>
            <w:vAlign w:val="bottom"/>
          </w:tcPr>
          <w:p>
            <w:pPr>
              <w:ind w:left="140"/>
              <w:spacing w:after="0"/>
              <w:rPr>
                <w:sz w:val="20"/>
                <w:szCs w:val="20"/>
                <w:color w:val="auto"/>
              </w:rPr>
            </w:pPr>
            <w:r>
              <w:rPr>
                <w:rFonts w:ascii="Arial" w:cs="Arial" w:eastAsia="Arial" w:hAnsi="Arial"/>
                <w:sz w:val="20"/>
                <w:szCs w:val="20"/>
                <w:color w:val="auto"/>
              </w:rPr>
              <w:t>Shares granted</w:t>
            </w:r>
          </w:p>
        </w:tc>
        <w:tc>
          <w:tcPr>
            <w:tcW w:w="2300" w:type="dxa"/>
            <w:vAlign w:val="bottom"/>
          </w:tcPr>
          <w:p>
            <w:pPr>
              <w:jc w:val="right"/>
              <w:ind w:right="1"/>
              <w:spacing w:after="0"/>
              <w:rPr>
                <w:sz w:val="20"/>
                <w:szCs w:val="20"/>
                <w:color w:val="auto"/>
              </w:rPr>
            </w:pPr>
            <w:r>
              <w:rPr>
                <w:rFonts w:ascii="Arial" w:cs="Arial" w:eastAsia="Arial" w:hAnsi="Arial"/>
                <w:sz w:val="20"/>
                <w:szCs w:val="20"/>
                <w:color w:val="auto"/>
              </w:rPr>
              <w:t>2,944,857</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180" w:type="dxa"/>
            <w:vAlign w:val="bottom"/>
          </w:tcPr>
          <w:p>
            <w:pPr>
              <w:jc w:val="right"/>
              <w:spacing w:after="0"/>
              <w:rPr>
                <w:sz w:val="20"/>
                <w:szCs w:val="20"/>
                <w:color w:val="auto"/>
              </w:rPr>
            </w:pPr>
            <w:r>
              <w:rPr>
                <w:rFonts w:ascii="Arial" w:cs="Arial" w:eastAsia="Arial" w:hAnsi="Arial"/>
                <w:sz w:val="20"/>
                <w:szCs w:val="20"/>
                <w:color w:val="auto"/>
              </w:rPr>
              <w:t>6.25</w:t>
            </w:r>
          </w:p>
        </w:tc>
        <w:tc>
          <w:tcPr>
            <w:tcW w:w="0" w:type="dxa"/>
            <w:vAlign w:val="bottom"/>
          </w:tcPr>
          <w:p>
            <w:pPr>
              <w:spacing w:after="0"/>
              <w:rPr>
                <w:sz w:val="1"/>
                <w:szCs w:val="1"/>
                <w:color w:val="auto"/>
              </w:rPr>
            </w:pPr>
          </w:p>
        </w:tc>
      </w:tr>
      <w:tr>
        <w:trPr>
          <w:trHeight w:val="285"/>
        </w:trPr>
        <w:tc>
          <w:tcPr>
            <w:tcW w:w="6560" w:type="dxa"/>
            <w:vAlign w:val="bottom"/>
            <w:shd w:val="clear" w:color="auto" w:fill="CCEEFF"/>
          </w:tcPr>
          <w:p>
            <w:pPr>
              <w:ind w:left="140"/>
              <w:spacing w:after="0"/>
              <w:rPr>
                <w:sz w:val="20"/>
                <w:szCs w:val="20"/>
                <w:color w:val="auto"/>
              </w:rPr>
            </w:pPr>
            <w:r>
              <w:rPr>
                <w:rFonts w:ascii="Arial" w:cs="Arial" w:eastAsia="Arial" w:hAnsi="Arial"/>
                <w:sz w:val="20"/>
                <w:szCs w:val="20"/>
                <w:color w:val="auto"/>
              </w:rPr>
              <w:t>Shares vested</w:t>
            </w:r>
          </w:p>
        </w:tc>
        <w:tc>
          <w:tcPr>
            <w:tcW w:w="23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(784,833)</w:t>
            </w:r>
          </w:p>
        </w:tc>
        <w:tc>
          <w:tcPr>
            <w:tcW w:w="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1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12.46</w:t>
            </w:r>
          </w:p>
        </w:tc>
        <w:tc>
          <w:tcPr>
            <w:tcW w:w="0" w:type="dxa"/>
            <w:vAlign w:val="bottom"/>
          </w:tcPr>
          <w:p>
            <w:pPr>
              <w:spacing w:after="0"/>
              <w:rPr>
                <w:sz w:val="1"/>
                <w:szCs w:val="1"/>
                <w:color w:val="auto"/>
              </w:rPr>
            </w:pPr>
          </w:p>
        </w:tc>
      </w:tr>
      <w:tr>
        <w:trPr>
          <w:trHeight w:val="282"/>
        </w:trPr>
        <w:tc>
          <w:tcPr>
            <w:tcW w:w="6560" w:type="dxa"/>
            <w:vAlign w:val="bottom"/>
            <w:tcBorders>
              <w:bottom w:val="single" w:sz="8" w:color="CCEEFF"/>
            </w:tcBorders>
          </w:tcPr>
          <w:p>
            <w:pPr>
              <w:ind w:left="140"/>
              <w:spacing w:after="0"/>
              <w:rPr>
                <w:sz w:val="20"/>
                <w:szCs w:val="20"/>
                <w:color w:val="auto"/>
              </w:rPr>
            </w:pPr>
            <w:r>
              <w:rPr>
                <w:rFonts w:ascii="Arial" w:cs="Arial" w:eastAsia="Arial" w:hAnsi="Arial"/>
                <w:sz w:val="20"/>
                <w:szCs w:val="20"/>
                <w:color w:val="auto"/>
              </w:rPr>
              <w:t>Shares forfeited/canceled</w:t>
            </w:r>
          </w:p>
        </w:tc>
        <w:tc>
          <w:tcPr>
            <w:tcW w:w="23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(407,966)</w:t>
            </w:r>
          </w:p>
        </w:tc>
        <w:tc>
          <w:tcPr>
            <w:tcW w:w="8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2180" w:type="dxa"/>
            <w:vAlign w:val="bottom"/>
            <w:tcBorders>
              <w:bottom w:val="single" w:sz="8" w:color="CCEEFF"/>
            </w:tcBorders>
          </w:tcPr>
          <w:p>
            <w:pPr>
              <w:jc w:val="right"/>
              <w:spacing w:after="0"/>
              <w:rPr>
                <w:sz w:val="20"/>
                <w:szCs w:val="20"/>
                <w:color w:val="auto"/>
              </w:rPr>
            </w:pPr>
            <w:r>
              <w:rPr>
                <w:rFonts w:ascii="Arial" w:cs="Arial" w:eastAsia="Arial" w:hAnsi="Arial"/>
                <w:sz w:val="20"/>
                <w:szCs w:val="20"/>
                <w:color w:val="auto"/>
              </w:rPr>
              <w:t>9.91</w:t>
            </w:r>
          </w:p>
        </w:tc>
        <w:tc>
          <w:tcPr>
            <w:tcW w:w="0" w:type="dxa"/>
            <w:vAlign w:val="bottom"/>
          </w:tcPr>
          <w:p>
            <w:pPr>
              <w:spacing w:after="0"/>
              <w:rPr>
                <w:sz w:val="1"/>
                <w:szCs w:val="1"/>
                <w:color w:val="auto"/>
              </w:rPr>
            </w:pPr>
          </w:p>
        </w:tc>
      </w:tr>
      <w:tr>
        <w:trPr>
          <w:trHeight w:val="304"/>
        </w:trPr>
        <w:tc>
          <w:tcPr>
            <w:tcW w:w="6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20"/>
                <w:szCs w:val="20"/>
                <w:color w:val="auto"/>
              </w:rPr>
              <w:t>Outstanding non-vested, September 30, 2025</w:t>
            </w:r>
          </w:p>
        </w:tc>
        <w:tc>
          <w:tcPr>
            <w:tcW w:w="230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20"/>
                <w:szCs w:val="20"/>
                <w:color w:val="auto"/>
              </w:rPr>
              <w:t>4,400,219</w:t>
            </w:r>
          </w:p>
        </w:tc>
        <w:tc>
          <w:tcPr>
            <w:tcW w:w="2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20"/>
                <w:szCs w:val="20"/>
                <w:color w:val="auto"/>
              </w:rPr>
              <w:t>$</w:t>
            </w:r>
          </w:p>
        </w:tc>
        <w:tc>
          <w:tcPr>
            <w:tcW w:w="2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rPr>
              <w:t>7.64</w:t>
            </w:r>
          </w:p>
        </w:tc>
        <w:tc>
          <w:tcPr>
            <w:tcW w:w="0" w:type="dxa"/>
            <w:vAlign w:val="bottom"/>
          </w:tcPr>
          <w:p>
            <w:pPr>
              <w:spacing w:after="0"/>
              <w:rPr>
                <w:sz w:val="1"/>
                <w:szCs w:val="1"/>
                <w:color w:val="auto"/>
              </w:rPr>
            </w:pPr>
          </w:p>
        </w:tc>
      </w:tr>
      <w:tr>
        <w:trPr>
          <w:trHeight w:val="20"/>
        </w:trPr>
        <w:tc>
          <w:tcPr>
            <w:tcW w:w="6560" w:type="dxa"/>
            <w:vAlign w:val="bottom"/>
            <w:tcBorders>
              <w:top w:val="single" w:sz="8" w:color="CCEEFF"/>
            </w:tcBorders>
          </w:tcPr>
          <w:p>
            <w:pPr>
              <w:spacing w:after="0" w:line="20" w:lineRule="exact"/>
              <w:rPr>
                <w:sz w:val="1"/>
                <w:szCs w:val="1"/>
                <w:color w:val="auto"/>
              </w:rPr>
            </w:pPr>
          </w:p>
        </w:tc>
        <w:tc>
          <w:tcPr>
            <w:tcW w:w="23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1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Performance Stock Units</w:t>
      </w:r>
    </w:p>
    <w:p>
      <w:pPr>
        <w:spacing w:after="0" w:line="123" w:lineRule="exact"/>
        <w:rPr>
          <w:sz w:val="20"/>
          <w:szCs w:val="20"/>
          <w:color w:val="auto"/>
        </w:rPr>
      </w:pPr>
    </w:p>
    <w:p>
      <w:pPr>
        <w:jc w:val="both"/>
        <w:spacing w:after="0" w:line="263" w:lineRule="auto"/>
        <w:rPr>
          <w:sz w:val="20"/>
          <w:szCs w:val="20"/>
          <w:color w:val="auto"/>
        </w:rPr>
      </w:pPr>
      <w:r>
        <w:rPr>
          <w:rFonts w:ascii="Arial" w:cs="Arial" w:eastAsia="Arial" w:hAnsi="Arial"/>
          <w:sz w:val="20"/>
          <w:szCs w:val="20"/>
          <w:color w:val="auto"/>
        </w:rPr>
        <w:t>The Company has granted performance-based restricted stock units (“PSUs”) to certain employees. The PSUs generally cliff vest after three years and upon meeting certain revenue and adjusted EPS targets. The PSUs also contain a modifier based on the total stock return compared to a certain index which modifies the number of PSUs that vest. PSUs were valued using a Monte-Carlo simulation method on the date of grant based on the U.S. Treasury Constant Maturity rates, and the assigned fair value on grant date is recognized on a straight-line basis over the vesting term of the awards. The probability of the awards meeting the performance related vested conditions is not included in the grant date fair value, but rather is estimated quarterly and the expense recognition is trued- up accordingly upon any probability to vest revision.</w:t>
      </w:r>
    </w:p>
    <w:p>
      <w:pPr>
        <w:spacing w:after="0" w:line="207" w:lineRule="exact"/>
        <w:rPr>
          <w:sz w:val="20"/>
          <w:szCs w:val="20"/>
          <w:color w:val="auto"/>
        </w:rPr>
      </w:pPr>
    </w:p>
    <w:p>
      <w:pPr>
        <w:jc w:val="both"/>
        <w:spacing w:after="0" w:line="269" w:lineRule="auto"/>
        <w:rPr>
          <w:sz w:val="20"/>
          <w:szCs w:val="20"/>
          <w:color w:val="auto"/>
        </w:rPr>
      </w:pPr>
      <w:r>
        <w:rPr>
          <w:rFonts w:ascii="Arial" w:cs="Arial" w:eastAsia="Arial" w:hAnsi="Arial"/>
          <w:sz w:val="20"/>
          <w:szCs w:val="20"/>
          <w:color w:val="auto"/>
        </w:rPr>
        <w:t>Certain PSU awards do not yet have a grant date because not all of the performance criteria is known at inception. Until the grant date is established, these awards are remeasured at fair value each reporting period using a Monte Carlo simulation, and the associated expense is recognized and trued up quarterly based on the updated fair value and estimated probability of vesting.</w:t>
      </w:r>
    </w:p>
    <w:p>
      <w:pPr>
        <w:spacing w:after="0" w:line="211" w:lineRule="exact"/>
        <w:rPr>
          <w:sz w:val="20"/>
          <w:szCs w:val="20"/>
          <w:color w:val="auto"/>
        </w:rPr>
      </w:pPr>
    </w:p>
    <w:p>
      <w:pPr>
        <w:jc w:val="both"/>
        <w:spacing w:after="0" w:line="266" w:lineRule="auto"/>
        <w:rPr>
          <w:sz w:val="20"/>
          <w:szCs w:val="20"/>
          <w:color w:val="auto"/>
        </w:rPr>
      </w:pPr>
      <w:r>
        <w:rPr>
          <w:rFonts w:ascii="Arial" w:cs="Arial" w:eastAsia="Arial" w:hAnsi="Arial"/>
          <w:sz w:val="20"/>
          <w:szCs w:val="20"/>
          <w:color w:val="auto"/>
        </w:rPr>
        <w:t>The following assumptions were used in the Monte Carlo simulation for computing the grant date fair value of the PSUs issued during the nine months ended September 30, 2025 and 2024:</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67"/>
        </w:trPr>
        <w:tc>
          <w:tcPr>
            <w:tcW w:w="7940" w:type="dxa"/>
            <w:vAlign w:val="bottom"/>
            <w:gridSpan w:val="2"/>
          </w:tcPr>
          <w:p>
            <w:pPr>
              <w:jc w:val="right"/>
              <w:ind w:right="160"/>
              <w:spacing w:after="0"/>
              <w:rPr>
                <w:sz w:val="20"/>
                <w:szCs w:val="20"/>
                <w:color w:val="auto"/>
              </w:rPr>
            </w:pPr>
            <w:r>
              <w:rPr>
                <w:rFonts w:ascii="Arial" w:cs="Arial" w:eastAsia="Arial" w:hAnsi="Arial"/>
                <w:sz w:val="20"/>
                <w:szCs w:val="20"/>
                <w:b w:val="1"/>
                <w:bCs w:val="1"/>
                <w:color w:val="auto"/>
              </w:rPr>
              <w:t>2025</w:t>
            </w:r>
          </w:p>
        </w:tc>
        <w:tc>
          <w:tcPr>
            <w:tcW w:w="8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400" w:type="dxa"/>
            <w:vAlign w:val="bottom"/>
          </w:tcPr>
          <w:p>
            <w:pPr>
              <w:jc w:val="right"/>
              <w:ind w:right="881"/>
              <w:spacing w:after="0"/>
              <w:rPr>
                <w:sz w:val="20"/>
                <w:szCs w:val="20"/>
                <w:color w:val="auto"/>
              </w:rPr>
            </w:pPr>
            <w:r>
              <w:rPr>
                <w:rFonts w:ascii="Arial" w:cs="Arial" w:eastAsia="Arial" w:hAnsi="Arial"/>
                <w:sz w:val="20"/>
                <w:szCs w:val="20"/>
                <w:b w:val="1"/>
                <w:bCs w:val="1"/>
                <w:color w:val="auto"/>
              </w:rPr>
              <w:t>2024</w:t>
            </w:r>
          </w:p>
        </w:tc>
      </w:tr>
      <w:tr>
        <w:trPr>
          <w:trHeight w:val="277"/>
        </w:trPr>
        <w:tc>
          <w:tcPr>
            <w:tcW w:w="63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20"/>
                <w:szCs w:val="20"/>
                <w:color w:val="auto"/>
              </w:rPr>
              <w:t>Volatility</w:t>
            </w:r>
          </w:p>
        </w:tc>
        <w:tc>
          <w:tcPr>
            <w:tcW w:w="1580" w:type="dxa"/>
            <w:vAlign w:val="bottom"/>
            <w:tcBorders>
              <w:top w:val="single" w:sz="8" w:color="auto"/>
            </w:tcBorders>
            <w:shd w:val="clear" w:color="auto" w:fill="CCEEFF"/>
          </w:tcPr>
          <w:p>
            <w:pPr>
              <w:spacing w:after="0"/>
              <w:rPr>
                <w:sz w:val="24"/>
                <w:szCs w:val="24"/>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79 %</w:t>
            </w:r>
          </w:p>
        </w:tc>
        <w:tc>
          <w:tcPr>
            <w:tcW w:w="80" w:type="dxa"/>
            <w:vAlign w:val="bottom"/>
            <w:tcBorders>
              <w:top w:val="single" w:sz="8" w:color="CCEEFF"/>
            </w:tcBorders>
            <w:shd w:val="clear" w:color="auto" w:fill="CCEEFF"/>
          </w:tcPr>
          <w:p>
            <w:pPr>
              <w:spacing w:after="0"/>
              <w:rPr>
                <w:sz w:val="24"/>
                <w:szCs w:val="24"/>
                <w:color w:val="auto"/>
              </w:rPr>
            </w:pPr>
          </w:p>
        </w:tc>
        <w:tc>
          <w:tcPr>
            <w:tcW w:w="2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79 %</w:t>
            </w:r>
          </w:p>
        </w:tc>
      </w:tr>
      <w:tr>
        <w:trPr>
          <w:trHeight w:val="275"/>
        </w:trPr>
        <w:tc>
          <w:tcPr>
            <w:tcW w:w="7940" w:type="dxa"/>
            <w:vAlign w:val="bottom"/>
            <w:gridSpan w:val="2"/>
          </w:tcPr>
          <w:p>
            <w:pPr>
              <w:ind w:left="20"/>
              <w:spacing w:after="0"/>
              <w:rPr>
                <w:sz w:val="20"/>
                <w:szCs w:val="20"/>
                <w:color w:val="auto"/>
              </w:rPr>
            </w:pPr>
            <w:r>
              <w:rPr>
                <w:rFonts w:ascii="Arial" w:cs="Arial" w:eastAsia="Arial" w:hAnsi="Arial"/>
                <w:sz w:val="20"/>
                <w:szCs w:val="20"/>
                <w:color w:val="auto"/>
              </w:rPr>
              <w:t>Risk-free interest rate</w:t>
            </w:r>
          </w:p>
        </w:tc>
        <w:tc>
          <w:tcPr>
            <w:tcW w:w="820" w:type="dxa"/>
            <w:vAlign w:val="bottom"/>
          </w:tcPr>
          <w:p>
            <w:pPr>
              <w:jc w:val="right"/>
              <w:spacing w:after="0"/>
              <w:rPr>
                <w:sz w:val="20"/>
                <w:szCs w:val="20"/>
                <w:color w:val="auto"/>
              </w:rPr>
            </w:pPr>
            <w:r>
              <w:rPr>
                <w:rFonts w:ascii="Arial" w:cs="Arial" w:eastAsia="Arial" w:hAnsi="Arial"/>
                <w:sz w:val="20"/>
                <w:szCs w:val="20"/>
                <w:color w:val="auto"/>
              </w:rPr>
              <w:t>3.57 %</w:t>
            </w:r>
          </w:p>
        </w:tc>
        <w:tc>
          <w:tcPr>
            <w:tcW w:w="80" w:type="dxa"/>
            <w:vAlign w:val="bottom"/>
          </w:tcPr>
          <w:p>
            <w:pPr>
              <w:spacing w:after="0"/>
              <w:rPr>
                <w:sz w:val="23"/>
                <w:szCs w:val="23"/>
                <w:color w:val="auto"/>
              </w:rPr>
            </w:pPr>
          </w:p>
        </w:tc>
        <w:tc>
          <w:tcPr>
            <w:tcW w:w="2400" w:type="dxa"/>
            <w:vAlign w:val="bottom"/>
          </w:tcPr>
          <w:p>
            <w:pPr>
              <w:jc w:val="right"/>
              <w:spacing w:after="0"/>
              <w:rPr>
                <w:sz w:val="20"/>
                <w:szCs w:val="20"/>
                <w:color w:val="auto"/>
              </w:rPr>
            </w:pPr>
            <w:r>
              <w:rPr>
                <w:rFonts w:ascii="Arial" w:cs="Arial" w:eastAsia="Arial" w:hAnsi="Arial"/>
                <w:sz w:val="20"/>
                <w:szCs w:val="20"/>
                <w:color w:val="auto"/>
              </w:rPr>
              <w:t>4.62 %</w:t>
            </w:r>
          </w:p>
        </w:tc>
      </w:tr>
      <w:tr>
        <w:trPr>
          <w:trHeight w:val="292"/>
        </w:trPr>
        <w:tc>
          <w:tcPr>
            <w:tcW w:w="7940" w:type="dxa"/>
            <w:vAlign w:val="bottom"/>
            <w:gridSpan w:val="2"/>
            <w:shd w:val="clear" w:color="auto" w:fill="CCEEFF"/>
          </w:tcPr>
          <w:p>
            <w:pPr>
              <w:ind w:left="20"/>
              <w:spacing w:after="0"/>
              <w:rPr>
                <w:sz w:val="20"/>
                <w:szCs w:val="20"/>
                <w:color w:val="auto"/>
              </w:rPr>
            </w:pPr>
            <w:r>
              <w:rPr>
                <w:rFonts w:ascii="Arial" w:cs="Arial" w:eastAsia="Arial" w:hAnsi="Arial"/>
                <w:sz w:val="20"/>
                <w:szCs w:val="20"/>
                <w:color w:val="auto"/>
              </w:rPr>
              <w:t>Dividend yield</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20"/>
                <w:szCs w:val="20"/>
                <w:color w:val="auto"/>
              </w:rPr>
              <w:t>— %</w:t>
            </w:r>
          </w:p>
        </w:tc>
        <w:tc>
          <w:tcPr>
            <w:tcW w:w="24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 %</w:t>
            </w:r>
          </w:p>
        </w:tc>
      </w:tr>
    </w:tbl>
    <w:p>
      <w:pPr>
        <w:spacing w:after="0" w:line="200" w:lineRule="exact"/>
        <w:rPr>
          <w:sz w:val="20"/>
          <w:szCs w:val="20"/>
          <w:color w:val="auto"/>
        </w:rPr>
      </w:pP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39" w:name="page40"/>
    <w:bookmarkEnd w:id="39"/>
    <w:p>
      <w:pPr>
        <w:spacing w:after="0" w:line="312" w:lineRule="exact"/>
        <w:rPr>
          <w:sz w:val="20"/>
          <w:szCs w:val="20"/>
          <w:color w:val="auto"/>
        </w:rPr>
      </w:pPr>
    </w:p>
    <w:p>
      <w:pPr>
        <w:spacing w:after="0"/>
        <w:rPr>
          <w:sz w:val="20"/>
          <w:szCs w:val="20"/>
          <w:color w:val="auto"/>
        </w:rPr>
      </w:pPr>
      <w:r>
        <w:rPr>
          <w:rFonts w:ascii="Arial" w:cs="Arial" w:eastAsia="Arial" w:hAnsi="Arial"/>
          <w:sz w:val="20"/>
          <w:szCs w:val="20"/>
          <w:color w:val="auto"/>
        </w:rPr>
        <w:t>PSU activity under the 2020 Plan during the nine months ended September 30, 2025, was as follows:</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560" w:type="dxa"/>
            <w:vAlign w:val="bottom"/>
          </w:tcPr>
          <w:p>
            <w:pPr>
              <w:spacing w:after="0"/>
              <w:rPr>
                <w:sz w:val="19"/>
                <w:szCs w:val="19"/>
                <w:color w:val="auto"/>
              </w:rPr>
            </w:pPr>
          </w:p>
        </w:tc>
        <w:tc>
          <w:tcPr>
            <w:tcW w:w="2300" w:type="dxa"/>
            <w:vAlign w:val="bottom"/>
            <w:vMerge w:val="restart"/>
          </w:tcPr>
          <w:p>
            <w:pPr>
              <w:jc w:val="right"/>
              <w:ind w:right="201"/>
              <w:spacing w:after="0"/>
              <w:rPr>
                <w:sz w:val="20"/>
                <w:szCs w:val="20"/>
                <w:color w:val="auto"/>
              </w:rPr>
            </w:pPr>
            <w:r>
              <w:rPr>
                <w:rFonts w:ascii="Arial" w:cs="Arial" w:eastAsia="Arial" w:hAnsi="Arial"/>
                <w:sz w:val="20"/>
                <w:szCs w:val="20"/>
                <w:b w:val="1"/>
                <w:bCs w:val="1"/>
                <w:color w:val="auto"/>
              </w:rPr>
              <w:t>Number of Shares</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180" w:type="dxa"/>
            <w:vAlign w:val="bottom"/>
          </w:tcPr>
          <w:p>
            <w:pPr>
              <w:jc w:val="right"/>
              <w:ind w:right="201"/>
              <w:spacing w:after="0"/>
              <w:rPr>
                <w:sz w:val="20"/>
                <w:szCs w:val="20"/>
                <w:color w:val="auto"/>
              </w:rPr>
            </w:pPr>
            <w:r>
              <w:rPr>
                <w:rFonts w:ascii="Arial" w:cs="Arial" w:eastAsia="Arial" w:hAnsi="Arial"/>
                <w:sz w:val="20"/>
                <w:szCs w:val="20"/>
                <w:b w:val="1"/>
                <w:bCs w:val="1"/>
                <w:color w:val="auto"/>
              </w:rPr>
              <w:t>Weighted Average</w:t>
            </w:r>
          </w:p>
        </w:tc>
        <w:tc>
          <w:tcPr>
            <w:tcW w:w="0" w:type="dxa"/>
            <w:vAlign w:val="bottom"/>
          </w:tcPr>
          <w:p>
            <w:pPr>
              <w:spacing w:after="0"/>
              <w:rPr>
                <w:sz w:val="1"/>
                <w:szCs w:val="1"/>
                <w:color w:val="auto"/>
              </w:rPr>
            </w:pPr>
          </w:p>
        </w:tc>
      </w:tr>
      <w:tr>
        <w:trPr>
          <w:trHeight w:val="267"/>
        </w:trPr>
        <w:tc>
          <w:tcPr>
            <w:tcW w:w="6560" w:type="dxa"/>
            <w:vAlign w:val="bottom"/>
            <w:tcBorders>
              <w:bottom w:val="single" w:sz="8" w:color="CCEEFF"/>
            </w:tcBorders>
          </w:tcPr>
          <w:p>
            <w:pPr>
              <w:spacing w:after="0"/>
              <w:rPr>
                <w:sz w:val="23"/>
                <w:szCs w:val="23"/>
                <w:color w:val="auto"/>
              </w:rPr>
            </w:pPr>
          </w:p>
        </w:tc>
        <w:tc>
          <w:tcPr>
            <w:tcW w:w="2300" w:type="dxa"/>
            <w:vAlign w:val="bottom"/>
            <w:tcBorders>
              <w:bottom w:val="single" w:sz="8" w:color="auto"/>
            </w:tcBorders>
            <w:vMerge w:val="continue"/>
          </w:tcPr>
          <w:p>
            <w:pPr>
              <w:spacing w:after="0"/>
              <w:rPr>
                <w:sz w:val="23"/>
                <w:szCs w:val="23"/>
                <w:color w:val="auto"/>
              </w:rPr>
            </w:pPr>
          </w:p>
        </w:tc>
        <w:tc>
          <w:tcPr>
            <w:tcW w:w="80" w:type="dxa"/>
            <w:vAlign w:val="bottom"/>
            <w:tcBorders>
              <w:bottom w:val="single" w:sz="8" w:color="CCEEFF"/>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2180" w:type="dxa"/>
            <w:vAlign w:val="bottom"/>
            <w:tcBorders>
              <w:bottom w:val="single" w:sz="8" w:color="auto"/>
            </w:tcBorders>
          </w:tcPr>
          <w:p>
            <w:pPr>
              <w:jc w:val="right"/>
              <w:ind w:right="61"/>
              <w:spacing w:after="0"/>
              <w:rPr>
                <w:sz w:val="20"/>
                <w:szCs w:val="20"/>
                <w:color w:val="auto"/>
              </w:rPr>
            </w:pPr>
            <w:r>
              <w:rPr>
                <w:rFonts w:ascii="Arial" w:cs="Arial" w:eastAsia="Arial" w:hAnsi="Arial"/>
                <w:sz w:val="20"/>
                <w:szCs w:val="20"/>
                <w:b w:val="1"/>
                <w:bCs w:val="1"/>
                <w:color w:val="auto"/>
                <w:w w:val="98"/>
              </w:rPr>
              <w:t>Grant Date Fair Value</w:t>
            </w:r>
          </w:p>
        </w:tc>
        <w:tc>
          <w:tcPr>
            <w:tcW w:w="0" w:type="dxa"/>
            <w:vAlign w:val="bottom"/>
          </w:tcPr>
          <w:p>
            <w:pPr>
              <w:spacing w:after="0"/>
              <w:rPr>
                <w:sz w:val="1"/>
                <w:szCs w:val="1"/>
                <w:color w:val="auto"/>
              </w:rPr>
            </w:pPr>
          </w:p>
        </w:tc>
      </w:tr>
      <w:tr>
        <w:trPr>
          <w:trHeight w:val="277"/>
        </w:trPr>
        <w:tc>
          <w:tcPr>
            <w:tcW w:w="6560" w:type="dxa"/>
            <w:vAlign w:val="bottom"/>
            <w:shd w:val="clear" w:color="auto" w:fill="CCEEFF"/>
          </w:tcPr>
          <w:p>
            <w:pPr>
              <w:ind w:left="20"/>
              <w:spacing w:after="0"/>
              <w:rPr>
                <w:sz w:val="20"/>
                <w:szCs w:val="20"/>
                <w:color w:val="auto"/>
              </w:rPr>
            </w:pPr>
            <w:r>
              <w:rPr>
                <w:rFonts w:ascii="Arial" w:cs="Arial" w:eastAsia="Arial" w:hAnsi="Arial"/>
                <w:sz w:val="20"/>
                <w:szCs w:val="20"/>
                <w:color w:val="auto"/>
              </w:rPr>
              <w:t>Outstanding non-vested, December 31, 2024</w:t>
            </w:r>
          </w:p>
        </w:tc>
        <w:tc>
          <w:tcPr>
            <w:tcW w:w="2300" w:type="dxa"/>
            <w:vAlign w:val="bottom"/>
            <w:shd w:val="clear" w:color="auto" w:fill="CCEEFF"/>
          </w:tcPr>
          <w:p>
            <w:pPr>
              <w:jc w:val="right"/>
              <w:ind w:right="1"/>
              <w:spacing w:after="0"/>
              <w:rPr>
                <w:sz w:val="20"/>
                <w:szCs w:val="20"/>
                <w:color w:val="auto"/>
              </w:rPr>
            </w:pPr>
            <w:r>
              <w:rPr>
                <w:rFonts w:ascii="Arial" w:cs="Arial" w:eastAsia="Arial" w:hAnsi="Arial"/>
                <w:sz w:val="20"/>
                <w:szCs w:val="20"/>
                <w:color w:val="auto"/>
              </w:rPr>
              <w:t>924,241</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20"/>
                <w:szCs w:val="20"/>
                <w:color w:val="auto"/>
              </w:rPr>
              <w:t>$</w:t>
            </w:r>
          </w:p>
        </w:tc>
        <w:tc>
          <w:tcPr>
            <w:tcW w:w="21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12.76</w:t>
            </w:r>
          </w:p>
        </w:tc>
        <w:tc>
          <w:tcPr>
            <w:tcW w:w="0" w:type="dxa"/>
            <w:vAlign w:val="bottom"/>
          </w:tcPr>
          <w:p>
            <w:pPr>
              <w:spacing w:after="0"/>
              <w:rPr>
                <w:sz w:val="1"/>
                <w:szCs w:val="1"/>
                <w:color w:val="auto"/>
              </w:rPr>
            </w:pPr>
          </w:p>
        </w:tc>
      </w:tr>
      <w:tr>
        <w:trPr>
          <w:trHeight w:val="282"/>
        </w:trPr>
        <w:tc>
          <w:tcPr>
            <w:tcW w:w="6560" w:type="dxa"/>
            <w:vAlign w:val="bottom"/>
          </w:tcPr>
          <w:p>
            <w:pPr>
              <w:ind w:left="140"/>
              <w:spacing w:after="0"/>
              <w:rPr>
                <w:sz w:val="20"/>
                <w:szCs w:val="20"/>
                <w:color w:val="auto"/>
              </w:rPr>
            </w:pPr>
            <w:r>
              <w:rPr>
                <w:rFonts w:ascii="Arial" w:cs="Arial" w:eastAsia="Arial" w:hAnsi="Arial"/>
                <w:sz w:val="20"/>
                <w:szCs w:val="20"/>
                <w:color w:val="auto"/>
              </w:rPr>
              <w:t>Shares granted</w:t>
            </w:r>
          </w:p>
        </w:tc>
        <w:tc>
          <w:tcPr>
            <w:tcW w:w="2300" w:type="dxa"/>
            <w:vAlign w:val="bottom"/>
          </w:tcPr>
          <w:p>
            <w:pPr>
              <w:jc w:val="right"/>
              <w:ind w:right="1"/>
              <w:spacing w:after="0"/>
              <w:rPr>
                <w:sz w:val="20"/>
                <w:szCs w:val="20"/>
                <w:color w:val="auto"/>
              </w:rPr>
            </w:pPr>
            <w:r>
              <w:rPr>
                <w:rFonts w:ascii="Arial" w:cs="Arial" w:eastAsia="Arial" w:hAnsi="Arial"/>
                <w:sz w:val="20"/>
                <w:szCs w:val="20"/>
                <w:color w:val="auto"/>
              </w:rPr>
              <w:t>659,773</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180" w:type="dxa"/>
            <w:vAlign w:val="bottom"/>
          </w:tcPr>
          <w:p>
            <w:pPr>
              <w:jc w:val="right"/>
              <w:spacing w:after="0"/>
              <w:rPr>
                <w:sz w:val="20"/>
                <w:szCs w:val="20"/>
                <w:color w:val="auto"/>
              </w:rPr>
            </w:pPr>
            <w:r>
              <w:rPr>
                <w:rFonts w:ascii="Arial" w:cs="Arial" w:eastAsia="Arial" w:hAnsi="Arial"/>
                <w:sz w:val="20"/>
                <w:szCs w:val="20"/>
                <w:color w:val="auto"/>
              </w:rPr>
              <w:t>8.53</w:t>
            </w:r>
          </w:p>
        </w:tc>
        <w:tc>
          <w:tcPr>
            <w:tcW w:w="0" w:type="dxa"/>
            <w:vAlign w:val="bottom"/>
          </w:tcPr>
          <w:p>
            <w:pPr>
              <w:spacing w:after="0"/>
              <w:rPr>
                <w:sz w:val="1"/>
                <w:szCs w:val="1"/>
                <w:color w:val="auto"/>
              </w:rPr>
            </w:pPr>
          </w:p>
        </w:tc>
      </w:tr>
      <w:tr>
        <w:trPr>
          <w:trHeight w:val="285"/>
        </w:trPr>
        <w:tc>
          <w:tcPr>
            <w:tcW w:w="6560" w:type="dxa"/>
            <w:vAlign w:val="bottom"/>
            <w:shd w:val="clear" w:color="auto" w:fill="CCEEFF"/>
          </w:tcPr>
          <w:p>
            <w:pPr>
              <w:ind w:left="140"/>
              <w:spacing w:after="0"/>
              <w:rPr>
                <w:sz w:val="20"/>
                <w:szCs w:val="20"/>
                <w:color w:val="auto"/>
              </w:rPr>
            </w:pPr>
            <w:r>
              <w:rPr>
                <w:rFonts w:ascii="Arial" w:cs="Arial" w:eastAsia="Arial" w:hAnsi="Arial"/>
                <w:sz w:val="20"/>
                <w:szCs w:val="20"/>
                <w:color w:val="auto"/>
              </w:rPr>
              <w:t>Shares vested</w:t>
            </w:r>
          </w:p>
        </w:tc>
        <w:tc>
          <w:tcPr>
            <w:tcW w:w="2300" w:type="dxa"/>
            <w:vAlign w:val="bottom"/>
            <w:shd w:val="clear" w:color="auto" w:fill="CCEEFF"/>
          </w:tcPr>
          <w:p>
            <w:pPr>
              <w:jc w:val="right"/>
              <w:ind w:right="1"/>
              <w:spacing w:after="0"/>
              <w:rPr>
                <w:sz w:val="20"/>
                <w:szCs w:val="20"/>
                <w:color w:val="auto"/>
              </w:rPr>
            </w:pPr>
            <w:r>
              <w:rPr>
                <w:rFonts w:ascii="Arial" w:cs="Arial" w:eastAsia="Arial" w:hAnsi="Arial"/>
                <w:sz w:val="20"/>
                <w:szCs w:val="20"/>
                <w:color w:val="auto"/>
              </w:rPr>
              <w:t>—</w:t>
            </w:r>
          </w:p>
        </w:tc>
        <w:tc>
          <w:tcPr>
            <w:tcW w:w="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1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82"/>
        </w:trPr>
        <w:tc>
          <w:tcPr>
            <w:tcW w:w="6560" w:type="dxa"/>
            <w:vAlign w:val="bottom"/>
            <w:tcBorders>
              <w:bottom w:val="single" w:sz="8" w:color="CCEEFF"/>
            </w:tcBorders>
          </w:tcPr>
          <w:p>
            <w:pPr>
              <w:ind w:left="140"/>
              <w:spacing w:after="0"/>
              <w:rPr>
                <w:sz w:val="20"/>
                <w:szCs w:val="20"/>
                <w:color w:val="auto"/>
              </w:rPr>
            </w:pPr>
            <w:r>
              <w:rPr>
                <w:rFonts w:ascii="Arial" w:cs="Arial" w:eastAsia="Arial" w:hAnsi="Arial"/>
                <w:sz w:val="20"/>
                <w:szCs w:val="20"/>
                <w:color w:val="auto"/>
              </w:rPr>
              <w:t>Shares forfeited/canceled</w:t>
            </w:r>
          </w:p>
        </w:tc>
        <w:tc>
          <w:tcPr>
            <w:tcW w:w="23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(57,237)</w:t>
            </w:r>
          </w:p>
        </w:tc>
        <w:tc>
          <w:tcPr>
            <w:tcW w:w="8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2180" w:type="dxa"/>
            <w:vAlign w:val="bottom"/>
            <w:tcBorders>
              <w:bottom w:val="single" w:sz="8" w:color="CCEEFF"/>
            </w:tcBorders>
          </w:tcPr>
          <w:p>
            <w:pPr>
              <w:jc w:val="right"/>
              <w:spacing w:after="0"/>
              <w:rPr>
                <w:sz w:val="20"/>
                <w:szCs w:val="20"/>
                <w:color w:val="auto"/>
              </w:rPr>
            </w:pPr>
            <w:r>
              <w:rPr>
                <w:rFonts w:ascii="Arial" w:cs="Arial" w:eastAsia="Arial" w:hAnsi="Arial"/>
                <w:sz w:val="20"/>
                <w:szCs w:val="20"/>
                <w:color w:val="auto"/>
              </w:rPr>
              <w:t>5.29</w:t>
            </w:r>
          </w:p>
        </w:tc>
        <w:tc>
          <w:tcPr>
            <w:tcW w:w="0" w:type="dxa"/>
            <w:vAlign w:val="bottom"/>
          </w:tcPr>
          <w:p>
            <w:pPr>
              <w:spacing w:after="0"/>
              <w:rPr>
                <w:sz w:val="1"/>
                <w:szCs w:val="1"/>
                <w:color w:val="auto"/>
              </w:rPr>
            </w:pPr>
          </w:p>
        </w:tc>
      </w:tr>
      <w:tr>
        <w:trPr>
          <w:trHeight w:val="304"/>
        </w:trPr>
        <w:tc>
          <w:tcPr>
            <w:tcW w:w="6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20"/>
                <w:szCs w:val="20"/>
                <w:color w:val="auto"/>
              </w:rPr>
              <w:t>Outstanding non-vested, September 30, 2025</w:t>
            </w:r>
          </w:p>
        </w:tc>
        <w:tc>
          <w:tcPr>
            <w:tcW w:w="230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20"/>
                <w:szCs w:val="20"/>
                <w:color w:val="auto"/>
              </w:rPr>
              <w:t>1,526,777</w:t>
            </w:r>
          </w:p>
        </w:tc>
        <w:tc>
          <w:tcPr>
            <w:tcW w:w="2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20"/>
                <w:szCs w:val="20"/>
                <w:color w:val="auto"/>
              </w:rPr>
              <w:t>$</w:t>
            </w:r>
          </w:p>
        </w:tc>
        <w:tc>
          <w:tcPr>
            <w:tcW w:w="2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rPr>
              <w:t>10.61</w:t>
            </w:r>
          </w:p>
        </w:tc>
        <w:tc>
          <w:tcPr>
            <w:tcW w:w="0" w:type="dxa"/>
            <w:vAlign w:val="bottom"/>
          </w:tcPr>
          <w:p>
            <w:pPr>
              <w:spacing w:after="0"/>
              <w:rPr>
                <w:sz w:val="1"/>
                <w:szCs w:val="1"/>
                <w:color w:val="auto"/>
              </w:rPr>
            </w:pPr>
          </w:p>
        </w:tc>
      </w:tr>
      <w:tr>
        <w:trPr>
          <w:trHeight w:val="20"/>
        </w:trPr>
        <w:tc>
          <w:tcPr>
            <w:tcW w:w="6560" w:type="dxa"/>
            <w:vAlign w:val="bottom"/>
            <w:tcBorders>
              <w:top w:val="single" w:sz="8" w:color="CCEEFF"/>
            </w:tcBorders>
          </w:tcPr>
          <w:p>
            <w:pPr>
              <w:spacing w:after="0" w:line="20" w:lineRule="exact"/>
              <w:rPr>
                <w:sz w:val="1"/>
                <w:szCs w:val="1"/>
                <w:color w:val="auto"/>
              </w:rPr>
            </w:pPr>
          </w:p>
        </w:tc>
        <w:tc>
          <w:tcPr>
            <w:tcW w:w="23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1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9" w:lineRule="exact"/>
        <w:rPr>
          <w:sz w:val="20"/>
          <w:szCs w:val="20"/>
          <w:color w:val="auto"/>
        </w:rPr>
      </w:pPr>
    </w:p>
    <w:p>
      <w:pPr>
        <w:jc w:val="both"/>
        <w:spacing w:after="0" w:line="263" w:lineRule="auto"/>
        <w:rPr>
          <w:sz w:val="20"/>
          <w:szCs w:val="20"/>
          <w:color w:val="auto"/>
        </w:rPr>
      </w:pPr>
      <w:r>
        <w:rPr>
          <w:rFonts w:ascii="Arial" w:cs="Arial" w:eastAsia="Arial" w:hAnsi="Arial"/>
          <w:sz w:val="20"/>
          <w:szCs w:val="20"/>
          <w:color w:val="auto"/>
        </w:rPr>
        <w:t>For three months ended September 30, 2025 and 2024, the Company recognized $4.6 million and $2.0 million, respectively, in equity-based compensation costs. For nine months ended September 30, 2025 and 2024, the Company recognized $11.3 million and $6.9 million, respectively, in equity-based compensation costs. These amounts include equity-based compensation related to RSUs, PSUs, and the Company’s Employee Stock Purchase Plan (“ESPP”). The ESPP, approved by the Compensation Committee in December 2021, allows employees to purchase shares at a 15% discount off the lower of the stock price at the beginning or ending of each six months offering period through payroll deductions. The plan is considered compensatory in nature and the Company began recording equity-based compensation expense in 2022.</w:t>
      </w:r>
    </w:p>
    <w:p>
      <w:pPr>
        <w:spacing w:after="0" w:line="207" w:lineRule="exact"/>
        <w:rPr>
          <w:sz w:val="20"/>
          <w:szCs w:val="20"/>
          <w:color w:val="auto"/>
        </w:rPr>
      </w:pPr>
    </w:p>
    <w:p>
      <w:pPr>
        <w:jc w:val="both"/>
        <w:ind w:right="20"/>
        <w:spacing w:after="0" w:line="300" w:lineRule="auto"/>
        <w:rPr>
          <w:sz w:val="20"/>
          <w:szCs w:val="20"/>
          <w:color w:val="auto"/>
        </w:rPr>
      </w:pPr>
      <w:r>
        <w:rPr>
          <w:rFonts w:ascii="Arial" w:cs="Arial" w:eastAsia="Arial" w:hAnsi="Arial"/>
          <w:sz w:val="20"/>
          <w:szCs w:val="20"/>
          <w:color w:val="auto"/>
        </w:rPr>
        <w:t>At September 30, 2025, the Company had $31.1 million of unrecognized compensation costs related to RSUs and PSUs, which are expected to be recognized over 2.1 years and 2.4 years, respectively.</w:t>
      </w:r>
    </w:p>
    <w:p>
      <w:pPr>
        <w:spacing w:after="0" w:line="152" w:lineRule="exact"/>
        <w:rPr>
          <w:sz w:val="20"/>
          <w:szCs w:val="20"/>
          <w:color w:val="auto"/>
        </w:rPr>
      </w:pPr>
    </w:p>
    <w:p>
      <w:pPr>
        <w:ind w:left="500" w:hanging="492"/>
        <w:spacing w:after="0"/>
        <w:tabs>
          <w:tab w:leader="none" w:pos="500" w:val="left"/>
        </w:tabs>
        <w:numPr>
          <w:ilvl w:val="0"/>
          <w:numId w:val="21"/>
        </w:numPr>
        <w:rPr>
          <w:rFonts w:ascii="Arial" w:cs="Arial" w:eastAsia="Arial" w:hAnsi="Arial"/>
          <w:sz w:val="20"/>
          <w:szCs w:val="20"/>
          <w:b w:val="1"/>
          <w:bCs w:val="1"/>
          <w:color w:val="auto"/>
        </w:rPr>
      </w:pPr>
      <w:r>
        <w:rPr>
          <w:rFonts w:ascii="Arial" w:cs="Arial" w:eastAsia="Arial" w:hAnsi="Arial"/>
          <w:sz w:val="20"/>
          <w:szCs w:val="20"/>
          <w:b w:val="1"/>
          <w:bCs w:val="1"/>
          <w:color w:val="auto"/>
        </w:rPr>
        <w:t>Supplemental Cash Flow Information</w:t>
      </w:r>
    </w:p>
    <w:p>
      <w:pPr>
        <w:spacing w:after="0" w:line="245" w:lineRule="exact"/>
        <w:rPr>
          <w:sz w:val="20"/>
          <w:szCs w:val="20"/>
          <w:color w:val="auto"/>
        </w:rPr>
      </w:pPr>
    </w:p>
    <w:p>
      <w:pPr>
        <w:spacing w:after="0"/>
        <w:rPr>
          <w:sz w:val="20"/>
          <w:szCs w:val="20"/>
          <w:color w:val="auto"/>
        </w:rPr>
      </w:pPr>
      <w:r>
        <w:rPr>
          <w:rFonts w:ascii="Arial" w:cs="Arial" w:eastAsia="Arial" w:hAnsi="Arial"/>
          <w:sz w:val="20"/>
          <w:szCs w:val="20"/>
          <w:color w:val="auto"/>
        </w:rPr>
        <w:t>Supplemental cash flow information consists of the following (in thousands):</w:t>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267"/>
        </w:trPr>
        <w:tc>
          <w:tcPr>
            <w:tcW w:w="4280" w:type="dxa"/>
            <w:vAlign w:val="bottom"/>
          </w:tcPr>
          <w:p>
            <w:pPr>
              <w:spacing w:after="0"/>
              <w:rPr>
                <w:sz w:val="23"/>
                <w:szCs w:val="23"/>
                <w:color w:val="auto"/>
              </w:rPr>
            </w:pPr>
          </w:p>
        </w:tc>
        <w:tc>
          <w:tcPr>
            <w:tcW w:w="3520" w:type="dxa"/>
            <w:vAlign w:val="bottom"/>
            <w:gridSpan w:val="6"/>
          </w:tcPr>
          <w:p>
            <w:pPr>
              <w:ind w:left="40"/>
              <w:spacing w:after="0"/>
              <w:rPr>
                <w:sz w:val="20"/>
                <w:szCs w:val="20"/>
                <w:color w:val="auto"/>
              </w:rPr>
            </w:pPr>
            <w:r>
              <w:rPr>
                <w:rFonts w:ascii="Arial" w:cs="Arial" w:eastAsia="Arial" w:hAnsi="Arial"/>
                <w:sz w:val="20"/>
                <w:szCs w:val="20"/>
                <w:b w:val="1"/>
                <w:bCs w:val="1"/>
                <w:color w:val="auto"/>
              </w:rPr>
              <w:t>Three Months Ended September 30,</w:t>
            </w:r>
          </w:p>
        </w:tc>
        <w:tc>
          <w:tcPr>
            <w:tcW w:w="3440" w:type="dxa"/>
            <w:vAlign w:val="bottom"/>
            <w:gridSpan w:val="5"/>
          </w:tcPr>
          <w:p>
            <w:pPr>
              <w:jc w:val="right"/>
              <w:ind w:right="1"/>
              <w:spacing w:after="0"/>
              <w:rPr>
                <w:sz w:val="20"/>
                <w:szCs w:val="20"/>
                <w:color w:val="auto"/>
              </w:rPr>
            </w:pPr>
            <w:r>
              <w:rPr>
                <w:rFonts w:ascii="Arial" w:cs="Arial" w:eastAsia="Arial" w:hAnsi="Arial"/>
                <w:sz w:val="20"/>
                <w:szCs w:val="20"/>
                <w:b w:val="1"/>
                <w:bCs w:val="1"/>
                <w:color w:val="auto"/>
              </w:rPr>
              <w:t>Nine Months Ended September 30,</w:t>
            </w:r>
          </w:p>
        </w:tc>
      </w:tr>
      <w:tr>
        <w:trPr>
          <w:trHeight w:val="250"/>
        </w:trPr>
        <w:tc>
          <w:tcPr>
            <w:tcW w:w="4280" w:type="dxa"/>
            <w:vAlign w:val="bottom"/>
            <w:tcBorders>
              <w:bottom w:val="single" w:sz="8" w:color="CCEEFF"/>
            </w:tcBorders>
          </w:tcPr>
          <w:p>
            <w:pPr>
              <w:spacing w:after="0"/>
              <w:rPr>
                <w:sz w:val="21"/>
                <w:szCs w:val="21"/>
                <w:color w:val="auto"/>
              </w:rPr>
            </w:pPr>
          </w:p>
        </w:tc>
        <w:tc>
          <w:tcPr>
            <w:tcW w:w="380" w:type="dxa"/>
            <w:vAlign w:val="bottom"/>
            <w:tcBorders>
              <w:top w:val="single" w:sz="8" w:color="auto"/>
              <w:bottom w:val="single" w:sz="8" w:color="auto"/>
            </w:tcBorders>
          </w:tcPr>
          <w:p>
            <w:pPr>
              <w:spacing w:after="0"/>
              <w:rPr>
                <w:sz w:val="21"/>
                <w:szCs w:val="21"/>
                <w:color w:val="auto"/>
              </w:rPr>
            </w:pPr>
          </w:p>
        </w:tc>
        <w:tc>
          <w:tcPr>
            <w:tcW w:w="1300" w:type="dxa"/>
            <w:vAlign w:val="bottom"/>
            <w:tcBorders>
              <w:top w:val="single" w:sz="8" w:color="auto"/>
              <w:bottom w:val="single" w:sz="8" w:color="auto"/>
            </w:tcBorders>
          </w:tcPr>
          <w:p>
            <w:pPr>
              <w:jc w:val="right"/>
              <w:ind w:right="521"/>
              <w:spacing w:after="0"/>
              <w:rPr>
                <w:sz w:val="20"/>
                <w:szCs w:val="20"/>
                <w:color w:val="auto"/>
              </w:rPr>
            </w:pPr>
            <w:r>
              <w:rPr>
                <w:rFonts w:ascii="Arial" w:cs="Arial" w:eastAsia="Arial" w:hAnsi="Arial"/>
                <w:sz w:val="20"/>
                <w:szCs w:val="20"/>
                <w:b w:val="1"/>
                <w:bCs w:val="1"/>
                <w:color w:val="auto"/>
              </w:rPr>
              <w:t>2025</w:t>
            </w:r>
          </w:p>
        </w:tc>
        <w:tc>
          <w:tcPr>
            <w:tcW w:w="80" w:type="dxa"/>
            <w:vAlign w:val="bottom"/>
            <w:tcBorders>
              <w:top w:val="single" w:sz="8" w:color="auto"/>
              <w:bottom w:val="single" w:sz="8" w:color="CCEEFF"/>
            </w:tcBorders>
          </w:tcPr>
          <w:p>
            <w:pPr>
              <w:spacing w:after="0"/>
              <w:rPr>
                <w:sz w:val="21"/>
                <w:szCs w:val="21"/>
                <w:color w:val="auto"/>
              </w:rPr>
            </w:pPr>
          </w:p>
        </w:tc>
        <w:tc>
          <w:tcPr>
            <w:tcW w:w="380" w:type="dxa"/>
            <w:vAlign w:val="bottom"/>
            <w:tcBorders>
              <w:top w:val="single" w:sz="8" w:color="auto"/>
              <w:bottom w:val="single" w:sz="8" w:color="auto"/>
            </w:tcBorders>
          </w:tcPr>
          <w:p>
            <w:pPr>
              <w:spacing w:after="0"/>
              <w:rPr>
                <w:sz w:val="21"/>
                <w:szCs w:val="21"/>
                <w:color w:val="auto"/>
              </w:rPr>
            </w:pPr>
          </w:p>
        </w:tc>
        <w:tc>
          <w:tcPr>
            <w:tcW w:w="1300" w:type="dxa"/>
            <w:vAlign w:val="bottom"/>
            <w:tcBorders>
              <w:top w:val="single" w:sz="8" w:color="auto"/>
              <w:bottom w:val="single" w:sz="8" w:color="auto"/>
            </w:tcBorders>
          </w:tcPr>
          <w:p>
            <w:pPr>
              <w:jc w:val="right"/>
              <w:ind w:right="521"/>
              <w:spacing w:after="0"/>
              <w:rPr>
                <w:sz w:val="20"/>
                <w:szCs w:val="20"/>
                <w:color w:val="auto"/>
              </w:rPr>
            </w:pPr>
            <w:r>
              <w:rPr>
                <w:rFonts w:ascii="Arial" w:cs="Arial" w:eastAsia="Arial" w:hAnsi="Arial"/>
                <w:sz w:val="20"/>
                <w:szCs w:val="20"/>
                <w:b w:val="1"/>
                <w:bCs w:val="1"/>
                <w:color w:val="auto"/>
              </w:rPr>
              <w:t>2024</w:t>
            </w:r>
          </w:p>
        </w:tc>
        <w:tc>
          <w:tcPr>
            <w:tcW w:w="80" w:type="dxa"/>
            <w:vAlign w:val="bottom"/>
            <w:tcBorders>
              <w:bottom w:val="single" w:sz="8" w:color="CCEEFF"/>
            </w:tcBorders>
          </w:tcPr>
          <w:p>
            <w:pPr>
              <w:spacing w:after="0"/>
              <w:rPr>
                <w:sz w:val="21"/>
                <w:szCs w:val="21"/>
                <w:color w:val="auto"/>
              </w:rPr>
            </w:pPr>
          </w:p>
        </w:tc>
        <w:tc>
          <w:tcPr>
            <w:tcW w:w="360" w:type="dxa"/>
            <w:vAlign w:val="bottom"/>
            <w:tcBorders>
              <w:top w:val="single" w:sz="8" w:color="auto"/>
              <w:bottom w:val="single" w:sz="8" w:color="auto"/>
            </w:tcBorders>
          </w:tcPr>
          <w:p>
            <w:pPr>
              <w:spacing w:after="0"/>
              <w:rPr>
                <w:sz w:val="21"/>
                <w:szCs w:val="21"/>
                <w:color w:val="auto"/>
              </w:rPr>
            </w:pPr>
          </w:p>
        </w:tc>
        <w:tc>
          <w:tcPr>
            <w:tcW w:w="1320" w:type="dxa"/>
            <w:vAlign w:val="bottom"/>
            <w:tcBorders>
              <w:top w:val="single" w:sz="8" w:color="auto"/>
              <w:bottom w:val="single" w:sz="8" w:color="auto"/>
            </w:tcBorders>
          </w:tcPr>
          <w:p>
            <w:pPr>
              <w:jc w:val="right"/>
              <w:ind w:right="521"/>
              <w:spacing w:after="0"/>
              <w:rPr>
                <w:sz w:val="20"/>
                <w:szCs w:val="20"/>
                <w:color w:val="auto"/>
              </w:rPr>
            </w:pPr>
            <w:r>
              <w:rPr>
                <w:rFonts w:ascii="Arial" w:cs="Arial" w:eastAsia="Arial" w:hAnsi="Arial"/>
                <w:sz w:val="20"/>
                <w:szCs w:val="20"/>
                <w:b w:val="1"/>
                <w:bCs w:val="1"/>
                <w:color w:val="auto"/>
              </w:rPr>
              <w:t>2025</w:t>
            </w:r>
          </w:p>
        </w:tc>
        <w:tc>
          <w:tcPr>
            <w:tcW w:w="80" w:type="dxa"/>
            <w:vAlign w:val="bottom"/>
            <w:tcBorders>
              <w:top w:val="single" w:sz="8" w:color="auto"/>
              <w:bottom w:val="single" w:sz="8" w:color="CCEEFF"/>
            </w:tcBorders>
          </w:tcPr>
          <w:p>
            <w:pPr>
              <w:spacing w:after="0"/>
              <w:rPr>
                <w:sz w:val="21"/>
                <w:szCs w:val="21"/>
                <w:color w:val="auto"/>
              </w:rPr>
            </w:pPr>
          </w:p>
        </w:tc>
        <w:tc>
          <w:tcPr>
            <w:tcW w:w="360" w:type="dxa"/>
            <w:vAlign w:val="bottom"/>
            <w:tcBorders>
              <w:top w:val="single" w:sz="8" w:color="auto"/>
              <w:bottom w:val="single" w:sz="8" w:color="auto"/>
            </w:tcBorders>
          </w:tcPr>
          <w:p>
            <w:pPr>
              <w:spacing w:after="0"/>
              <w:rPr>
                <w:sz w:val="21"/>
                <w:szCs w:val="21"/>
                <w:color w:val="auto"/>
              </w:rPr>
            </w:pPr>
          </w:p>
        </w:tc>
        <w:tc>
          <w:tcPr>
            <w:tcW w:w="1320" w:type="dxa"/>
            <w:vAlign w:val="bottom"/>
            <w:tcBorders>
              <w:top w:val="single" w:sz="8" w:color="auto"/>
              <w:bottom w:val="single" w:sz="8" w:color="auto"/>
            </w:tcBorders>
          </w:tcPr>
          <w:p>
            <w:pPr>
              <w:jc w:val="right"/>
              <w:ind w:right="521"/>
              <w:spacing w:after="0"/>
              <w:rPr>
                <w:sz w:val="20"/>
                <w:szCs w:val="20"/>
                <w:color w:val="auto"/>
              </w:rPr>
            </w:pPr>
            <w:r>
              <w:rPr>
                <w:rFonts w:ascii="Arial" w:cs="Arial" w:eastAsia="Arial" w:hAnsi="Arial"/>
                <w:sz w:val="20"/>
                <w:szCs w:val="20"/>
                <w:b w:val="1"/>
                <w:bCs w:val="1"/>
                <w:color w:val="auto"/>
              </w:rPr>
              <w:t>2024</w:t>
            </w:r>
          </w:p>
        </w:tc>
      </w:tr>
      <w:tr>
        <w:trPr>
          <w:trHeight w:val="264"/>
        </w:trPr>
        <w:tc>
          <w:tcPr>
            <w:tcW w:w="4280" w:type="dxa"/>
            <w:vAlign w:val="bottom"/>
            <w:shd w:val="clear" w:color="auto" w:fill="CCEEFF"/>
          </w:tcPr>
          <w:p>
            <w:pPr>
              <w:ind w:left="260"/>
              <w:spacing w:after="0"/>
              <w:rPr>
                <w:sz w:val="20"/>
                <w:szCs w:val="20"/>
                <w:color w:val="auto"/>
              </w:rPr>
            </w:pPr>
            <w:r>
              <w:rPr>
                <w:rFonts w:ascii="Arial" w:cs="Arial" w:eastAsia="Arial" w:hAnsi="Arial"/>
                <w:sz w:val="20"/>
                <w:szCs w:val="20"/>
                <w:color w:val="auto"/>
              </w:rPr>
              <w:t>Cash paid for interest</w:t>
            </w:r>
          </w:p>
        </w:tc>
        <w:tc>
          <w:tcPr>
            <w:tcW w:w="380" w:type="dxa"/>
            <w:vAlign w:val="bottom"/>
            <w:shd w:val="clear" w:color="auto" w:fill="CCEEFF"/>
          </w:tcPr>
          <w:p>
            <w:pPr>
              <w:ind w:left="20"/>
              <w:spacing w:after="0"/>
              <w:rPr>
                <w:sz w:val="20"/>
                <w:szCs w:val="20"/>
                <w:color w:val="auto"/>
              </w:rPr>
            </w:pPr>
            <w:r>
              <w:rPr>
                <w:rFonts w:ascii="Arial" w:cs="Arial" w:eastAsia="Arial" w:hAnsi="Arial"/>
                <w:sz w:val="20"/>
                <w:szCs w:val="20"/>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2,168</w:t>
            </w:r>
          </w:p>
        </w:tc>
        <w:tc>
          <w:tcPr>
            <w:tcW w:w="80" w:type="dxa"/>
            <w:vAlign w:val="bottom"/>
            <w:shd w:val="clear" w:color="auto" w:fill="CCEEFF"/>
          </w:tcPr>
          <w:p>
            <w:pPr>
              <w:spacing w:after="0"/>
              <w:rPr>
                <w:sz w:val="22"/>
                <w:szCs w:val="22"/>
                <w:color w:val="auto"/>
              </w:rPr>
            </w:pPr>
          </w:p>
        </w:tc>
        <w:tc>
          <w:tcPr>
            <w:tcW w:w="380" w:type="dxa"/>
            <w:vAlign w:val="bottom"/>
            <w:shd w:val="clear" w:color="auto" w:fill="CCEEFF"/>
          </w:tcPr>
          <w:p>
            <w:pPr>
              <w:jc w:val="right"/>
              <w:ind w:right="141"/>
              <w:spacing w:after="0"/>
              <w:rPr>
                <w:sz w:val="20"/>
                <w:szCs w:val="20"/>
                <w:color w:val="auto"/>
              </w:rPr>
            </w:pPr>
            <w:r>
              <w:rPr>
                <w:rFonts w:ascii="Arial" w:cs="Arial" w:eastAsia="Arial" w:hAnsi="Arial"/>
                <w:sz w:val="20"/>
                <w:szCs w:val="20"/>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11,847</w:t>
            </w:r>
          </w:p>
        </w:tc>
        <w:tc>
          <w:tcPr>
            <w:tcW w:w="80" w:type="dxa"/>
            <w:vAlign w:val="bottom"/>
            <w:shd w:val="clear" w:color="auto" w:fill="CCEEFF"/>
          </w:tcPr>
          <w:p>
            <w:pPr>
              <w:spacing w:after="0"/>
              <w:rPr>
                <w:sz w:val="22"/>
                <w:szCs w:val="22"/>
                <w:color w:val="auto"/>
              </w:rPr>
            </w:pPr>
          </w:p>
        </w:tc>
        <w:tc>
          <w:tcPr>
            <w:tcW w:w="360" w:type="dxa"/>
            <w:vAlign w:val="bottom"/>
            <w:shd w:val="clear" w:color="auto" w:fill="CCEEFF"/>
          </w:tcPr>
          <w:p>
            <w:pPr>
              <w:jc w:val="right"/>
              <w:ind w:right="141"/>
              <w:spacing w:after="0"/>
              <w:rPr>
                <w:sz w:val="20"/>
                <w:szCs w:val="20"/>
                <w:color w:val="auto"/>
              </w:rPr>
            </w:pPr>
            <w:r>
              <w:rPr>
                <w:rFonts w:ascii="Arial" w:cs="Arial" w:eastAsia="Arial" w:hAnsi="Arial"/>
                <w:sz w:val="20"/>
                <w:szCs w:val="20"/>
                <w:color w:val="auto"/>
                <w:w w:val="89"/>
              </w:rPr>
              <w:t>$</w:t>
            </w:r>
          </w:p>
        </w:tc>
        <w:tc>
          <w:tcPr>
            <w:tcW w:w="1320" w:type="dxa"/>
            <w:vAlign w:val="bottom"/>
            <w:shd w:val="clear" w:color="auto" w:fill="CCEEFF"/>
          </w:tcPr>
          <w:p>
            <w:pPr>
              <w:jc w:val="right"/>
              <w:ind w:right="1"/>
              <w:spacing w:after="0"/>
              <w:rPr>
                <w:sz w:val="20"/>
                <w:szCs w:val="20"/>
                <w:color w:val="auto"/>
              </w:rPr>
            </w:pPr>
            <w:r>
              <w:rPr>
                <w:rFonts w:ascii="Arial" w:cs="Arial" w:eastAsia="Arial" w:hAnsi="Arial"/>
                <w:sz w:val="20"/>
                <w:szCs w:val="20"/>
                <w:color w:val="auto"/>
              </w:rPr>
              <w:t>18,359</w:t>
            </w:r>
          </w:p>
        </w:tc>
        <w:tc>
          <w:tcPr>
            <w:tcW w:w="80" w:type="dxa"/>
            <w:vAlign w:val="bottom"/>
            <w:shd w:val="clear" w:color="auto" w:fill="CCEEFF"/>
          </w:tcPr>
          <w:p>
            <w:pPr>
              <w:spacing w:after="0"/>
              <w:rPr>
                <w:sz w:val="22"/>
                <w:szCs w:val="22"/>
                <w:color w:val="auto"/>
              </w:rPr>
            </w:pPr>
          </w:p>
        </w:tc>
        <w:tc>
          <w:tcPr>
            <w:tcW w:w="360" w:type="dxa"/>
            <w:vAlign w:val="bottom"/>
            <w:shd w:val="clear" w:color="auto" w:fill="CCEEFF"/>
          </w:tcPr>
          <w:p>
            <w:pPr>
              <w:jc w:val="right"/>
              <w:ind w:right="141"/>
              <w:spacing w:after="0"/>
              <w:rPr>
                <w:sz w:val="20"/>
                <w:szCs w:val="20"/>
                <w:color w:val="auto"/>
              </w:rPr>
            </w:pPr>
            <w:r>
              <w:rPr>
                <w:rFonts w:ascii="Arial" w:cs="Arial" w:eastAsia="Arial" w:hAnsi="Arial"/>
                <w:sz w:val="20"/>
                <w:szCs w:val="20"/>
                <w:color w:val="auto"/>
                <w:w w:val="8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29,666</w:t>
            </w:r>
          </w:p>
        </w:tc>
      </w:tr>
      <w:tr>
        <w:trPr>
          <w:trHeight w:val="282"/>
        </w:trPr>
        <w:tc>
          <w:tcPr>
            <w:tcW w:w="4280" w:type="dxa"/>
            <w:vAlign w:val="bottom"/>
          </w:tcPr>
          <w:p>
            <w:pPr>
              <w:ind w:left="260"/>
              <w:spacing w:after="0"/>
              <w:rPr>
                <w:sz w:val="20"/>
                <w:szCs w:val="20"/>
                <w:color w:val="auto"/>
              </w:rPr>
            </w:pPr>
            <w:r>
              <w:rPr>
                <w:rFonts w:ascii="Arial" w:cs="Arial" w:eastAsia="Arial" w:hAnsi="Arial"/>
                <w:sz w:val="20"/>
                <w:szCs w:val="20"/>
                <w:color w:val="auto"/>
              </w:rPr>
              <w:t>Cash paid for income taxes</w:t>
            </w:r>
          </w:p>
        </w:tc>
        <w:tc>
          <w:tcPr>
            <w:tcW w:w="38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Arial" w:cs="Arial" w:eastAsia="Arial" w:hAnsi="Arial"/>
                <w:sz w:val="20"/>
                <w:szCs w:val="20"/>
                <w:color w:val="auto"/>
              </w:rPr>
              <w:t>5,364</w:t>
            </w: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Arial" w:cs="Arial" w:eastAsia="Arial" w:hAnsi="Arial"/>
                <w:sz w:val="20"/>
                <w:szCs w:val="20"/>
                <w:color w:val="auto"/>
              </w:rPr>
              <w:t>8,219</w:t>
            </w: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320" w:type="dxa"/>
            <w:vAlign w:val="bottom"/>
          </w:tcPr>
          <w:p>
            <w:pPr>
              <w:jc w:val="right"/>
              <w:ind w:right="1"/>
              <w:spacing w:after="0"/>
              <w:rPr>
                <w:sz w:val="20"/>
                <w:szCs w:val="20"/>
                <w:color w:val="auto"/>
              </w:rPr>
            </w:pPr>
            <w:r>
              <w:rPr>
                <w:rFonts w:ascii="Arial" w:cs="Arial" w:eastAsia="Arial" w:hAnsi="Arial"/>
                <w:sz w:val="20"/>
                <w:szCs w:val="20"/>
                <w:color w:val="auto"/>
              </w:rPr>
              <w:t>22,952</w:t>
            </w: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320" w:type="dxa"/>
            <w:vAlign w:val="bottom"/>
          </w:tcPr>
          <w:p>
            <w:pPr>
              <w:jc w:val="right"/>
              <w:spacing w:after="0"/>
              <w:rPr>
                <w:sz w:val="20"/>
                <w:szCs w:val="20"/>
                <w:color w:val="auto"/>
              </w:rPr>
            </w:pPr>
            <w:r>
              <w:rPr>
                <w:rFonts w:ascii="Arial" w:cs="Arial" w:eastAsia="Arial" w:hAnsi="Arial"/>
                <w:sz w:val="20"/>
                <w:szCs w:val="20"/>
                <w:color w:val="auto"/>
              </w:rPr>
              <w:t>25,220</w:t>
            </w:r>
          </w:p>
        </w:tc>
      </w:tr>
      <w:tr>
        <w:trPr>
          <w:trHeight w:val="272"/>
        </w:trPr>
        <w:tc>
          <w:tcPr>
            <w:tcW w:w="428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3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320" w:type="dxa"/>
            <w:vAlign w:val="bottom"/>
            <w:shd w:val="clear" w:color="auto" w:fill="CCEEFF"/>
          </w:tcPr>
          <w:p>
            <w:pPr>
              <w:spacing w:after="0"/>
              <w:rPr>
                <w:sz w:val="23"/>
                <w:szCs w:val="23"/>
                <w:color w:val="auto"/>
              </w:rPr>
            </w:pPr>
          </w:p>
        </w:tc>
      </w:tr>
      <w:tr>
        <w:trPr>
          <w:trHeight w:val="280"/>
        </w:trPr>
        <w:tc>
          <w:tcPr>
            <w:tcW w:w="4280" w:type="dxa"/>
            <w:vAlign w:val="bottom"/>
          </w:tcPr>
          <w:p>
            <w:pPr>
              <w:ind w:left="20"/>
              <w:spacing w:after="0"/>
              <w:rPr>
                <w:sz w:val="20"/>
                <w:szCs w:val="20"/>
                <w:color w:val="auto"/>
              </w:rPr>
            </w:pPr>
            <w:r>
              <w:rPr>
                <w:rFonts w:ascii="Arial" w:cs="Arial" w:eastAsia="Arial" w:hAnsi="Arial"/>
                <w:sz w:val="20"/>
                <w:szCs w:val="20"/>
                <w:b w:val="1"/>
                <w:bCs w:val="1"/>
                <w:color w:val="auto"/>
              </w:rPr>
              <w:t>Non-cash investing and financing activities</w:t>
            </w:r>
          </w:p>
        </w:tc>
        <w:tc>
          <w:tcPr>
            <w:tcW w:w="3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238"/>
        </w:trPr>
        <w:tc>
          <w:tcPr>
            <w:tcW w:w="4280" w:type="dxa"/>
            <w:vAlign w:val="bottom"/>
            <w:shd w:val="clear" w:color="auto" w:fill="CCEEFF"/>
          </w:tcPr>
          <w:p>
            <w:pPr>
              <w:ind w:left="260"/>
              <w:spacing w:after="0"/>
              <w:rPr>
                <w:sz w:val="20"/>
                <w:szCs w:val="20"/>
                <w:color w:val="auto"/>
              </w:rPr>
            </w:pPr>
            <w:r>
              <w:rPr>
                <w:rFonts w:ascii="Arial" w:cs="Arial" w:eastAsia="Arial" w:hAnsi="Arial"/>
                <w:sz w:val="20"/>
                <w:szCs w:val="20"/>
                <w:color w:val="auto"/>
              </w:rPr>
              <w:t>Property, plant and equipment acquisitions</w:t>
            </w:r>
          </w:p>
        </w:tc>
        <w:tc>
          <w:tcPr>
            <w:tcW w:w="38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r>
      <w:tr>
        <w:trPr>
          <w:trHeight w:val="278"/>
        </w:trPr>
        <w:tc>
          <w:tcPr>
            <w:tcW w:w="4280" w:type="dxa"/>
            <w:vAlign w:val="bottom"/>
            <w:shd w:val="clear" w:color="auto" w:fill="CCEEFF"/>
          </w:tcPr>
          <w:p>
            <w:pPr>
              <w:ind w:left="260"/>
              <w:spacing w:after="0"/>
              <w:rPr>
                <w:sz w:val="20"/>
                <w:szCs w:val="20"/>
                <w:color w:val="auto"/>
              </w:rPr>
            </w:pPr>
            <w:r>
              <w:rPr>
                <w:rFonts w:ascii="Arial" w:cs="Arial" w:eastAsia="Arial" w:hAnsi="Arial"/>
                <w:sz w:val="20"/>
                <w:szCs w:val="20"/>
                <w:color w:val="auto"/>
              </w:rPr>
              <w:t>funded by liabilities</w:t>
            </w:r>
          </w:p>
        </w:tc>
        <w:tc>
          <w:tcPr>
            <w:tcW w:w="380" w:type="dxa"/>
            <w:vAlign w:val="bottom"/>
            <w:shd w:val="clear" w:color="auto" w:fill="CCEEFF"/>
          </w:tcPr>
          <w:p>
            <w:pPr>
              <w:spacing w:after="0"/>
              <w:rPr>
                <w:sz w:val="24"/>
                <w:szCs w:val="24"/>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4,545</w:t>
            </w:r>
          </w:p>
        </w:tc>
        <w:tc>
          <w:tcPr>
            <w:tcW w:w="8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1,016</w:t>
            </w:r>
          </w:p>
        </w:tc>
        <w:tc>
          <w:tcPr>
            <w:tcW w:w="8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1"/>
              <w:spacing w:after="0"/>
              <w:rPr>
                <w:sz w:val="20"/>
                <w:szCs w:val="20"/>
                <w:color w:val="auto"/>
              </w:rPr>
            </w:pPr>
            <w:r>
              <w:rPr>
                <w:rFonts w:ascii="Arial" w:cs="Arial" w:eastAsia="Arial" w:hAnsi="Arial"/>
                <w:sz w:val="20"/>
                <w:szCs w:val="20"/>
                <w:color w:val="auto"/>
              </w:rPr>
              <w:t>4,545</w:t>
            </w:r>
          </w:p>
        </w:tc>
        <w:tc>
          <w:tcPr>
            <w:tcW w:w="8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1,016</w:t>
            </w:r>
          </w:p>
        </w:tc>
      </w:tr>
      <w:tr>
        <w:trPr>
          <w:trHeight w:val="282"/>
        </w:trPr>
        <w:tc>
          <w:tcPr>
            <w:tcW w:w="4280" w:type="dxa"/>
            <w:vAlign w:val="bottom"/>
          </w:tcPr>
          <w:p>
            <w:pPr>
              <w:ind w:left="260"/>
              <w:spacing w:after="0"/>
              <w:rPr>
                <w:sz w:val="20"/>
                <w:szCs w:val="20"/>
                <w:color w:val="auto"/>
              </w:rPr>
            </w:pPr>
            <w:r>
              <w:rPr>
                <w:rFonts w:ascii="Arial" w:cs="Arial" w:eastAsia="Arial" w:hAnsi="Arial"/>
                <w:sz w:val="20"/>
                <w:szCs w:val="20"/>
                <w:color w:val="auto"/>
              </w:rPr>
              <w:t>Contingent consideration</w:t>
            </w:r>
          </w:p>
        </w:tc>
        <w:tc>
          <w:tcPr>
            <w:tcW w:w="38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Arial" w:cs="Arial" w:eastAsia="Arial" w:hAnsi="Arial"/>
                <w:sz w:val="20"/>
                <w:szCs w:val="20"/>
                <w:color w:val="auto"/>
              </w:rPr>
              <w:t>20,007</w:t>
            </w: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20"/>
                <w:szCs w:val="20"/>
                <w:color w:val="auto"/>
              </w:rPr>
              <w:t>—</w:t>
            </w:r>
          </w:p>
        </w:tc>
        <w:tc>
          <w:tcPr>
            <w:tcW w:w="360" w:type="dxa"/>
            <w:vAlign w:val="bottom"/>
          </w:tcPr>
          <w:p>
            <w:pPr>
              <w:spacing w:after="0"/>
              <w:rPr>
                <w:sz w:val="24"/>
                <w:szCs w:val="24"/>
                <w:color w:val="auto"/>
              </w:rPr>
            </w:pPr>
          </w:p>
        </w:tc>
        <w:tc>
          <w:tcPr>
            <w:tcW w:w="1320" w:type="dxa"/>
            <w:vAlign w:val="bottom"/>
          </w:tcPr>
          <w:p>
            <w:pPr>
              <w:jc w:val="right"/>
              <w:ind w:right="1"/>
              <w:spacing w:after="0"/>
              <w:rPr>
                <w:sz w:val="20"/>
                <w:szCs w:val="20"/>
                <w:color w:val="auto"/>
              </w:rPr>
            </w:pPr>
            <w:r>
              <w:rPr>
                <w:rFonts w:ascii="Arial" w:cs="Arial" w:eastAsia="Arial" w:hAnsi="Arial"/>
                <w:sz w:val="20"/>
                <w:szCs w:val="20"/>
                <w:color w:val="auto"/>
              </w:rPr>
              <w:t>20,007</w:t>
            </w: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320" w:type="dxa"/>
            <w:vAlign w:val="bottom"/>
          </w:tcPr>
          <w:p>
            <w:pPr>
              <w:jc w:val="right"/>
              <w:spacing w:after="0"/>
              <w:rPr>
                <w:sz w:val="20"/>
                <w:szCs w:val="20"/>
                <w:color w:val="auto"/>
              </w:rPr>
            </w:pPr>
            <w:r>
              <w:rPr>
                <w:rFonts w:ascii="Arial" w:cs="Arial" w:eastAsia="Arial" w:hAnsi="Arial"/>
                <w:sz w:val="20"/>
                <w:szCs w:val="20"/>
                <w:color w:val="auto"/>
              </w:rPr>
              <w:t>—</w:t>
            </w:r>
          </w:p>
        </w:tc>
      </w:tr>
      <w:tr>
        <w:trPr>
          <w:trHeight w:val="285"/>
        </w:trPr>
        <w:tc>
          <w:tcPr>
            <w:tcW w:w="4280" w:type="dxa"/>
            <w:vAlign w:val="bottom"/>
            <w:shd w:val="clear" w:color="auto" w:fill="CCEEFF"/>
          </w:tcPr>
          <w:p>
            <w:pPr>
              <w:ind w:left="260"/>
              <w:spacing w:after="0"/>
              <w:rPr>
                <w:sz w:val="20"/>
                <w:szCs w:val="20"/>
                <w:color w:val="auto"/>
              </w:rPr>
            </w:pPr>
            <w:r>
              <w:rPr>
                <w:rFonts w:ascii="Arial" w:cs="Arial" w:eastAsia="Arial" w:hAnsi="Arial"/>
                <w:sz w:val="20"/>
                <w:szCs w:val="20"/>
                <w:color w:val="auto"/>
              </w:rPr>
              <w:t>Preferred Series A dividends and accretion</w:t>
            </w:r>
          </w:p>
        </w:tc>
        <w:tc>
          <w:tcPr>
            <w:tcW w:w="380" w:type="dxa"/>
            <w:vAlign w:val="bottom"/>
            <w:shd w:val="clear" w:color="auto" w:fill="CCEEFF"/>
          </w:tcPr>
          <w:p>
            <w:pPr>
              <w:spacing w:after="0"/>
              <w:rPr>
                <w:sz w:val="24"/>
                <w:szCs w:val="24"/>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15,144</w:t>
            </w:r>
          </w:p>
        </w:tc>
        <w:tc>
          <w:tcPr>
            <w:tcW w:w="8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14,080</w:t>
            </w:r>
          </w:p>
        </w:tc>
        <w:tc>
          <w:tcPr>
            <w:tcW w:w="8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1"/>
              <w:spacing w:after="0"/>
              <w:rPr>
                <w:sz w:val="20"/>
                <w:szCs w:val="20"/>
                <w:color w:val="auto"/>
              </w:rPr>
            </w:pPr>
            <w:r>
              <w:rPr>
                <w:rFonts w:ascii="Arial" w:cs="Arial" w:eastAsia="Arial" w:hAnsi="Arial"/>
                <w:sz w:val="20"/>
                <w:szCs w:val="20"/>
                <w:color w:val="auto"/>
              </w:rPr>
              <w:t>44,375</w:t>
            </w:r>
          </w:p>
        </w:tc>
        <w:tc>
          <w:tcPr>
            <w:tcW w:w="8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41,332</w:t>
            </w:r>
          </w:p>
        </w:tc>
      </w:tr>
    </w:tbl>
    <w:p>
      <w:pPr>
        <w:spacing w:after="0" w:line="300" w:lineRule="exact"/>
        <w:rPr>
          <w:sz w:val="20"/>
          <w:szCs w:val="20"/>
          <w:color w:val="auto"/>
        </w:rPr>
      </w:pPr>
    </w:p>
    <w:p>
      <w:pPr>
        <w:spacing w:after="0"/>
        <w:tabs>
          <w:tab w:leader="none" w:pos="480" w:val="left"/>
        </w:tabs>
        <w:rPr>
          <w:sz w:val="20"/>
          <w:szCs w:val="20"/>
          <w:color w:val="auto"/>
        </w:rPr>
      </w:pPr>
      <w:r>
        <w:rPr>
          <w:rFonts w:ascii="Arial" w:cs="Arial" w:eastAsia="Arial" w:hAnsi="Arial"/>
          <w:sz w:val="20"/>
          <w:szCs w:val="20"/>
          <w:b w:val="1"/>
          <w:bCs w:val="1"/>
          <w:color w:val="auto"/>
        </w:rPr>
        <w:t>16.</w:t>
      </w:r>
      <w:r>
        <w:rPr>
          <w:sz w:val="20"/>
          <w:szCs w:val="20"/>
          <w:color w:val="auto"/>
        </w:rPr>
        <w:tab/>
      </w:r>
      <w:r>
        <w:rPr>
          <w:rFonts w:ascii="Arial" w:cs="Arial" w:eastAsia="Arial" w:hAnsi="Arial"/>
          <w:sz w:val="19"/>
          <w:szCs w:val="19"/>
          <w:b w:val="1"/>
          <w:bCs w:val="1"/>
          <w:color w:val="auto"/>
        </w:rPr>
        <w:t>Segment Reporting</w:t>
      </w:r>
    </w:p>
    <w:p>
      <w:pPr>
        <w:spacing w:after="0" w:line="258" w:lineRule="exact"/>
        <w:rPr>
          <w:sz w:val="20"/>
          <w:szCs w:val="20"/>
          <w:color w:val="auto"/>
        </w:rPr>
      </w:pPr>
    </w:p>
    <w:p>
      <w:pPr>
        <w:jc w:val="both"/>
        <w:spacing w:after="0" w:line="269" w:lineRule="auto"/>
        <w:rPr>
          <w:sz w:val="20"/>
          <w:szCs w:val="20"/>
          <w:color w:val="auto"/>
        </w:rPr>
      </w:pPr>
      <w:r>
        <w:rPr>
          <w:rFonts w:ascii="Arial" w:cs="Arial" w:eastAsia="Arial" w:hAnsi="Arial"/>
          <w:sz w:val="20"/>
          <w:szCs w:val="20"/>
          <w:color w:val="auto"/>
        </w:rPr>
        <w:t>ASC 280 Segment Reporting establishes standards for reporting information about operating segments. Operating segments are defined as components of an enterprise about which separate financial information is available that is evaluated regularly by the chief operating decision maker (“CODM”) in deciding how to allocate resources and in assessing performance. The CODM is the Chief Executive Officer of the Company.</w:t>
      </w:r>
    </w:p>
    <w:p>
      <w:pPr>
        <w:spacing w:after="0" w:line="197" w:lineRule="exact"/>
        <w:rPr>
          <w:sz w:val="20"/>
          <w:szCs w:val="20"/>
          <w:color w:val="auto"/>
        </w:rPr>
      </w:pPr>
    </w:p>
    <w:p>
      <w:pPr>
        <w:jc w:val="both"/>
        <w:spacing w:after="0" w:line="265" w:lineRule="auto"/>
        <w:rPr>
          <w:sz w:val="20"/>
          <w:szCs w:val="20"/>
          <w:color w:val="auto"/>
        </w:rPr>
      </w:pPr>
      <w:r>
        <w:rPr>
          <w:rFonts w:ascii="Arial" w:cs="Arial" w:eastAsia="Arial" w:hAnsi="Arial"/>
          <w:sz w:val="20"/>
          <w:szCs w:val="20"/>
          <w:color w:val="auto"/>
        </w:rPr>
        <w:t>The Company works with engineering, procurement, and construction firms, to design a solar array to achieve the project’s desired power output. The Company provides the solar tracking system components, which include standard and nonstandard parts. The Company delivers the fully functioning tracker systems for the project sites and provides commissioning services. Although the solar array may use different components and technology depending on the geography and type of system, the Company conducts its operations in the United States (“U.S.”) and internationally, primarily in Spain and Brazil, and is expanding into other international markets through STI Operations.</w:t>
      </w:r>
    </w:p>
    <w:p>
      <w:pPr>
        <w:spacing w:after="0" w:line="204" w:lineRule="exact"/>
        <w:rPr>
          <w:sz w:val="20"/>
          <w:szCs w:val="20"/>
          <w:color w:val="auto"/>
        </w:rPr>
      </w:pPr>
    </w:p>
    <w:p>
      <w:pPr>
        <w:jc w:val="both"/>
        <w:spacing w:after="0" w:line="269" w:lineRule="auto"/>
        <w:rPr>
          <w:sz w:val="20"/>
          <w:szCs w:val="20"/>
          <w:color w:val="auto"/>
        </w:rPr>
      </w:pPr>
      <w:r>
        <w:rPr>
          <w:rFonts w:ascii="Arial" w:cs="Arial" w:eastAsia="Arial" w:hAnsi="Arial"/>
          <w:sz w:val="20"/>
          <w:szCs w:val="20"/>
          <w:color w:val="auto"/>
        </w:rPr>
        <w:t>The Company has two separate operating segments, Array Legacy Operations and STI Operations, which are also reportable segments. Array Legacy Operations consists primarily of amounts earned from the design, manufacture and sale of utility-scale solar tracker systems in the U.S., and STI Operations consists primarily of amounts earned from the design, manufacture and sale of utility-scale solar tracker systems outside of the U.S.</w:t>
      </w:r>
    </w:p>
    <w:p>
      <w:pPr>
        <w:spacing w:after="0" w:line="211" w:lineRule="exact"/>
        <w:rPr>
          <w:sz w:val="20"/>
          <w:szCs w:val="20"/>
          <w:color w:val="auto"/>
        </w:rPr>
      </w:pPr>
    </w:p>
    <w:p>
      <w:pPr>
        <w:jc w:val="both"/>
        <w:spacing w:after="0" w:line="269" w:lineRule="auto"/>
        <w:rPr>
          <w:sz w:val="20"/>
          <w:szCs w:val="20"/>
          <w:color w:val="auto"/>
        </w:rPr>
      </w:pPr>
      <w:r>
        <w:rPr>
          <w:rFonts w:ascii="Arial" w:cs="Arial" w:eastAsia="Arial" w:hAnsi="Arial"/>
          <w:sz w:val="20"/>
          <w:szCs w:val="20"/>
          <w:color w:val="auto"/>
        </w:rPr>
        <w:t>The Company’s CODM assesses the performance of each operating segment by using gross profit. This measure is also predominantly used in the annual budget and forecasting process. The CODM primarily uses the annual operating plan and the monthly financial results for Array Legacy Operations and STI Operations when making decisions about the allocation of operating and capital resources to each segment.</w:t>
      </w:r>
    </w:p>
    <w:p>
      <w:pPr>
        <w:sectPr>
          <w:pgSz w:w="11900" w:h="16838" w:orient="portrait"/>
          <w:cols w:equalWidth="0" w:num="1">
            <w:col w:w="11240"/>
          </w:cols>
          <w:pgMar w:left="320" w:top="1440" w:right="339" w:bottom="0" w:gutter="0" w:footer="0" w:header="0"/>
        </w:sectPr>
      </w:pPr>
    </w:p>
    <w:bookmarkStart w:id="40" w:name="page41"/>
    <w:bookmarkEnd w:id="40"/>
    <w:p>
      <w:pPr>
        <w:spacing w:after="0"/>
        <w:rPr>
          <w:sz w:val="20"/>
          <w:szCs w:val="20"/>
          <w:color w:val="auto"/>
        </w:rPr>
      </w:pPr>
      <w:r>
        <w:rPr>
          <w:rFonts w:ascii="Arial" w:cs="Arial" w:eastAsia="Arial" w:hAnsi="Arial"/>
          <w:sz w:val="20"/>
          <w:szCs w:val="20"/>
          <w:color w:val="auto"/>
        </w:rPr>
        <w:t>The following tables summarize the financial results by segment during the periods presented (in thousands):</w:t>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267"/>
        </w:trPr>
        <w:tc>
          <w:tcPr>
            <w:tcW w:w="2960" w:type="dxa"/>
            <w:vAlign w:val="bottom"/>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6020" w:type="dxa"/>
            <w:vAlign w:val="bottom"/>
            <w:tcBorders>
              <w:bottom w:val="single" w:sz="8" w:color="auto"/>
            </w:tcBorders>
            <w:gridSpan w:val="6"/>
          </w:tcPr>
          <w:p>
            <w:pPr>
              <w:jc w:val="center"/>
              <w:ind w:left="1841"/>
              <w:spacing w:after="0"/>
              <w:rPr>
                <w:sz w:val="20"/>
                <w:szCs w:val="20"/>
                <w:color w:val="auto"/>
              </w:rPr>
            </w:pPr>
            <w:r>
              <w:rPr>
                <w:rFonts w:ascii="Arial" w:cs="Arial" w:eastAsia="Arial" w:hAnsi="Arial"/>
                <w:sz w:val="20"/>
                <w:szCs w:val="20"/>
                <w:b w:val="1"/>
                <w:bCs w:val="1"/>
                <w:color w:val="auto"/>
                <w:w w:val="98"/>
              </w:rPr>
              <w:t>Three months ended September 30, 2025</w:t>
            </w:r>
          </w:p>
        </w:tc>
        <w:tc>
          <w:tcPr>
            <w:tcW w:w="210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29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620" w:type="dxa"/>
            <w:vAlign w:val="bottom"/>
            <w:gridSpan w:val="2"/>
          </w:tcPr>
          <w:p>
            <w:pPr>
              <w:ind w:left="20"/>
              <w:spacing w:after="0"/>
              <w:rPr>
                <w:sz w:val="20"/>
                <w:szCs w:val="20"/>
                <w:color w:val="auto"/>
              </w:rPr>
            </w:pPr>
            <w:r>
              <w:rPr>
                <w:rFonts w:ascii="Arial" w:cs="Arial" w:eastAsia="Arial" w:hAnsi="Arial"/>
                <w:sz w:val="20"/>
                <w:szCs w:val="20"/>
                <w:b w:val="1"/>
                <w:bCs w:val="1"/>
                <w:color w:val="auto"/>
              </w:rPr>
              <w:t>Array Legacy Operations</w:t>
            </w:r>
          </w:p>
        </w:tc>
        <w:tc>
          <w:tcPr>
            <w:tcW w:w="400" w:type="dxa"/>
            <w:vAlign w:val="bottom"/>
          </w:tcPr>
          <w:p>
            <w:pPr>
              <w:spacing w:after="0"/>
              <w:rPr>
                <w:sz w:val="21"/>
                <w:szCs w:val="21"/>
                <w:color w:val="auto"/>
              </w:rPr>
            </w:pPr>
          </w:p>
        </w:tc>
        <w:tc>
          <w:tcPr>
            <w:tcW w:w="2380" w:type="dxa"/>
            <w:vAlign w:val="bottom"/>
            <w:gridSpan w:val="2"/>
          </w:tcPr>
          <w:p>
            <w:pPr>
              <w:jc w:val="center"/>
              <w:ind w:right="460"/>
              <w:spacing w:after="0"/>
              <w:rPr>
                <w:sz w:val="20"/>
                <w:szCs w:val="20"/>
                <w:color w:val="auto"/>
              </w:rPr>
            </w:pPr>
            <w:r>
              <w:rPr>
                <w:rFonts w:ascii="Arial" w:cs="Arial" w:eastAsia="Arial" w:hAnsi="Arial"/>
                <w:sz w:val="20"/>
                <w:szCs w:val="20"/>
                <w:b w:val="1"/>
                <w:bCs w:val="1"/>
                <w:color w:val="auto"/>
                <w:w w:val="98"/>
              </w:rPr>
              <w:t>STI Operations</w:t>
            </w:r>
          </w:p>
        </w:tc>
        <w:tc>
          <w:tcPr>
            <w:tcW w:w="620" w:type="dxa"/>
            <w:vAlign w:val="bottom"/>
          </w:tcPr>
          <w:p>
            <w:pPr>
              <w:spacing w:after="0"/>
              <w:rPr>
                <w:sz w:val="21"/>
                <w:szCs w:val="21"/>
                <w:color w:val="auto"/>
              </w:rPr>
            </w:pPr>
          </w:p>
        </w:tc>
        <w:tc>
          <w:tcPr>
            <w:tcW w:w="2100" w:type="dxa"/>
            <w:vAlign w:val="bottom"/>
          </w:tcPr>
          <w:p>
            <w:pPr>
              <w:jc w:val="right"/>
              <w:ind w:right="621"/>
              <w:spacing w:after="0"/>
              <w:rPr>
                <w:sz w:val="20"/>
                <w:szCs w:val="20"/>
                <w:color w:val="auto"/>
              </w:rPr>
            </w:pPr>
            <w:r>
              <w:rPr>
                <w:rFonts w:ascii="Arial" w:cs="Arial" w:eastAsia="Arial" w:hAnsi="Arial"/>
                <w:sz w:val="20"/>
                <w:szCs w:val="20"/>
                <w:b w:val="1"/>
                <w:bCs w:val="1"/>
                <w:color w:val="auto"/>
              </w:rPr>
              <w:t>Consolidated</w:t>
            </w:r>
          </w:p>
        </w:tc>
        <w:tc>
          <w:tcPr>
            <w:tcW w:w="0" w:type="dxa"/>
            <w:vAlign w:val="bottom"/>
          </w:tcPr>
          <w:p>
            <w:pPr>
              <w:spacing w:after="0"/>
              <w:rPr>
                <w:sz w:val="1"/>
                <w:szCs w:val="1"/>
                <w:color w:val="auto"/>
              </w:rPr>
            </w:pPr>
          </w:p>
        </w:tc>
      </w:tr>
      <w:tr>
        <w:trPr>
          <w:trHeight w:val="250"/>
        </w:trPr>
        <w:tc>
          <w:tcPr>
            <w:tcW w:w="2960" w:type="dxa"/>
            <w:vAlign w:val="bottom"/>
            <w:tcBorders>
              <w:top w:val="single" w:sz="8" w:color="CCEEFF"/>
            </w:tcBorders>
            <w:shd w:val="clear" w:color="auto" w:fill="CCEEFF"/>
          </w:tcPr>
          <w:p>
            <w:pPr>
              <w:spacing w:after="0"/>
              <w:rPr>
                <w:sz w:val="21"/>
                <w:szCs w:val="21"/>
                <w:color w:val="auto"/>
              </w:rPr>
            </w:pPr>
          </w:p>
        </w:tc>
        <w:tc>
          <w:tcPr>
            <w:tcW w:w="160" w:type="dxa"/>
            <w:vAlign w:val="bottom"/>
            <w:tcBorders>
              <w:top w:val="single" w:sz="8" w:color="auto"/>
            </w:tcBorders>
            <w:shd w:val="clear" w:color="auto" w:fill="CCEEFF"/>
          </w:tcPr>
          <w:p>
            <w:pPr>
              <w:spacing w:after="0"/>
              <w:rPr>
                <w:sz w:val="21"/>
                <w:szCs w:val="21"/>
                <w:color w:val="auto"/>
              </w:rPr>
            </w:pPr>
          </w:p>
        </w:tc>
        <w:tc>
          <w:tcPr>
            <w:tcW w:w="2540" w:type="dxa"/>
            <w:vAlign w:val="bottom"/>
            <w:tcBorders>
              <w:top w:val="single" w:sz="8" w:color="auto"/>
            </w:tcBorders>
            <w:shd w:val="clear" w:color="auto" w:fill="CCEEFF"/>
          </w:tcPr>
          <w:p>
            <w:pPr>
              <w:spacing w:after="0"/>
              <w:rPr>
                <w:sz w:val="21"/>
                <w:szCs w:val="21"/>
                <w:color w:val="auto"/>
              </w:rPr>
            </w:pPr>
          </w:p>
        </w:tc>
        <w:tc>
          <w:tcPr>
            <w:tcW w:w="80" w:type="dxa"/>
            <w:vAlign w:val="bottom"/>
            <w:tcBorders>
              <w:top w:val="single" w:sz="8" w:color="CCEEFF"/>
            </w:tcBorders>
            <w:shd w:val="clear" w:color="auto" w:fill="CCEEFF"/>
          </w:tcPr>
          <w:p>
            <w:pPr>
              <w:spacing w:after="0"/>
              <w:rPr>
                <w:sz w:val="21"/>
                <w:szCs w:val="21"/>
                <w:color w:val="auto"/>
              </w:rPr>
            </w:pPr>
          </w:p>
        </w:tc>
        <w:tc>
          <w:tcPr>
            <w:tcW w:w="400" w:type="dxa"/>
            <w:vAlign w:val="bottom"/>
            <w:tcBorders>
              <w:top w:val="single" w:sz="8" w:color="auto"/>
            </w:tcBorders>
            <w:shd w:val="clear" w:color="auto" w:fill="CCEEFF"/>
          </w:tcPr>
          <w:p>
            <w:pPr>
              <w:spacing w:after="0"/>
              <w:rPr>
                <w:sz w:val="21"/>
                <w:szCs w:val="21"/>
                <w:color w:val="auto"/>
              </w:rPr>
            </w:pPr>
          </w:p>
        </w:tc>
        <w:tc>
          <w:tcPr>
            <w:tcW w:w="2300" w:type="dxa"/>
            <w:vAlign w:val="bottom"/>
            <w:tcBorders>
              <w:top w:val="single" w:sz="8" w:color="auto"/>
            </w:tcBorders>
            <w:shd w:val="clear" w:color="auto" w:fill="CCEEFF"/>
          </w:tcPr>
          <w:p>
            <w:pPr>
              <w:spacing w:after="0"/>
              <w:rPr>
                <w:sz w:val="21"/>
                <w:szCs w:val="21"/>
                <w:color w:val="auto"/>
              </w:rPr>
            </w:pPr>
          </w:p>
        </w:tc>
        <w:tc>
          <w:tcPr>
            <w:tcW w:w="80" w:type="dxa"/>
            <w:vAlign w:val="bottom"/>
            <w:tcBorders>
              <w:top w:val="single" w:sz="8" w:color="CCEEFF"/>
            </w:tcBorders>
            <w:shd w:val="clear" w:color="auto" w:fill="CCEEFF"/>
          </w:tcPr>
          <w:p>
            <w:pPr>
              <w:spacing w:after="0"/>
              <w:rPr>
                <w:sz w:val="21"/>
                <w:szCs w:val="21"/>
                <w:color w:val="auto"/>
              </w:rPr>
            </w:pPr>
          </w:p>
        </w:tc>
        <w:tc>
          <w:tcPr>
            <w:tcW w:w="620" w:type="dxa"/>
            <w:vAlign w:val="bottom"/>
            <w:tcBorders>
              <w:top w:val="single" w:sz="8" w:color="auto"/>
            </w:tcBorders>
            <w:shd w:val="clear" w:color="auto" w:fill="CCEEFF"/>
          </w:tcPr>
          <w:p>
            <w:pPr>
              <w:spacing w:after="0"/>
              <w:rPr>
                <w:sz w:val="21"/>
                <w:szCs w:val="21"/>
                <w:color w:val="auto"/>
              </w:rPr>
            </w:pPr>
          </w:p>
        </w:tc>
        <w:tc>
          <w:tcPr>
            <w:tcW w:w="2100" w:type="dxa"/>
            <w:vAlign w:val="bottom"/>
            <w:tcBorders>
              <w:top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2960" w:type="dxa"/>
            <w:vAlign w:val="bottom"/>
            <w:tcBorders>
              <w:bottom w:val="single" w:sz="8" w:color="CCEEFF"/>
            </w:tcBorders>
          </w:tcPr>
          <w:p>
            <w:pPr>
              <w:ind w:left="20"/>
              <w:spacing w:after="0"/>
              <w:rPr>
                <w:sz w:val="20"/>
                <w:szCs w:val="20"/>
                <w:color w:val="auto"/>
              </w:rPr>
            </w:pPr>
            <w:r>
              <w:rPr>
                <w:rFonts w:ascii="Arial" w:cs="Arial" w:eastAsia="Arial" w:hAnsi="Arial"/>
                <w:sz w:val="20"/>
                <w:szCs w:val="20"/>
                <w:b w:val="1"/>
                <w:bCs w:val="1"/>
                <w:color w:val="auto"/>
              </w:rPr>
              <w:t>Segment revenue</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25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353,374</w:t>
            </w:r>
          </w:p>
        </w:tc>
        <w:tc>
          <w:tcPr>
            <w:tcW w:w="8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jc w:val="right"/>
              <w:ind w:right="161"/>
              <w:spacing w:after="0"/>
              <w:rPr>
                <w:sz w:val="20"/>
                <w:szCs w:val="20"/>
                <w:color w:val="auto"/>
              </w:rPr>
            </w:pPr>
            <w:r>
              <w:rPr>
                <w:rFonts w:ascii="Arial" w:cs="Arial" w:eastAsia="Arial" w:hAnsi="Arial"/>
                <w:sz w:val="20"/>
                <w:szCs w:val="20"/>
                <w:color w:val="auto"/>
              </w:rPr>
              <w:t>$</w:t>
            </w:r>
          </w:p>
        </w:tc>
        <w:tc>
          <w:tcPr>
            <w:tcW w:w="23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40,117</w:t>
            </w:r>
          </w:p>
        </w:tc>
        <w:tc>
          <w:tcPr>
            <w:tcW w:w="80" w:type="dxa"/>
            <w:vAlign w:val="bottom"/>
            <w:tcBorders>
              <w:bottom w:val="single" w:sz="8" w:color="CCEEFF"/>
            </w:tcBorders>
          </w:tcPr>
          <w:p>
            <w:pPr>
              <w:spacing w:after="0"/>
              <w:rPr>
                <w:sz w:val="22"/>
                <w:szCs w:val="22"/>
                <w:color w:val="auto"/>
              </w:rPr>
            </w:pPr>
          </w:p>
        </w:tc>
        <w:tc>
          <w:tcPr>
            <w:tcW w:w="620" w:type="dxa"/>
            <w:vAlign w:val="bottom"/>
            <w:tcBorders>
              <w:bottom w:val="single" w:sz="8" w:color="auto"/>
            </w:tcBorders>
          </w:tcPr>
          <w:p>
            <w:pPr>
              <w:jc w:val="right"/>
              <w:ind w:right="381"/>
              <w:spacing w:after="0"/>
              <w:rPr>
                <w:sz w:val="20"/>
                <w:szCs w:val="20"/>
                <w:color w:val="auto"/>
              </w:rPr>
            </w:pPr>
            <w:r>
              <w:rPr>
                <w:rFonts w:ascii="Arial" w:cs="Arial" w:eastAsia="Arial" w:hAnsi="Arial"/>
                <w:sz w:val="20"/>
                <w:szCs w:val="20"/>
                <w:color w:val="auto"/>
              </w:rPr>
              <w:t>$</w:t>
            </w:r>
          </w:p>
        </w:tc>
        <w:tc>
          <w:tcPr>
            <w:tcW w:w="21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393,491</w:t>
            </w:r>
          </w:p>
        </w:tc>
        <w:tc>
          <w:tcPr>
            <w:tcW w:w="0" w:type="dxa"/>
            <w:vAlign w:val="bottom"/>
          </w:tcPr>
          <w:p>
            <w:pPr>
              <w:spacing w:after="0"/>
              <w:rPr>
                <w:sz w:val="1"/>
                <w:szCs w:val="1"/>
                <w:color w:val="auto"/>
              </w:rPr>
            </w:pPr>
          </w:p>
        </w:tc>
      </w:tr>
      <w:tr>
        <w:trPr>
          <w:trHeight w:val="237"/>
        </w:trPr>
        <w:tc>
          <w:tcPr>
            <w:tcW w:w="2960" w:type="dxa"/>
            <w:vAlign w:val="bottom"/>
            <w:shd w:val="clear" w:color="auto" w:fill="CCEEFF"/>
          </w:tcPr>
          <w:p>
            <w:pPr>
              <w:ind w:left="20"/>
              <w:spacing w:after="0"/>
              <w:rPr>
                <w:sz w:val="20"/>
                <w:szCs w:val="20"/>
                <w:color w:val="auto"/>
              </w:rPr>
            </w:pPr>
            <w:r>
              <w:rPr>
                <w:rFonts w:ascii="Arial" w:cs="Arial" w:eastAsia="Arial" w:hAnsi="Arial"/>
                <w:sz w:val="20"/>
                <w:szCs w:val="20"/>
                <w:i w:val="1"/>
                <w:iCs w:val="1"/>
                <w:color w:val="auto"/>
              </w:rPr>
              <w:t>Less:</w:t>
            </w:r>
          </w:p>
        </w:tc>
        <w:tc>
          <w:tcPr>
            <w:tcW w:w="160" w:type="dxa"/>
            <w:vAlign w:val="bottom"/>
            <w:shd w:val="clear" w:color="auto" w:fill="CCEEFF"/>
          </w:tcPr>
          <w:p>
            <w:pPr>
              <w:spacing w:after="0"/>
              <w:rPr>
                <w:sz w:val="20"/>
                <w:szCs w:val="20"/>
                <w:color w:val="auto"/>
              </w:rPr>
            </w:pPr>
          </w:p>
        </w:tc>
        <w:tc>
          <w:tcPr>
            <w:tcW w:w="25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23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2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2960" w:type="dxa"/>
            <w:vAlign w:val="bottom"/>
          </w:tcPr>
          <w:p>
            <w:pPr>
              <w:ind w:left="20"/>
              <w:spacing w:after="0"/>
              <w:rPr>
                <w:sz w:val="20"/>
                <w:szCs w:val="20"/>
                <w:color w:val="auto"/>
              </w:rPr>
            </w:pPr>
            <w:r>
              <w:rPr>
                <w:rFonts w:ascii="Arial" w:cs="Arial" w:eastAsia="Arial" w:hAnsi="Arial"/>
                <w:sz w:val="20"/>
                <w:szCs w:val="20"/>
                <w:color w:val="auto"/>
              </w:rPr>
              <w:t>Product cost (1)</w:t>
            </w:r>
          </w:p>
        </w:tc>
        <w:tc>
          <w:tcPr>
            <w:tcW w:w="160" w:type="dxa"/>
            <w:vAlign w:val="bottom"/>
          </w:tcPr>
          <w:p>
            <w:pPr>
              <w:spacing w:after="0"/>
              <w:rPr>
                <w:sz w:val="22"/>
                <w:szCs w:val="22"/>
                <w:color w:val="auto"/>
              </w:rPr>
            </w:pPr>
          </w:p>
        </w:tc>
        <w:tc>
          <w:tcPr>
            <w:tcW w:w="2540" w:type="dxa"/>
            <w:vAlign w:val="bottom"/>
          </w:tcPr>
          <w:p>
            <w:pPr>
              <w:jc w:val="right"/>
              <w:spacing w:after="0"/>
              <w:rPr>
                <w:sz w:val="20"/>
                <w:szCs w:val="20"/>
                <w:color w:val="auto"/>
              </w:rPr>
            </w:pPr>
            <w:r>
              <w:rPr>
                <w:rFonts w:ascii="Arial" w:cs="Arial" w:eastAsia="Arial" w:hAnsi="Arial"/>
                <w:sz w:val="20"/>
                <w:szCs w:val="20"/>
                <w:color w:val="auto"/>
              </w:rPr>
              <w:t>233,575</w:t>
            </w:r>
          </w:p>
        </w:tc>
        <w:tc>
          <w:tcPr>
            <w:tcW w:w="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2300" w:type="dxa"/>
            <w:vAlign w:val="bottom"/>
          </w:tcPr>
          <w:p>
            <w:pPr>
              <w:jc w:val="right"/>
              <w:spacing w:after="0"/>
              <w:rPr>
                <w:sz w:val="20"/>
                <w:szCs w:val="20"/>
                <w:color w:val="auto"/>
              </w:rPr>
            </w:pPr>
            <w:r>
              <w:rPr>
                <w:rFonts w:ascii="Arial" w:cs="Arial" w:eastAsia="Arial" w:hAnsi="Arial"/>
                <w:sz w:val="20"/>
                <w:szCs w:val="20"/>
                <w:color w:val="auto"/>
              </w:rPr>
              <w:t>35,572</w:t>
            </w:r>
          </w:p>
        </w:tc>
        <w:tc>
          <w:tcPr>
            <w:tcW w:w="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100" w:type="dxa"/>
            <w:vAlign w:val="bottom"/>
          </w:tcPr>
          <w:p>
            <w:pPr>
              <w:jc w:val="right"/>
              <w:spacing w:after="0"/>
              <w:rPr>
                <w:sz w:val="20"/>
                <w:szCs w:val="20"/>
                <w:color w:val="auto"/>
              </w:rPr>
            </w:pPr>
            <w:r>
              <w:rPr>
                <w:rFonts w:ascii="Arial" w:cs="Arial" w:eastAsia="Arial" w:hAnsi="Arial"/>
                <w:sz w:val="20"/>
                <w:szCs w:val="20"/>
                <w:color w:val="auto"/>
              </w:rPr>
              <w:t>269,147</w:t>
            </w:r>
          </w:p>
        </w:tc>
        <w:tc>
          <w:tcPr>
            <w:tcW w:w="0" w:type="dxa"/>
            <w:vAlign w:val="bottom"/>
          </w:tcPr>
          <w:p>
            <w:pPr>
              <w:spacing w:after="0"/>
              <w:rPr>
                <w:sz w:val="1"/>
                <w:szCs w:val="1"/>
                <w:color w:val="auto"/>
              </w:rPr>
            </w:pPr>
          </w:p>
        </w:tc>
      </w:tr>
      <w:tr>
        <w:trPr>
          <w:trHeight w:val="194"/>
        </w:trPr>
        <w:tc>
          <w:tcPr>
            <w:tcW w:w="2960" w:type="dxa"/>
            <w:vAlign w:val="bottom"/>
            <w:shd w:val="clear" w:color="auto" w:fill="CCEEFF"/>
          </w:tcPr>
          <w:p>
            <w:pPr>
              <w:ind w:left="20"/>
              <w:spacing w:after="0" w:line="194" w:lineRule="exact"/>
              <w:rPr>
                <w:sz w:val="20"/>
                <w:szCs w:val="20"/>
                <w:color w:val="auto"/>
              </w:rPr>
            </w:pPr>
            <w:r>
              <w:rPr>
                <w:rFonts w:ascii="Arial" w:cs="Arial" w:eastAsia="Arial" w:hAnsi="Arial"/>
                <w:sz w:val="20"/>
                <w:szCs w:val="20"/>
                <w:color w:val="auto"/>
              </w:rPr>
              <w:t>Amortization of developed</w:t>
            </w:r>
          </w:p>
        </w:tc>
        <w:tc>
          <w:tcPr>
            <w:tcW w:w="160" w:type="dxa"/>
            <w:vAlign w:val="bottom"/>
            <w:shd w:val="clear" w:color="auto" w:fill="CCEEFF"/>
          </w:tcPr>
          <w:p>
            <w:pPr>
              <w:spacing w:after="0"/>
              <w:rPr>
                <w:sz w:val="16"/>
                <w:szCs w:val="16"/>
                <w:color w:val="auto"/>
              </w:rPr>
            </w:pPr>
          </w:p>
        </w:tc>
        <w:tc>
          <w:tcPr>
            <w:tcW w:w="2540" w:type="dxa"/>
            <w:vAlign w:val="bottom"/>
            <w:vMerge w:val="restart"/>
            <w:shd w:val="clear" w:color="auto" w:fill="CCEEFF"/>
          </w:tcPr>
          <w:p>
            <w:pPr>
              <w:jc w:val="right"/>
              <w:spacing w:after="0"/>
              <w:rPr>
                <w:sz w:val="20"/>
                <w:szCs w:val="20"/>
                <w:color w:val="auto"/>
              </w:rPr>
            </w:pPr>
            <w:r>
              <w:rPr>
                <w:rFonts w:ascii="Arial" w:cs="Arial" w:eastAsia="Arial" w:hAnsi="Arial"/>
                <w:sz w:val="20"/>
                <w:szCs w:val="20"/>
                <w:color w:val="auto"/>
              </w:rPr>
              <w:t>4,434</w:t>
            </w:r>
          </w:p>
        </w:tc>
        <w:tc>
          <w:tcPr>
            <w:tcW w:w="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23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20"/>
                <w:szCs w:val="20"/>
                <w:color w:val="auto"/>
              </w:rPr>
              <w:t>—</w:t>
            </w:r>
          </w:p>
        </w:tc>
        <w:tc>
          <w:tcPr>
            <w:tcW w:w="620" w:type="dxa"/>
            <w:vAlign w:val="bottom"/>
            <w:shd w:val="clear" w:color="auto" w:fill="CCEEFF"/>
          </w:tcPr>
          <w:p>
            <w:pPr>
              <w:spacing w:after="0"/>
              <w:rPr>
                <w:sz w:val="16"/>
                <w:szCs w:val="16"/>
                <w:color w:val="auto"/>
              </w:rPr>
            </w:pPr>
          </w:p>
        </w:tc>
        <w:tc>
          <w:tcPr>
            <w:tcW w:w="2100" w:type="dxa"/>
            <w:vAlign w:val="bottom"/>
            <w:vMerge w:val="restart"/>
            <w:shd w:val="clear" w:color="auto" w:fill="CCEEFF"/>
          </w:tcPr>
          <w:p>
            <w:pPr>
              <w:jc w:val="right"/>
              <w:spacing w:after="0"/>
              <w:rPr>
                <w:sz w:val="20"/>
                <w:szCs w:val="20"/>
                <w:color w:val="auto"/>
              </w:rPr>
            </w:pPr>
            <w:r>
              <w:rPr>
                <w:rFonts w:ascii="Arial" w:cs="Arial" w:eastAsia="Arial" w:hAnsi="Arial"/>
                <w:sz w:val="20"/>
                <w:szCs w:val="20"/>
                <w:color w:val="auto"/>
              </w:rPr>
              <w:t>4,434</w:t>
            </w:r>
          </w:p>
        </w:tc>
        <w:tc>
          <w:tcPr>
            <w:tcW w:w="0" w:type="dxa"/>
            <w:vAlign w:val="bottom"/>
          </w:tcPr>
          <w:p>
            <w:pPr>
              <w:spacing w:after="0"/>
              <w:rPr>
                <w:sz w:val="1"/>
                <w:szCs w:val="1"/>
                <w:color w:val="auto"/>
              </w:rPr>
            </w:pPr>
          </w:p>
        </w:tc>
      </w:tr>
      <w:tr>
        <w:trPr>
          <w:trHeight w:val="251"/>
        </w:trPr>
        <w:tc>
          <w:tcPr>
            <w:tcW w:w="2960" w:type="dxa"/>
            <w:vAlign w:val="bottom"/>
            <w:shd w:val="clear" w:color="auto" w:fill="CCEEFF"/>
          </w:tcPr>
          <w:p>
            <w:pPr>
              <w:ind w:left="20"/>
              <w:spacing w:after="0"/>
              <w:rPr>
                <w:sz w:val="20"/>
                <w:szCs w:val="20"/>
                <w:color w:val="auto"/>
              </w:rPr>
            </w:pPr>
            <w:r>
              <w:rPr>
                <w:rFonts w:ascii="Arial" w:cs="Arial" w:eastAsia="Arial" w:hAnsi="Arial"/>
                <w:sz w:val="20"/>
                <w:szCs w:val="20"/>
                <w:color w:val="auto"/>
              </w:rPr>
              <w:t>technology and backlog</w:t>
            </w:r>
          </w:p>
        </w:tc>
        <w:tc>
          <w:tcPr>
            <w:tcW w:w="160" w:type="dxa"/>
            <w:vAlign w:val="bottom"/>
            <w:shd w:val="clear" w:color="auto" w:fill="CCEEFF"/>
          </w:tcPr>
          <w:p>
            <w:pPr>
              <w:spacing w:after="0"/>
              <w:rPr>
                <w:sz w:val="21"/>
                <w:szCs w:val="21"/>
                <w:color w:val="auto"/>
              </w:rPr>
            </w:pPr>
          </w:p>
        </w:tc>
        <w:tc>
          <w:tcPr>
            <w:tcW w:w="2540" w:type="dxa"/>
            <w:vAlign w:val="bottom"/>
            <w:vMerge w:val="continue"/>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2380" w:type="dxa"/>
            <w:vAlign w:val="bottom"/>
            <w:gridSpan w:val="2"/>
            <w:vMerge w:val="continue"/>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210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2960" w:type="dxa"/>
            <w:vAlign w:val="bottom"/>
          </w:tcPr>
          <w:p>
            <w:pPr>
              <w:ind w:left="20"/>
              <w:spacing w:after="0"/>
              <w:rPr>
                <w:sz w:val="20"/>
                <w:szCs w:val="20"/>
                <w:color w:val="auto"/>
              </w:rPr>
            </w:pPr>
            <w:r>
              <w:rPr>
                <w:rFonts w:ascii="Arial" w:cs="Arial" w:eastAsia="Arial" w:hAnsi="Arial"/>
                <w:sz w:val="20"/>
                <w:szCs w:val="20"/>
                <w:color w:val="auto"/>
              </w:rPr>
              <w:t>Depreciation</w:t>
            </w:r>
          </w:p>
        </w:tc>
        <w:tc>
          <w:tcPr>
            <w:tcW w:w="160" w:type="dxa"/>
            <w:vAlign w:val="bottom"/>
          </w:tcPr>
          <w:p>
            <w:pPr>
              <w:spacing w:after="0"/>
              <w:rPr>
                <w:sz w:val="22"/>
                <w:szCs w:val="22"/>
                <w:color w:val="auto"/>
              </w:rPr>
            </w:pPr>
          </w:p>
        </w:tc>
        <w:tc>
          <w:tcPr>
            <w:tcW w:w="2540" w:type="dxa"/>
            <w:vAlign w:val="bottom"/>
          </w:tcPr>
          <w:p>
            <w:pPr>
              <w:jc w:val="right"/>
              <w:spacing w:after="0"/>
              <w:rPr>
                <w:sz w:val="20"/>
                <w:szCs w:val="20"/>
                <w:color w:val="auto"/>
              </w:rPr>
            </w:pPr>
            <w:r>
              <w:rPr>
                <w:rFonts w:ascii="Arial" w:cs="Arial" w:eastAsia="Arial" w:hAnsi="Arial"/>
                <w:sz w:val="20"/>
                <w:szCs w:val="20"/>
                <w:color w:val="auto"/>
              </w:rPr>
              <w:t>845</w:t>
            </w:r>
          </w:p>
        </w:tc>
        <w:tc>
          <w:tcPr>
            <w:tcW w:w="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2300" w:type="dxa"/>
            <w:vAlign w:val="bottom"/>
          </w:tcPr>
          <w:p>
            <w:pPr>
              <w:jc w:val="right"/>
              <w:spacing w:after="0"/>
              <w:rPr>
                <w:sz w:val="20"/>
                <w:szCs w:val="20"/>
                <w:color w:val="auto"/>
              </w:rPr>
            </w:pPr>
            <w:r>
              <w:rPr>
                <w:rFonts w:ascii="Arial" w:cs="Arial" w:eastAsia="Arial" w:hAnsi="Arial"/>
                <w:sz w:val="20"/>
                <w:szCs w:val="20"/>
                <w:color w:val="auto"/>
              </w:rPr>
              <w:t>(67)</w:t>
            </w:r>
          </w:p>
        </w:tc>
        <w:tc>
          <w:tcPr>
            <w:tcW w:w="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100" w:type="dxa"/>
            <w:vAlign w:val="bottom"/>
          </w:tcPr>
          <w:p>
            <w:pPr>
              <w:jc w:val="right"/>
              <w:spacing w:after="0"/>
              <w:rPr>
                <w:sz w:val="20"/>
                <w:szCs w:val="20"/>
                <w:color w:val="auto"/>
              </w:rPr>
            </w:pPr>
            <w:r>
              <w:rPr>
                <w:rFonts w:ascii="Arial" w:cs="Arial" w:eastAsia="Arial" w:hAnsi="Arial"/>
                <w:sz w:val="20"/>
                <w:szCs w:val="20"/>
                <w:color w:val="auto"/>
              </w:rPr>
              <w:t>778</w:t>
            </w:r>
          </w:p>
        </w:tc>
        <w:tc>
          <w:tcPr>
            <w:tcW w:w="0" w:type="dxa"/>
            <w:vAlign w:val="bottom"/>
          </w:tcPr>
          <w:p>
            <w:pPr>
              <w:spacing w:after="0"/>
              <w:rPr>
                <w:sz w:val="1"/>
                <w:szCs w:val="1"/>
                <w:color w:val="auto"/>
              </w:rPr>
            </w:pPr>
          </w:p>
        </w:tc>
      </w:tr>
      <w:tr>
        <w:trPr>
          <w:trHeight w:val="257"/>
        </w:trPr>
        <w:tc>
          <w:tcPr>
            <w:tcW w:w="2960" w:type="dxa"/>
            <w:vAlign w:val="bottom"/>
            <w:shd w:val="clear" w:color="auto" w:fill="CCEEFF"/>
          </w:tcPr>
          <w:p>
            <w:pPr>
              <w:ind w:left="20"/>
              <w:spacing w:after="0"/>
              <w:rPr>
                <w:sz w:val="20"/>
                <w:szCs w:val="20"/>
                <w:color w:val="auto"/>
              </w:rPr>
            </w:pPr>
            <w:r>
              <w:rPr>
                <w:rFonts w:ascii="Arial" w:cs="Arial" w:eastAsia="Arial" w:hAnsi="Arial"/>
                <w:sz w:val="20"/>
                <w:szCs w:val="20"/>
                <w:color w:val="auto"/>
              </w:rPr>
              <w:t>Other costs (2)</w:t>
            </w:r>
          </w:p>
        </w:tc>
        <w:tc>
          <w:tcPr>
            <w:tcW w:w="160" w:type="dxa"/>
            <w:vAlign w:val="bottom"/>
            <w:tcBorders>
              <w:bottom w:val="single" w:sz="8" w:color="auto"/>
            </w:tcBorders>
            <w:shd w:val="clear" w:color="auto" w:fill="CCEEFF"/>
          </w:tcPr>
          <w:p>
            <w:pPr>
              <w:spacing w:after="0"/>
              <w:rPr>
                <w:sz w:val="22"/>
                <w:szCs w:val="22"/>
                <w:color w:val="auto"/>
              </w:rPr>
            </w:pPr>
          </w:p>
        </w:tc>
        <w:tc>
          <w:tcPr>
            <w:tcW w:w="2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12,393</w:t>
            </w:r>
          </w:p>
        </w:tc>
        <w:tc>
          <w:tcPr>
            <w:tcW w:w="80" w:type="dxa"/>
            <w:vAlign w:val="bottom"/>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spacing w:after="0"/>
              <w:rPr>
                <w:sz w:val="22"/>
                <w:szCs w:val="22"/>
                <w:color w:val="auto"/>
              </w:rPr>
            </w:pPr>
          </w:p>
        </w:tc>
        <w:tc>
          <w:tcPr>
            <w:tcW w:w="2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1,068</w:t>
            </w:r>
          </w:p>
        </w:tc>
        <w:tc>
          <w:tcPr>
            <w:tcW w:w="80" w:type="dxa"/>
            <w:vAlign w:val="bottom"/>
            <w:shd w:val="clear" w:color="auto" w:fill="CCEEFF"/>
          </w:tcPr>
          <w:p>
            <w:pPr>
              <w:spacing w:after="0"/>
              <w:rPr>
                <w:sz w:val="22"/>
                <w:szCs w:val="22"/>
                <w:color w:val="auto"/>
              </w:rPr>
            </w:pPr>
          </w:p>
        </w:tc>
        <w:tc>
          <w:tcPr>
            <w:tcW w:w="620" w:type="dxa"/>
            <w:vAlign w:val="bottom"/>
            <w:tcBorders>
              <w:bottom w:val="single" w:sz="8" w:color="auto"/>
            </w:tcBorders>
            <w:shd w:val="clear" w:color="auto" w:fill="CCEEFF"/>
          </w:tcPr>
          <w:p>
            <w:pPr>
              <w:spacing w:after="0"/>
              <w:rPr>
                <w:sz w:val="22"/>
                <w:szCs w:val="22"/>
                <w:color w:val="auto"/>
              </w:rPr>
            </w:pPr>
          </w:p>
        </w:tc>
        <w:tc>
          <w:tcPr>
            <w:tcW w:w="2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13,461</w:t>
            </w:r>
          </w:p>
        </w:tc>
        <w:tc>
          <w:tcPr>
            <w:tcW w:w="0" w:type="dxa"/>
            <w:vAlign w:val="bottom"/>
          </w:tcPr>
          <w:p>
            <w:pPr>
              <w:spacing w:after="0"/>
              <w:rPr>
                <w:sz w:val="1"/>
                <w:szCs w:val="1"/>
                <w:color w:val="auto"/>
              </w:rPr>
            </w:pPr>
          </w:p>
        </w:tc>
      </w:tr>
      <w:tr>
        <w:trPr>
          <w:trHeight w:val="250"/>
        </w:trPr>
        <w:tc>
          <w:tcPr>
            <w:tcW w:w="2960" w:type="dxa"/>
            <w:vAlign w:val="bottom"/>
          </w:tcPr>
          <w:p>
            <w:pPr>
              <w:ind w:left="20"/>
              <w:spacing w:after="0"/>
              <w:rPr>
                <w:sz w:val="20"/>
                <w:szCs w:val="20"/>
                <w:color w:val="auto"/>
              </w:rPr>
            </w:pPr>
            <w:r>
              <w:rPr>
                <w:rFonts w:ascii="Arial" w:cs="Arial" w:eastAsia="Arial" w:hAnsi="Arial"/>
                <w:sz w:val="20"/>
                <w:szCs w:val="20"/>
                <w:b w:val="1"/>
                <w:bCs w:val="1"/>
                <w:color w:val="auto"/>
              </w:rPr>
              <w:t>Gross profit</w:t>
            </w:r>
          </w:p>
        </w:tc>
        <w:tc>
          <w:tcPr>
            <w:tcW w:w="160" w:type="dxa"/>
            <w:vAlign w:val="bottom"/>
          </w:tcPr>
          <w:p>
            <w:pPr>
              <w:spacing w:after="0"/>
              <w:rPr>
                <w:sz w:val="21"/>
                <w:szCs w:val="21"/>
                <w:color w:val="auto"/>
              </w:rPr>
            </w:pPr>
          </w:p>
        </w:tc>
        <w:tc>
          <w:tcPr>
            <w:tcW w:w="2540" w:type="dxa"/>
            <w:vAlign w:val="bottom"/>
          </w:tcPr>
          <w:p>
            <w:pPr>
              <w:jc w:val="right"/>
              <w:spacing w:after="0"/>
              <w:rPr>
                <w:sz w:val="20"/>
                <w:szCs w:val="20"/>
                <w:color w:val="auto"/>
              </w:rPr>
            </w:pPr>
            <w:r>
              <w:rPr>
                <w:rFonts w:ascii="Arial" w:cs="Arial" w:eastAsia="Arial" w:hAnsi="Arial"/>
                <w:sz w:val="20"/>
                <w:szCs w:val="20"/>
                <w:color w:val="auto"/>
              </w:rPr>
              <w:t>102,127</w:t>
            </w: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300" w:type="dxa"/>
            <w:vAlign w:val="bottom"/>
          </w:tcPr>
          <w:p>
            <w:pPr>
              <w:jc w:val="right"/>
              <w:spacing w:after="0"/>
              <w:rPr>
                <w:sz w:val="20"/>
                <w:szCs w:val="20"/>
                <w:color w:val="auto"/>
              </w:rPr>
            </w:pPr>
            <w:r>
              <w:rPr>
                <w:rFonts w:ascii="Arial" w:cs="Arial" w:eastAsia="Arial" w:hAnsi="Arial"/>
                <w:sz w:val="20"/>
                <w:szCs w:val="20"/>
                <w:color w:val="auto"/>
              </w:rPr>
              <w:t>3,544</w:t>
            </w:r>
          </w:p>
        </w:tc>
        <w:tc>
          <w:tcPr>
            <w:tcW w:w="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100" w:type="dxa"/>
            <w:vAlign w:val="bottom"/>
          </w:tcPr>
          <w:p>
            <w:pPr>
              <w:jc w:val="right"/>
              <w:spacing w:after="0"/>
              <w:rPr>
                <w:sz w:val="20"/>
                <w:szCs w:val="20"/>
                <w:color w:val="auto"/>
              </w:rPr>
            </w:pPr>
            <w:r>
              <w:rPr>
                <w:rFonts w:ascii="Arial" w:cs="Arial" w:eastAsia="Arial" w:hAnsi="Arial"/>
                <w:sz w:val="20"/>
                <w:szCs w:val="20"/>
                <w:color w:val="auto"/>
              </w:rPr>
              <w:t>105,671</w:t>
            </w:r>
          </w:p>
        </w:tc>
        <w:tc>
          <w:tcPr>
            <w:tcW w:w="0" w:type="dxa"/>
            <w:vAlign w:val="bottom"/>
          </w:tcPr>
          <w:p>
            <w:pPr>
              <w:spacing w:after="0"/>
              <w:rPr>
                <w:sz w:val="1"/>
                <w:szCs w:val="1"/>
                <w:color w:val="auto"/>
              </w:rPr>
            </w:pPr>
          </w:p>
        </w:tc>
      </w:tr>
      <w:tr>
        <w:trPr>
          <w:trHeight w:val="270"/>
        </w:trPr>
        <w:tc>
          <w:tcPr>
            <w:tcW w:w="296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25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23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620" w:type="dxa"/>
            <w:vAlign w:val="bottom"/>
            <w:shd w:val="clear" w:color="auto" w:fill="CCEEFF"/>
          </w:tcPr>
          <w:p>
            <w:pPr>
              <w:spacing w:after="0"/>
              <w:rPr>
                <w:sz w:val="23"/>
                <w:szCs w:val="23"/>
                <w:color w:val="auto"/>
              </w:rPr>
            </w:pPr>
          </w:p>
        </w:tc>
        <w:tc>
          <w:tcPr>
            <w:tcW w:w="21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2960" w:type="dxa"/>
            <w:vAlign w:val="bottom"/>
          </w:tcPr>
          <w:p>
            <w:pPr>
              <w:ind w:left="20"/>
              <w:spacing w:after="0"/>
              <w:rPr>
                <w:sz w:val="20"/>
                <w:szCs w:val="20"/>
                <w:color w:val="auto"/>
              </w:rPr>
            </w:pPr>
            <w:r>
              <w:rPr>
                <w:rFonts w:ascii="Arial" w:cs="Arial" w:eastAsia="Arial" w:hAnsi="Arial"/>
                <w:sz w:val="20"/>
                <w:szCs w:val="20"/>
                <w:color w:val="auto"/>
              </w:rPr>
              <w:t>Total operating expenses</w:t>
            </w:r>
          </w:p>
        </w:tc>
        <w:tc>
          <w:tcPr>
            <w:tcW w:w="160" w:type="dxa"/>
            <w:vAlign w:val="bottom"/>
          </w:tcPr>
          <w:p>
            <w:pPr>
              <w:spacing w:after="0"/>
              <w:rPr>
                <w:sz w:val="22"/>
                <w:szCs w:val="22"/>
                <w:color w:val="auto"/>
              </w:rPr>
            </w:pPr>
          </w:p>
        </w:tc>
        <w:tc>
          <w:tcPr>
            <w:tcW w:w="2620" w:type="dxa"/>
            <w:vAlign w:val="bottom"/>
            <w:gridSpan w:val="2"/>
          </w:tcPr>
          <w:p>
            <w:pPr>
              <w:jc w:val="right"/>
              <w:ind w:right="160"/>
              <w:spacing w:after="0"/>
              <w:rPr>
                <w:sz w:val="20"/>
                <w:szCs w:val="20"/>
                <w:color w:val="auto"/>
              </w:rPr>
            </w:pPr>
            <w:r>
              <w:rPr>
                <w:rFonts w:ascii="Arial" w:cs="Arial" w:eastAsia="Arial" w:hAnsi="Arial"/>
                <w:sz w:val="20"/>
                <w:szCs w:val="20"/>
                <w:color w:val="auto"/>
              </w:rPr>
              <w:t>—</w:t>
            </w:r>
          </w:p>
        </w:tc>
        <w:tc>
          <w:tcPr>
            <w:tcW w:w="400" w:type="dxa"/>
            <w:vAlign w:val="bottom"/>
          </w:tcPr>
          <w:p>
            <w:pPr>
              <w:spacing w:after="0"/>
              <w:rPr>
                <w:sz w:val="22"/>
                <w:szCs w:val="22"/>
                <w:color w:val="auto"/>
              </w:rPr>
            </w:pPr>
          </w:p>
        </w:tc>
        <w:tc>
          <w:tcPr>
            <w:tcW w:w="2380" w:type="dxa"/>
            <w:vAlign w:val="bottom"/>
            <w:gridSpan w:val="2"/>
          </w:tcPr>
          <w:p>
            <w:pPr>
              <w:jc w:val="right"/>
              <w:ind w:right="160"/>
              <w:spacing w:after="0"/>
              <w:rPr>
                <w:sz w:val="20"/>
                <w:szCs w:val="20"/>
                <w:color w:val="auto"/>
              </w:rPr>
            </w:pPr>
            <w:r>
              <w:rPr>
                <w:rFonts w:ascii="Arial" w:cs="Arial" w:eastAsia="Arial" w:hAnsi="Arial"/>
                <w:sz w:val="20"/>
                <w:szCs w:val="20"/>
                <w:color w:val="auto"/>
              </w:rPr>
              <w:t>—</w:t>
            </w:r>
          </w:p>
        </w:tc>
        <w:tc>
          <w:tcPr>
            <w:tcW w:w="620" w:type="dxa"/>
            <w:vAlign w:val="bottom"/>
          </w:tcPr>
          <w:p>
            <w:pPr>
              <w:spacing w:after="0"/>
              <w:rPr>
                <w:sz w:val="22"/>
                <w:szCs w:val="22"/>
                <w:color w:val="auto"/>
              </w:rPr>
            </w:pPr>
          </w:p>
        </w:tc>
        <w:tc>
          <w:tcPr>
            <w:tcW w:w="2100" w:type="dxa"/>
            <w:vAlign w:val="bottom"/>
          </w:tcPr>
          <w:p>
            <w:pPr>
              <w:jc w:val="right"/>
              <w:spacing w:after="0"/>
              <w:rPr>
                <w:sz w:val="20"/>
                <w:szCs w:val="20"/>
                <w:color w:val="auto"/>
              </w:rPr>
            </w:pPr>
            <w:r>
              <w:rPr>
                <w:rFonts w:ascii="Arial" w:cs="Arial" w:eastAsia="Arial" w:hAnsi="Arial"/>
                <w:sz w:val="20"/>
                <w:szCs w:val="20"/>
                <w:color w:val="auto"/>
              </w:rPr>
              <w:t>(60,220)</w:t>
            </w:r>
          </w:p>
        </w:tc>
        <w:tc>
          <w:tcPr>
            <w:tcW w:w="0" w:type="dxa"/>
            <w:vAlign w:val="bottom"/>
          </w:tcPr>
          <w:p>
            <w:pPr>
              <w:spacing w:after="0"/>
              <w:rPr>
                <w:sz w:val="1"/>
                <w:szCs w:val="1"/>
                <w:color w:val="auto"/>
              </w:rPr>
            </w:pPr>
          </w:p>
        </w:tc>
      </w:tr>
      <w:tr>
        <w:trPr>
          <w:trHeight w:val="257"/>
        </w:trPr>
        <w:tc>
          <w:tcPr>
            <w:tcW w:w="2960" w:type="dxa"/>
            <w:vAlign w:val="bottom"/>
            <w:shd w:val="clear" w:color="auto" w:fill="CCEEFF"/>
          </w:tcPr>
          <w:p>
            <w:pPr>
              <w:ind w:left="20"/>
              <w:spacing w:after="0"/>
              <w:rPr>
                <w:sz w:val="20"/>
                <w:szCs w:val="20"/>
                <w:color w:val="auto"/>
              </w:rPr>
            </w:pPr>
            <w:r>
              <w:rPr>
                <w:rFonts w:ascii="Arial" w:cs="Arial" w:eastAsia="Arial" w:hAnsi="Arial"/>
                <w:sz w:val="20"/>
                <w:szCs w:val="20"/>
                <w:color w:val="auto"/>
              </w:rPr>
              <w:t>Total other income, net</w:t>
            </w:r>
          </w:p>
        </w:tc>
        <w:tc>
          <w:tcPr>
            <w:tcW w:w="160" w:type="dxa"/>
            <w:vAlign w:val="bottom"/>
            <w:shd w:val="clear" w:color="auto" w:fill="CCEEFF"/>
          </w:tcPr>
          <w:p>
            <w:pPr>
              <w:spacing w:after="0"/>
              <w:rPr>
                <w:sz w:val="22"/>
                <w:szCs w:val="22"/>
                <w:color w:val="auto"/>
              </w:rPr>
            </w:pPr>
          </w:p>
        </w:tc>
        <w:tc>
          <w:tcPr>
            <w:tcW w:w="2620" w:type="dxa"/>
            <w:vAlign w:val="bottom"/>
            <w:gridSpan w:val="2"/>
            <w:shd w:val="clear" w:color="auto" w:fill="CCEEFF"/>
          </w:tcPr>
          <w:p>
            <w:pPr>
              <w:jc w:val="right"/>
              <w:ind w:right="160"/>
              <w:spacing w:after="0"/>
              <w:rPr>
                <w:sz w:val="20"/>
                <w:szCs w:val="20"/>
                <w:color w:val="auto"/>
              </w:rPr>
            </w:pPr>
            <w:r>
              <w:rPr>
                <w:rFonts w:ascii="Arial" w:cs="Arial" w:eastAsia="Arial" w:hAnsi="Arial"/>
                <w:sz w:val="20"/>
                <w:szCs w:val="20"/>
                <w:color w:val="auto"/>
              </w:rPr>
              <w:t>—</w:t>
            </w:r>
          </w:p>
        </w:tc>
        <w:tc>
          <w:tcPr>
            <w:tcW w:w="400" w:type="dxa"/>
            <w:vAlign w:val="bottom"/>
            <w:shd w:val="clear" w:color="auto" w:fill="CCEEFF"/>
          </w:tcPr>
          <w:p>
            <w:pPr>
              <w:spacing w:after="0"/>
              <w:rPr>
                <w:sz w:val="22"/>
                <w:szCs w:val="22"/>
                <w:color w:val="auto"/>
              </w:rPr>
            </w:pPr>
          </w:p>
        </w:tc>
        <w:tc>
          <w:tcPr>
            <w:tcW w:w="2380" w:type="dxa"/>
            <w:vAlign w:val="bottom"/>
            <w:gridSpan w:val="2"/>
            <w:shd w:val="clear" w:color="auto" w:fill="CCEEFF"/>
          </w:tcPr>
          <w:p>
            <w:pPr>
              <w:jc w:val="right"/>
              <w:ind w:right="160"/>
              <w:spacing w:after="0"/>
              <w:rPr>
                <w:sz w:val="20"/>
                <w:szCs w:val="20"/>
                <w:color w:val="auto"/>
              </w:rPr>
            </w:pPr>
            <w:r>
              <w:rPr>
                <w:rFonts w:ascii="Arial" w:cs="Arial" w:eastAsia="Arial" w:hAnsi="Arial"/>
                <w:sz w:val="20"/>
                <w:szCs w:val="20"/>
                <w:color w:val="auto"/>
              </w:rPr>
              <w:t>—</w:t>
            </w:r>
          </w:p>
        </w:tc>
        <w:tc>
          <w:tcPr>
            <w:tcW w:w="620" w:type="dxa"/>
            <w:vAlign w:val="bottom"/>
            <w:tcBorders>
              <w:bottom w:val="single" w:sz="8" w:color="auto"/>
            </w:tcBorders>
            <w:shd w:val="clear" w:color="auto" w:fill="CCEEFF"/>
          </w:tcPr>
          <w:p>
            <w:pPr>
              <w:spacing w:after="0"/>
              <w:rPr>
                <w:sz w:val="22"/>
                <w:szCs w:val="22"/>
                <w:color w:val="auto"/>
              </w:rPr>
            </w:pPr>
          </w:p>
        </w:tc>
        <w:tc>
          <w:tcPr>
            <w:tcW w:w="2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(2,007)</w:t>
            </w:r>
          </w:p>
        </w:tc>
        <w:tc>
          <w:tcPr>
            <w:tcW w:w="0" w:type="dxa"/>
            <w:vAlign w:val="bottom"/>
          </w:tcPr>
          <w:p>
            <w:pPr>
              <w:spacing w:after="0"/>
              <w:rPr>
                <w:sz w:val="1"/>
                <w:szCs w:val="1"/>
                <w:color w:val="auto"/>
              </w:rPr>
            </w:pPr>
          </w:p>
        </w:tc>
      </w:tr>
      <w:tr>
        <w:trPr>
          <w:trHeight w:val="250"/>
        </w:trPr>
        <w:tc>
          <w:tcPr>
            <w:tcW w:w="2960" w:type="dxa"/>
            <w:vAlign w:val="bottom"/>
          </w:tcPr>
          <w:p>
            <w:pPr>
              <w:ind w:left="20"/>
              <w:spacing w:after="0"/>
              <w:rPr>
                <w:sz w:val="20"/>
                <w:szCs w:val="20"/>
                <w:color w:val="auto"/>
              </w:rPr>
            </w:pPr>
            <w:r>
              <w:rPr>
                <w:rFonts w:ascii="Arial" w:cs="Arial" w:eastAsia="Arial" w:hAnsi="Arial"/>
                <w:sz w:val="20"/>
                <w:szCs w:val="20"/>
                <w:b w:val="1"/>
                <w:bCs w:val="1"/>
                <w:color w:val="auto"/>
              </w:rPr>
              <w:t>Income before income taxes</w:t>
            </w:r>
          </w:p>
        </w:tc>
        <w:tc>
          <w:tcPr>
            <w:tcW w:w="160" w:type="dxa"/>
            <w:vAlign w:val="bottom"/>
          </w:tcPr>
          <w:p>
            <w:pPr>
              <w:spacing w:after="0"/>
              <w:rPr>
                <w:sz w:val="21"/>
                <w:szCs w:val="21"/>
                <w:color w:val="auto"/>
              </w:rPr>
            </w:pPr>
          </w:p>
        </w:tc>
        <w:tc>
          <w:tcPr>
            <w:tcW w:w="25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3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20" w:type="dxa"/>
            <w:vAlign w:val="bottom"/>
            <w:tcBorders>
              <w:bottom w:val="single" w:sz="8" w:color="auto"/>
            </w:tcBorders>
          </w:tcPr>
          <w:p>
            <w:pPr>
              <w:jc w:val="right"/>
              <w:ind w:right="381"/>
              <w:spacing w:after="0"/>
              <w:rPr>
                <w:sz w:val="20"/>
                <w:szCs w:val="20"/>
                <w:color w:val="auto"/>
              </w:rPr>
            </w:pPr>
            <w:r>
              <w:rPr>
                <w:rFonts w:ascii="Arial" w:cs="Arial" w:eastAsia="Arial" w:hAnsi="Arial"/>
                <w:sz w:val="20"/>
                <w:szCs w:val="20"/>
                <w:color w:val="auto"/>
              </w:rPr>
              <w:t>$</w:t>
            </w:r>
          </w:p>
        </w:tc>
        <w:tc>
          <w:tcPr>
            <w:tcW w:w="21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43,444</w:t>
            </w:r>
          </w:p>
        </w:tc>
        <w:tc>
          <w:tcPr>
            <w:tcW w:w="0" w:type="dxa"/>
            <w:vAlign w:val="bottom"/>
          </w:tcPr>
          <w:p>
            <w:pPr>
              <w:spacing w:after="0"/>
              <w:rPr>
                <w:sz w:val="1"/>
                <w:szCs w:val="1"/>
                <w:color w:val="auto"/>
              </w:rPr>
            </w:pPr>
          </w:p>
        </w:tc>
      </w:tr>
      <w:tr>
        <w:trPr>
          <w:trHeight w:val="20"/>
        </w:trPr>
        <w:tc>
          <w:tcPr>
            <w:tcW w:w="296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25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CCEEFF"/>
            </w:tcBorders>
          </w:tcPr>
          <w:p>
            <w:pPr>
              <w:spacing w:after="0" w:line="20" w:lineRule="exact"/>
              <w:rPr>
                <w:sz w:val="1"/>
                <w:szCs w:val="1"/>
                <w:color w:val="auto"/>
              </w:rPr>
            </w:pPr>
          </w:p>
        </w:tc>
        <w:tc>
          <w:tcPr>
            <w:tcW w:w="23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9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25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23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2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2960" w:type="dxa"/>
            <w:vAlign w:val="bottom"/>
          </w:tcPr>
          <w:p>
            <w:pPr>
              <w:ind w:left="20"/>
              <w:spacing w:after="0"/>
              <w:rPr>
                <w:sz w:val="20"/>
                <w:szCs w:val="20"/>
                <w:color w:val="auto"/>
              </w:rPr>
            </w:pPr>
            <w:r>
              <w:rPr>
                <w:rFonts w:ascii="Arial" w:cs="Arial" w:eastAsia="Arial" w:hAnsi="Arial"/>
                <w:sz w:val="20"/>
                <w:szCs w:val="20"/>
                <w:color w:val="auto"/>
              </w:rPr>
              <w:t>Segment assets</w:t>
            </w:r>
          </w:p>
        </w:tc>
        <w:tc>
          <w:tcPr>
            <w:tcW w:w="160" w:type="dxa"/>
            <w:vAlign w:val="bottom"/>
          </w:tcPr>
          <w:p>
            <w:pPr>
              <w:spacing w:after="0"/>
              <w:rPr>
                <w:sz w:val="22"/>
                <w:szCs w:val="22"/>
                <w:color w:val="auto"/>
              </w:rPr>
            </w:pPr>
          </w:p>
        </w:tc>
        <w:tc>
          <w:tcPr>
            <w:tcW w:w="2540" w:type="dxa"/>
            <w:vAlign w:val="bottom"/>
          </w:tcPr>
          <w:p>
            <w:pPr>
              <w:jc w:val="right"/>
              <w:spacing w:after="0"/>
              <w:rPr>
                <w:sz w:val="20"/>
                <w:szCs w:val="20"/>
                <w:color w:val="auto"/>
              </w:rPr>
            </w:pPr>
            <w:r>
              <w:rPr>
                <w:rFonts w:ascii="Arial" w:cs="Arial" w:eastAsia="Arial" w:hAnsi="Arial"/>
                <w:sz w:val="20"/>
                <w:szCs w:val="20"/>
                <w:color w:val="auto"/>
              </w:rPr>
              <w:t>1,211,117</w:t>
            </w:r>
          </w:p>
        </w:tc>
        <w:tc>
          <w:tcPr>
            <w:tcW w:w="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2300" w:type="dxa"/>
            <w:vAlign w:val="bottom"/>
          </w:tcPr>
          <w:p>
            <w:pPr>
              <w:jc w:val="right"/>
              <w:spacing w:after="0"/>
              <w:rPr>
                <w:sz w:val="20"/>
                <w:szCs w:val="20"/>
                <w:color w:val="auto"/>
              </w:rPr>
            </w:pPr>
            <w:r>
              <w:rPr>
                <w:rFonts w:ascii="Arial" w:cs="Arial" w:eastAsia="Arial" w:hAnsi="Arial"/>
                <w:sz w:val="20"/>
                <w:szCs w:val="20"/>
                <w:color w:val="auto"/>
              </w:rPr>
              <w:t>400,044</w:t>
            </w:r>
          </w:p>
        </w:tc>
        <w:tc>
          <w:tcPr>
            <w:tcW w:w="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100" w:type="dxa"/>
            <w:vAlign w:val="bottom"/>
          </w:tcPr>
          <w:p>
            <w:pPr>
              <w:jc w:val="right"/>
              <w:spacing w:after="0"/>
              <w:rPr>
                <w:sz w:val="20"/>
                <w:szCs w:val="20"/>
                <w:color w:val="auto"/>
              </w:rPr>
            </w:pPr>
            <w:r>
              <w:rPr>
                <w:rFonts w:ascii="Arial" w:cs="Arial" w:eastAsia="Arial" w:hAnsi="Arial"/>
                <w:sz w:val="20"/>
                <w:szCs w:val="20"/>
                <w:color w:val="auto"/>
              </w:rPr>
              <w:t>1,611,161</w:t>
            </w:r>
          </w:p>
        </w:tc>
        <w:tc>
          <w:tcPr>
            <w:tcW w:w="0" w:type="dxa"/>
            <w:vAlign w:val="bottom"/>
          </w:tcPr>
          <w:p>
            <w:pPr>
              <w:spacing w:after="0"/>
              <w:rPr>
                <w:sz w:val="1"/>
                <w:szCs w:val="1"/>
                <w:color w:val="auto"/>
              </w:rPr>
            </w:pPr>
          </w:p>
        </w:tc>
      </w:tr>
      <w:tr>
        <w:trPr>
          <w:trHeight w:val="256"/>
        </w:trPr>
        <w:tc>
          <w:tcPr>
            <w:tcW w:w="2960" w:type="dxa"/>
            <w:vAlign w:val="bottom"/>
            <w:shd w:val="clear" w:color="auto" w:fill="CCEEFF"/>
          </w:tcPr>
          <w:p>
            <w:pPr>
              <w:ind w:left="20"/>
              <w:spacing w:after="0"/>
              <w:rPr>
                <w:sz w:val="20"/>
                <w:szCs w:val="20"/>
                <w:color w:val="auto"/>
              </w:rPr>
            </w:pPr>
            <w:r>
              <w:rPr>
                <w:rFonts w:ascii="Arial" w:cs="Arial" w:eastAsia="Arial" w:hAnsi="Arial"/>
                <w:sz w:val="20"/>
                <w:szCs w:val="20"/>
                <w:color w:val="auto"/>
              </w:rPr>
              <w:t>Capital expenditures</w:t>
            </w:r>
          </w:p>
        </w:tc>
        <w:tc>
          <w:tcPr>
            <w:tcW w:w="160" w:type="dxa"/>
            <w:vAlign w:val="bottom"/>
            <w:shd w:val="clear" w:color="auto" w:fill="CCEEFF"/>
          </w:tcPr>
          <w:p>
            <w:pPr>
              <w:spacing w:after="0"/>
              <w:rPr>
                <w:sz w:val="22"/>
                <w:szCs w:val="22"/>
                <w:color w:val="auto"/>
              </w:rPr>
            </w:pPr>
          </w:p>
        </w:tc>
        <w:tc>
          <w:tcPr>
            <w:tcW w:w="25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5,211</w:t>
            </w:r>
          </w:p>
        </w:tc>
        <w:tc>
          <w:tcPr>
            <w:tcW w:w="8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23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302</w:t>
            </w:r>
          </w:p>
        </w:tc>
        <w:tc>
          <w:tcPr>
            <w:tcW w:w="80" w:type="dxa"/>
            <w:vAlign w:val="bottom"/>
            <w:shd w:val="clear" w:color="auto" w:fill="CCEEFF"/>
          </w:tcPr>
          <w:p>
            <w:pPr>
              <w:spacing w:after="0"/>
              <w:rPr>
                <w:sz w:val="22"/>
                <w:szCs w:val="22"/>
                <w:color w:val="auto"/>
              </w:rPr>
            </w:pPr>
          </w:p>
        </w:tc>
        <w:tc>
          <w:tcPr>
            <w:tcW w:w="620" w:type="dxa"/>
            <w:vAlign w:val="bottom"/>
            <w:shd w:val="clear" w:color="auto" w:fill="CCEEFF"/>
          </w:tcPr>
          <w:p>
            <w:pPr>
              <w:spacing w:after="0"/>
              <w:rPr>
                <w:sz w:val="22"/>
                <w:szCs w:val="22"/>
                <w:color w:val="auto"/>
              </w:rPr>
            </w:pPr>
          </w:p>
        </w:tc>
        <w:tc>
          <w:tcPr>
            <w:tcW w:w="21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5,513</w:t>
            </w:r>
          </w:p>
        </w:tc>
        <w:tc>
          <w:tcPr>
            <w:tcW w:w="0" w:type="dxa"/>
            <w:vAlign w:val="bottom"/>
          </w:tcPr>
          <w:p>
            <w:pPr>
              <w:spacing w:after="0"/>
              <w:rPr>
                <w:sz w:val="1"/>
                <w:szCs w:val="1"/>
                <w:color w:val="auto"/>
              </w:rPr>
            </w:pPr>
          </w:p>
        </w:tc>
      </w:tr>
      <w:tr>
        <w:trPr>
          <w:trHeight w:val="257"/>
        </w:trPr>
        <w:tc>
          <w:tcPr>
            <w:tcW w:w="2960" w:type="dxa"/>
            <w:vAlign w:val="bottom"/>
          </w:tcPr>
          <w:p>
            <w:pPr>
              <w:ind w:left="20"/>
              <w:spacing w:after="0"/>
              <w:rPr>
                <w:sz w:val="20"/>
                <w:szCs w:val="20"/>
                <w:color w:val="auto"/>
              </w:rPr>
            </w:pPr>
            <w:r>
              <w:rPr>
                <w:rFonts w:ascii="Arial" w:cs="Arial" w:eastAsia="Arial" w:hAnsi="Arial"/>
                <w:sz w:val="20"/>
                <w:szCs w:val="20"/>
                <w:color w:val="auto"/>
              </w:rPr>
              <w:t>Depreciation and amortization</w:t>
            </w:r>
          </w:p>
        </w:tc>
        <w:tc>
          <w:tcPr>
            <w:tcW w:w="160" w:type="dxa"/>
            <w:vAlign w:val="bottom"/>
          </w:tcPr>
          <w:p>
            <w:pPr>
              <w:spacing w:after="0"/>
              <w:rPr>
                <w:sz w:val="22"/>
                <w:szCs w:val="22"/>
                <w:color w:val="auto"/>
              </w:rPr>
            </w:pPr>
          </w:p>
        </w:tc>
        <w:tc>
          <w:tcPr>
            <w:tcW w:w="2540" w:type="dxa"/>
            <w:vAlign w:val="bottom"/>
          </w:tcPr>
          <w:p>
            <w:pPr>
              <w:jc w:val="right"/>
              <w:spacing w:after="0"/>
              <w:rPr>
                <w:sz w:val="20"/>
                <w:szCs w:val="20"/>
                <w:color w:val="auto"/>
              </w:rPr>
            </w:pPr>
            <w:r>
              <w:rPr>
                <w:rFonts w:ascii="Arial" w:cs="Arial" w:eastAsia="Arial" w:hAnsi="Arial"/>
                <w:sz w:val="20"/>
                <w:szCs w:val="20"/>
                <w:color w:val="auto"/>
              </w:rPr>
              <w:t>9,209</w:t>
            </w:r>
          </w:p>
        </w:tc>
        <w:tc>
          <w:tcPr>
            <w:tcW w:w="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2300" w:type="dxa"/>
            <w:vAlign w:val="bottom"/>
          </w:tcPr>
          <w:p>
            <w:pPr>
              <w:jc w:val="right"/>
              <w:spacing w:after="0"/>
              <w:rPr>
                <w:sz w:val="20"/>
                <w:szCs w:val="20"/>
                <w:color w:val="auto"/>
              </w:rPr>
            </w:pPr>
            <w:r>
              <w:rPr>
                <w:rFonts w:ascii="Arial" w:cs="Arial" w:eastAsia="Arial" w:hAnsi="Arial"/>
                <w:sz w:val="20"/>
                <w:szCs w:val="20"/>
                <w:color w:val="auto"/>
              </w:rPr>
              <w:t>2,960</w:t>
            </w:r>
          </w:p>
        </w:tc>
        <w:tc>
          <w:tcPr>
            <w:tcW w:w="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100" w:type="dxa"/>
            <w:vAlign w:val="bottom"/>
          </w:tcPr>
          <w:p>
            <w:pPr>
              <w:jc w:val="right"/>
              <w:spacing w:after="0"/>
              <w:rPr>
                <w:sz w:val="20"/>
                <w:szCs w:val="20"/>
                <w:color w:val="auto"/>
              </w:rPr>
            </w:pPr>
            <w:r>
              <w:rPr>
                <w:rFonts w:ascii="Arial" w:cs="Arial" w:eastAsia="Arial" w:hAnsi="Arial"/>
                <w:sz w:val="20"/>
                <w:szCs w:val="20"/>
                <w:color w:val="auto"/>
              </w:rPr>
              <w:t>12,169</w:t>
            </w:r>
          </w:p>
        </w:tc>
        <w:tc>
          <w:tcPr>
            <w:tcW w:w="0" w:type="dxa"/>
            <w:vAlign w:val="bottom"/>
          </w:tcPr>
          <w:p>
            <w:pPr>
              <w:spacing w:after="0"/>
              <w:rPr>
                <w:sz w:val="1"/>
                <w:szCs w:val="1"/>
                <w:color w:val="auto"/>
              </w:rPr>
            </w:pPr>
          </w:p>
        </w:tc>
      </w:tr>
      <w:tr>
        <w:trPr>
          <w:trHeight w:val="257"/>
        </w:trPr>
        <w:tc>
          <w:tcPr>
            <w:tcW w:w="2960" w:type="dxa"/>
            <w:vAlign w:val="bottom"/>
            <w:shd w:val="clear" w:color="auto" w:fill="CCEEFF"/>
          </w:tcPr>
          <w:p>
            <w:pPr>
              <w:ind w:left="20"/>
              <w:spacing w:after="0"/>
              <w:rPr>
                <w:sz w:val="20"/>
                <w:szCs w:val="20"/>
                <w:color w:val="auto"/>
              </w:rPr>
            </w:pPr>
            <w:r>
              <w:rPr>
                <w:rFonts w:ascii="Arial" w:cs="Arial" w:eastAsia="Arial" w:hAnsi="Arial"/>
                <w:sz w:val="20"/>
                <w:szCs w:val="20"/>
                <w:color w:val="auto"/>
              </w:rPr>
              <w:t>Interest income</w:t>
            </w:r>
          </w:p>
        </w:tc>
        <w:tc>
          <w:tcPr>
            <w:tcW w:w="160" w:type="dxa"/>
            <w:vAlign w:val="bottom"/>
            <w:shd w:val="clear" w:color="auto" w:fill="CCEEFF"/>
          </w:tcPr>
          <w:p>
            <w:pPr>
              <w:spacing w:after="0"/>
              <w:rPr>
                <w:sz w:val="22"/>
                <w:szCs w:val="22"/>
                <w:color w:val="auto"/>
              </w:rPr>
            </w:pPr>
          </w:p>
        </w:tc>
        <w:tc>
          <w:tcPr>
            <w:tcW w:w="25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2,866</w:t>
            </w:r>
          </w:p>
        </w:tc>
        <w:tc>
          <w:tcPr>
            <w:tcW w:w="8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23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111</w:t>
            </w:r>
          </w:p>
        </w:tc>
        <w:tc>
          <w:tcPr>
            <w:tcW w:w="80" w:type="dxa"/>
            <w:vAlign w:val="bottom"/>
            <w:shd w:val="clear" w:color="auto" w:fill="CCEEFF"/>
          </w:tcPr>
          <w:p>
            <w:pPr>
              <w:spacing w:after="0"/>
              <w:rPr>
                <w:sz w:val="22"/>
                <w:szCs w:val="22"/>
                <w:color w:val="auto"/>
              </w:rPr>
            </w:pPr>
          </w:p>
        </w:tc>
        <w:tc>
          <w:tcPr>
            <w:tcW w:w="620" w:type="dxa"/>
            <w:vAlign w:val="bottom"/>
            <w:shd w:val="clear" w:color="auto" w:fill="CCEEFF"/>
          </w:tcPr>
          <w:p>
            <w:pPr>
              <w:spacing w:after="0"/>
              <w:rPr>
                <w:sz w:val="22"/>
                <w:szCs w:val="22"/>
                <w:color w:val="auto"/>
              </w:rPr>
            </w:pPr>
          </w:p>
        </w:tc>
        <w:tc>
          <w:tcPr>
            <w:tcW w:w="21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2,977</w:t>
            </w:r>
          </w:p>
        </w:tc>
        <w:tc>
          <w:tcPr>
            <w:tcW w:w="0" w:type="dxa"/>
            <w:vAlign w:val="bottom"/>
          </w:tcPr>
          <w:p>
            <w:pPr>
              <w:spacing w:after="0"/>
              <w:rPr>
                <w:sz w:val="1"/>
                <w:szCs w:val="1"/>
                <w:color w:val="auto"/>
              </w:rPr>
            </w:pPr>
          </w:p>
        </w:tc>
      </w:tr>
      <w:tr>
        <w:trPr>
          <w:trHeight w:val="261"/>
        </w:trPr>
        <w:tc>
          <w:tcPr>
            <w:tcW w:w="2960" w:type="dxa"/>
            <w:vAlign w:val="bottom"/>
          </w:tcPr>
          <w:p>
            <w:pPr>
              <w:ind w:left="20"/>
              <w:spacing w:after="0"/>
              <w:rPr>
                <w:sz w:val="20"/>
                <w:szCs w:val="20"/>
                <w:color w:val="auto"/>
              </w:rPr>
            </w:pPr>
            <w:r>
              <w:rPr>
                <w:rFonts w:ascii="Arial" w:cs="Arial" w:eastAsia="Arial" w:hAnsi="Arial"/>
                <w:sz w:val="20"/>
                <w:szCs w:val="20"/>
                <w:color w:val="auto"/>
              </w:rPr>
              <w:t>Interest expense</w:t>
            </w:r>
          </w:p>
        </w:tc>
        <w:tc>
          <w:tcPr>
            <w:tcW w:w="160" w:type="dxa"/>
            <w:vAlign w:val="bottom"/>
          </w:tcPr>
          <w:p>
            <w:pPr>
              <w:spacing w:after="0"/>
              <w:rPr>
                <w:sz w:val="22"/>
                <w:szCs w:val="22"/>
                <w:color w:val="auto"/>
              </w:rPr>
            </w:pPr>
          </w:p>
        </w:tc>
        <w:tc>
          <w:tcPr>
            <w:tcW w:w="2540" w:type="dxa"/>
            <w:vAlign w:val="bottom"/>
          </w:tcPr>
          <w:p>
            <w:pPr>
              <w:jc w:val="right"/>
              <w:spacing w:after="0"/>
              <w:rPr>
                <w:sz w:val="20"/>
                <w:szCs w:val="20"/>
                <w:color w:val="auto"/>
              </w:rPr>
            </w:pPr>
            <w:r>
              <w:rPr>
                <w:rFonts w:ascii="Arial" w:cs="Arial" w:eastAsia="Arial" w:hAnsi="Arial"/>
                <w:sz w:val="20"/>
                <w:szCs w:val="20"/>
                <w:color w:val="auto"/>
              </w:rPr>
              <w:t>4,362</w:t>
            </w:r>
          </w:p>
        </w:tc>
        <w:tc>
          <w:tcPr>
            <w:tcW w:w="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2300" w:type="dxa"/>
            <w:vAlign w:val="bottom"/>
          </w:tcPr>
          <w:p>
            <w:pPr>
              <w:jc w:val="right"/>
              <w:spacing w:after="0"/>
              <w:rPr>
                <w:sz w:val="20"/>
                <w:szCs w:val="20"/>
                <w:color w:val="auto"/>
              </w:rPr>
            </w:pPr>
            <w:r>
              <w:rPr>
                <w:rFonts w:ascii="Arial" w:cs="Arial" w:eastAsia="Arial" w:hAnsi="Arial"/>
                <w:sz w:val="20"/>
                <w:szCs w:val="20"/>
                <w:color w:val="auto"/>
              </w:rPr>
              <w:t>684</w:t>
            </w:r>
          </w:p>
        </w:tc>
        <w:tc>
          <w:tcPr>
            <w:tcW w:w="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100" w:type="dxa"/>
            <w:vAlign w:val="bottom"/>
          </w:tcPr>
          <w:p>
            <w:pPr>
              <w:jc w:val="right"/>
              <w:spacing w:after="0"/>
              <w:rPr>
                <w:sz w:val="20"/>
                <w:szCs w:val="20"/>
                <w:color w:val="auto"/>
              </w:rPr>
            </w:pPr>
            <w:r>
              <w:rPr>
                <w:rFonts w:ascii="Arial" w:cs="Arial" w:eastAsia="Arial" w:hAnsi="Arial"/>
                <w:sz w:val="20"/>
                <w:szCs w:val="20"/>
                <w:color w:val="auto"/>
              </w:rPr>
              <w:t>5,046</w:t>
            </w:r>
          </w:p>
        </w:tc>
        <w:tc>
          <w:tcPr>
            <w:tcW w:w="0" w:type="dxa"/>
            <w:vAlign w:val="bottom"/>
          </w:tcPr>
          <w:p>
            <w:pPr>
              <w:spacing w:after="0"/>
              <w:rPr>
                <w:sz w:val="1"/>
                <w:szCs w:val="1"/>
                <w:color w:val="auto"/>
              </w:rPr>
            </w:pPr>
          </w:p>
        </w:tc>
      </w:tr>
    </w:tbl>
    <w:p>
      <w:pPr>
        <w:spacing w:after="0" w:line="350" w:lineRule="exact"/>
        <w:rPr>
          <w:sz w:val="20"/>
          <w:szCs w:val="20"/>
          <w:color w:val="auto"/>
        </w:rPr>
      </w:pPr>
    </w:p>
    <w:tbl>
      <w:tblPr>
        <w:tblLayout w:type="fixed"/>
        <w:tblInd w:w="0" w:type="dxa"/>
        <w:tblCellMar>
          <w:top w:w="0" w:type="dxa"/>
          <w:left w:w="0" w:type="dxa"/>
          <w:bottom w:w="0" w:type="dxa"/>
          <w:right w:w="0" w:type="dxa"/>
        </w:tblCellMar>
      </w:tblPr>
      <w:tr>
        <w:trPr>
          <w:trHeight w:val="267"/>
        </w:trPr>
        <w:tc>
          <w:tcPr>
            <w:tcW w:w="2960" w:type="dxa"/>
            <w:vAlign w:val="bottom"/>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6020" w:type="dxa"/>
            <w:vAlign w:val="bottom"/>
            <w:tcBorders>
              <w:bottom w:val="single" w:sz="8" w:color="auto"/>
            </w:tcBorders>
            <w:gridSpan w:val="6"/>
          </w:tcPr>
          <w:p>
            <w:pPr>
              <w:jc w:val="center"/>
              <w:ind w:left="1841"/>
              <w:spacing w:after="0"/>
              <w:rPr>
                <w:sz w:val="20"/>
                <w:szCs w:val="20"/>
                <w:color w:val="auto"/>
              </w:rPr>
            </w:pPr>
            <w:r>
              <w:rPr>
                <w:rFonts w:ascii="Arial" w:cs="Arial" w:eastAsia="Arial" w:hAnsi="Arial"/>
                <w:sz w:val="20"/>
                <w:szCs w:val="20"/>
                <w:b w:val="1"/>
                <w:bCs w:val="1"/>
                <w:color w:val="auto"/>
                <w:w w:val="98"/>
              </w:rPr>
              <w:t>Three months ended September 30, 2024</w:t>
            </w:r>
          </w:p>
        </w:tc>
        <w:tc>
          <w:tcPr>
            <w:tcW w:w="210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29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620" w:type="dxa"/>
            <w:vAlign w:val="bottom"/>
            <w:gridSpan w:val="2"/>
          </w:tcPr>
          <w:p>
            <w:pPr>
              <w:ind w:left="20"/>
              <w:spacing w:after="0"/>
              <w:rPr>
                <w:sz w:val="20"/>
                <w:szCs w:val="20"/>
                <w:color w:val="auto"/>
              </w:rPr>
            </w:pPr>
            <w:r>
              <w:rPr>
                <w:rFonts w:ascii="Arial" w:cs="Arial" w:eastAsia="Arial" w:hAnsi="Arial"/>
                <w:sz w:val="20"/>
                <w:szCs w:val="20"/>
                <w:b w:val="1"/>
                <w:bCs w:val="1"/>
                <w:color w:val="auto"/>
              </w:rPr>
              <w:t>Array Legacy Operations</w:t>
            </w:r>
          </w:p>
        </w:tc>
        <w:tc>
          <w:tcPr>
            <w:tcW w:w="400" w:type="dxa"/>
            <w:vAlign w:val="bottom"/>
          </w:tcPr>
          <w:p>
            <w:pPr>
              <w:spacing w:after="0"/>
              <w:rPr>
                <w:sz w:val="21"/>
                <w:szCs w:val="21"/>
                <w:color w:val="auto"/>
              </w:rPr>
            </w:pPr>
          </w:p>
        </w:tc>
        <w:tc>
          <w:tcPr>
            <w:tcW w:w="2380" w:type="dxa"/>
            <w:vAlign w:val="bottom"/>
            <w:gridSpan w:val="2"/>
          </w:tcPr>
          <w:p>
            <w:pPr>
              <w:jc w:val="center"/>
              <w:ind w:right="460"/>
              <w:spacing w:after="0"/>
              <w:rPr>
                <w:sz w:val="20"/>
                <w:szCs w:val="20"/>
                <w:color w:val="auto"/>
              </w:rPr>
            </w:pPr>
            <w:r>
              <w:rPr>
                <w:rFonts w:ascii="Arial" w:cs="Arial" w:eastAsia="Arial" w:hAnsi="Arial"/>
                <w:sz w:val="20"/>
                <w:szCs w:val="20"/>
                <w:b w:val="1"/>
                <w:bCs w:val="1"/>
                <w:color w:val="auto"/>
                <w:w w:val="98"/>
              </w:rPr>
              <w:t>STI Operations</w:t>
            </w:r>
          </w:p>
        </w:tc>
        <w:tc>
          <w:tcPr>
            <w:tcW w:w="620" w:type="dxa"/>
            <w:vAlign w:val="bottom"/>
          </w:tcPr>
          <w:p>
            <w:pPr>
              <w:spacing w:after="0"/>
              <w:rPr>
                <w:sz w:val="21"/>
                <w:szCs w:val="21"/>
                <w:color w:val="auto"/>
              </w:rPr>
            </w:pPr>
          </w:p>
        </w:tc>
        <w:tc>
          <w:tcPr>
            <w:tcW w:w="2100" w:type="dxa"/>
            <w:vAlign w:val="bottom"/>
          </w:tcPr>
          <w:p>
            <w:pPr>
              <w:jc w:val="right"/>
              <w:ind w:right="621"/>
              <w:spacing w:after="0"/>
              <w:rPr>
                <w:sz w:val="20"/>
                <w:szCs w:val="20"/>
                <w:color w:val="auto"/>
              </w:rPr>
            </w:pPr>
            <w:r>
              <w:rPr>
                <w:rFonts w:ascii="Arial" w:cs="Arial" w:eastAsia="Arial" w:hAnsi="Arial"/>
                <w:sz w:val="20"/>
                <w:szCs w:val="20"/>
                <w:b w:val="1"/>
                <w:bCs w:val="1"/>
                <w:color w:val="auto"/>
              </w:rPr>
              <w:t>Consolidated</w:t>
            </w:r>
          </w:p>
        </w:tc>
        <w:tc>
          <w:tcPr>
            <w:tcW w:w="0" w:type="dxa"/>
            <w:vAlign w:val="bottom"/>
          </w:tcPr>
          <w:p>
            <w:pPr>
              <w:spacing w:after="0"/>
              <w:rPr>
                <w:sz w:val="1"/>
                <w:szCs w:val="1"/>
                <w:color w:val="auto"/>
              </w:rPr>
            </w:pPr>
          </w:p>
        </w:tc>
      </w:tr>
      <w:tr>
        <w:trPr>
          <w:trHeight w:val="250"/>
        </w:trPr>
        <w:tc>
          <w:tcPr>
            <w:tcW w:w="2960" w:type="dxa"/>
            <w:vAlign w:val="bottom"/>
            <w:tcBorders>
              <w:top w:val="single" w:sz="8" w:color="CCEEFF"/>
            </w:tcBorders>
            <w:shd w:val="clear" w:color="auto" w:fill="CCEEFF"/>
          </w:tcPr>
          <w:p>
            <w:pPr>
              <w:spacing w:after="0"/>
              <w:rPr>
                <w:sz w:val="21"/>
                <w:szCs w:val="21"/>
                <w:color w:val="auto"/>
              </w:rPr>
            </w:pPr>
          </w:p>
        </w:tc>
        <w:tc>
          <w:tcPr>
            <w:tcW w:w="160" w:type="dxa"/>
            <w:vAlign w:val="bottom"/>
            <w:tcBorders>
              <w:top w:val="single" w:sz="8" w:color="auto"/>
            </w:tcBorders>
            <w:shd w:val="clear" w:color="auto" w:fill="CCEEFF"/>
          </w:tcPr>
          <w:p>
            <w:pPr>
              <w:spacing w:after="0"/>
              <w:rPr>
                <w:sz w:val="21"/>
                <w:szCs w:val="21"/>
                <w:color w:val="auto"/>
              </w:rPr>
            </w:pPr>
          </w:p>
        </w:tc>
        <w:tc>
          <w:tcPr>
            <w:tcW w:w="2540" w:type="dxa"/>
            <w:vAlign w:val="bottom"/>
            <w:tcBorders>
              <w:top w:val="single" w:sz="8" w:color="auto"/>
            </w:tcBorders>
            <w:shd w:val="clear" w:color="auto" w:fill="CCEEFF"/>
          </w:tcPr>
          <w:p>
            <w:pPr>
              <w:spacing w:after="0"/>
              <w:rPr>
                <w:sz w:val="21"/>
                <w:szCs w:val="21"/>
                <w:color w:val="auto"/>
              </w:rPr>
            </w:pPr>
          </w:p>
        </w:tc>
        <w:tc>
          <w:tcPr>
            <w:tcW w:w="80" w:type="dxa"/>
            <w:vAlign w:val="bottom"/>
            <w:tcBorders>
              <w:top w:val="single" w:sz="8" w:color="CCEEFF"/>
            </w:tcBorders>
            <w:shd w:val="clear" w:color="auto" w:fill="CCEEFF"/>
          </w:tcPr>
          <w:p>
            <w:pPr>
              <w:spacing w:after="0"/>
              <w:rPr>
                <w:sz w:val="21"/>
                <w:szCs w:val="21"/>
                <w:color w:val="auto"/>
              </w:rPr>
            </w:pPr>
          </w:p>
        </w:tc>
        <w:tc>
          <w:tcPr>
            <w:tcW w:w="400" w:type="dxa"/>
            <w:vAlign w:val="bottom"/>
            <w:tcBorders>
              <w:top w:val="single" w:sz="8" w:color="auto"/>
            </w:tcBorders>
            <w:shd w:val="clear" w:color="auto" w:fill="CCEEFF"/>
          </w:tcPr>
          <w:p>
            <w:pPr>
              <w:spacing w:after="0"/>
              <w:rPr>
                <w:sz w:val="21"/>
                <w:szCs w:val="21"/>
                <w:color w:val="auto"/>
              </w:rPr>
            </w:pPr>
          </w:p>
        </w:tc>
        <w:tc>
          <w:tcPr>
            <w:tcW w:w="2300" w:type="dxa"/>
            <w:vAlign w:val="bottom"/>
            <w:tcBorders>
              <w:top w:val="single" w:sz="8" w:color="auto"/>
            </w:tcBorders>
            <w:shd w:val="clear" w:color="auto" w:fill="CCEEFF"/>
          </w:tcPr>
          <w:p>
            <w:pPr>
              <w:spacing w:after="0"/>
              <w:rPr>
                <w:sz w:val="21"/>
                <w:szCs w:val="21"/>
                <w:color w:val="auto"/>
              </w:rPr>
            </w:pPr>
          </w:p>
        </w:tc>
        <w:tc>
          <w:tcPr>
            <w:tcW w:w="80" w:type="dxa"/>
            <w:vAlign w:val="bottom"/>
            <w:tcBorders>
              <w:top w:val="single" w:sz="8" w:color="CCEEFF"/>
            </w:tcBorders>
            <w:shd w:val="clear" w:color="auto" w:fill="CCEEFF"/>
          </w:tcPr>
          <w:p>
            <w:pPr>
              <w:spacing w:after="0"/>
              <w:rPr>
                <w:sz w:val="21"/>
                <w:szCs w:val="21"/>
                <w:color w:val="auto"/>
              </w:rPr>
            </w:pPr>
          </w:p>
        </w:tc>
        <w:tc>
          <w:tcPr>
            <w:tcW w:w="620" w:type="dxa"/>
            <w:vAlign w:val="bottom"/>
            <w:tcBorders>
              <w:top w:val="single" w:sz="8" w:color="auto"/>
            </w:tcBorders>
            <w:shd w:val="clear" w:color="auto" w:fill="CCEEFF"/>
          </w:tcPr>
          <w:p>
            <w:pPr>
              <w:spacing w:after="0"/>
              <w:rPr>
                <w:sz w:val="21"/>
                <w:szCs w:val="21"/>
                <w:color w:val="auto"/>
              </w:rPr>
            </w:pPr>
          </w:p>
        </w:tc>
        <w:tc>
          <w:tcPr>
            <w:tcW w:w="2100" w:type="dxa"/>
            <w:vAlign w:val="bottom"/>
            <w:tcBorders>
              <w:top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2960" w:type="dxa"/>
            <w:vAlign w:val="bottom"/>
            <w:tcBorders>
              <w:bottom w:val="single" w:sz="8" w:color="CCEEFF"/>
            </w:tcBorders>
          </w:tcPr>
          <w:p>
            <w:pPr>
              <w:ind w:left="20"/>
              <w:spacing w:after="0"/>
              <w:rPr>
                <w:sz w:val="20"/>
                <w:szCs w:val="20"/>
                <w:color w:val="auto"/>
              </w:rPr>
            </w:pPr>
            <w:r>
              <w:rPr>
                <w:rFonts w:ascii="Arial" w:cs="Arial" w:eastAsia="Arial" w:hAnsi="Arial"/>
                <w:sz w:val="20"/>
                <w:szCs w:val="20"/>
                <w:b w:val="1"/>
                <w:bCs w:val="1"/>
                <w:color w:val="auto"/>
              </w:rPr>
              <w:t>Segment revenue</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25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160,266</w:t>
            </w:r>
          </w:p>
        </w:tc>
        <w:tc>
          <w:tcPr>
            <w:tcW w:w="8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jc w:val="right"/>
              <w:ind w:right="161"/>
              <w:spacing w:after="0"/>
              <w:rPr>
                <w:sz w:val="20"/>
                <w:szCs w:val="20"/>
                <w:color w:val="auto"/>
              </w:rPr>
            </w:pPr>
            <w:r>
              <w:rPr>
                <w:rFonts w:ascii="Arial" w:cs="Arial" w:eastAsia="Arial" w:hAnsi="Arial"/>
                <w:sz w:val="20"/>
                <w:szCs w:val="20"/>
                <w:color w:val="auto"/>
              </w:rPr>
              <w:t>$</w:t>
            </w:r>
          </w:p>
        </w:tc>
        <w:tc>
          <w:tcPr>
            <w:tcW w:w="23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71,140</w:t>
            </w:r>
          </w:p>
        </w:tc>
        <w:tc>
          <w:tcPr>
            <w:tcW w:w="80" w:type="dxa"/>
            <w:vAlign w:val="bottom"/>
            <w:tcBorders>
              <w:bottom w:val="single" w:sz="8" w:color="CCEEFF"/>
            </w:tcBorders>
          </w:tcPr>
          <w:p>
            <w:pPr>
              <w:spacing w:after="0"/>
              <w:rPr>
                <w:sz w:val="22"/>
                <w:szCs w:val="22"/>
                <w:color w:val="auto"/>
              </w:rPr>
            </w:pPr>
          </w:p>
        </w:tc>
        <w:tc>
          <w:tcPr>
            <w:tcW w:w="620" w:type="dxa"/>
            <w:vAlign w:val="bottom"/>
            <w:tcBorders>
              <w:bottom w:val="single" w:sz="8" w:color="auto"/>
            </w:tcBorders>
          </w:tcPr>
          <w:p>
            <w:pPr>
              <w:jc w:val="right"/>
              <w:ind w:right="381"/>
              <w:spacing w:after="0"/>
              <w:rPr>
                <w:sz w:val="20"/>
                <w:szCs w:val="20"/>
                <w:color w:val="auto"/>
              </w:rPr>
            </w:pPr>
            <w:r>
              <w:rPr>
                <w:rFonts w:ascii="Arial" w:cs="Arial" w:eastAsia="Arial" w:hAnsi="Arial"/>
                <w:sz w:val="20"/>
                <w:szCs w:val="20"/>
                <w:color w:val="auto"/>
              </w:rPr>
              <w:t>$</w:t>
            </w:r>
          </w:p>
        </w:tc>
        <w:tc>
          <w:tcPr>
            <w:tcW w:w="21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231,406</w:t>
            </w:r>
          </w:p>
        </w:tc>
        <w:tc>
          <w:tcPr>
            <w:tcW w:w="0" w:type="dxa"/>
            <w:vAlign w:val="bottom"/>
          </w:tcPr>
          <w:p>
            <w:pPr>
              <w:spacing w:after="0"/>
              <w:rPr>
                <w:sz w:val="1"/>
                <w:szCs w:val="1"/>
                <w:color w:val="auto"/>
              </w:rPr>
            </w:pPr>
          </w:p>
        </w:tc>
      </w:tr>
      <w:tr>
        <w:trPr>
          <w:trHeight w:val="237"/>
        </w:trPr>
        <w:tc>
          <w:tcPr>
            <w:tcW w:w="2960" w:type="dxa"/>
            <w:vAlign w:val="bottom"/>
            <w:shd w:val="clear" w:color="auto" w:fill="CCEEFF"/>
          </w:tcPr>
          <w:p>
            <w:pPr>
              <w:ind w:left="20"/>
              <w:spacing w:after="0"/>
              <w:rPr>
                <w:sz w:val="20"/>
                <w:szCs w:val="20"/>
                <w:color w:val="auto"/>
              </w:rPr>
            </w:pPr>
            <w:r>
              <w:rPr>
                <w:rFonts w:ascii="Arial" w:cs="Arial" w:eastAsia="Arial" w:hAnsi="Arial"/>
                <w:sz w:val="20"/>
                <w:szCs w:val="20"/>
                <w:i w:val="1"/>
                <w:iCs w:val="1"/>
                <w:color w:val="auto"/>
              </w:rPr>
              <w:t>Less:</w:t>
            </w:r>
          </w:p>
        </w:tc>
        <w:tc>
          <w:tcPr>
            <w:tcW w:w="160" w:type="dxa"/>
            <w:vAlign w:val="bottom"/>
            <w:shd w:val="clear" w:color="auto" w:fill="CCEEFF"/>
          </w:tcPr>
          <w:p>
            <w:pPr>
              <w:spacing w:after="0"/>
              <w:rPr>
                <w:sz w:val="20"/>
                <w:szCs w:val="20"/>
                <w:color w:val="auto"/>
              </w:rPr>
            </w:pPr>
          </w:p>
        </w:tc>
        <w:tc>
          <w:tcPr>
            <w:tcW w:w="25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23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2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2960" w:type="dxa"/>
            <w:vAlign w:val="bottom"/>
          </w:tcPr>
          <w:p>
            <w:pPr>
              <w:ind w:left="20"/>
              <w:spacing w:after="0"/>
              <w:rPr>
                <w:sz w:val="20"/>
                <w:szCs w:val="20"/>
                <w:color w:val="auto"/>
              </w:rPr>
            </w:pPr>
            <w:r>
              <w:rPr>
                <w:rFonts w:ascii="Arial" w:cs="Arial" w:eastAsia="Arial" w:hAnsi="Arial"/>
                <w:sz w:val="20"/>
                <w:szCs w:val="20"/>
                <w:color w:val="auto"/>
              </w:rPr>
              <w:t>Product cost (1)</w:t>
            </w:r>
          </w:p>
        </w:tc>
        <w:tc>
          <w:tcPr>
            <w:tcW w:w="160" w:type="dxa"/>
            <w:vAlign w:val="bottom"/>
          </w:tcPr>
          <w:p>
            <w:pPr>
              <w:spacing w:after="0"/>
              <w:rPr>
                <w:sz w:val="22"/>
                <w:szCs w:val="22"/>
                <w:color w:val="auto"/>
              </w:rPr>
            </w:pPr>
          </w:p>
        </w:tc>
        <w:tc>
          <w:tcPr>
            <w:tcW w:w="2540" w:type="dxa"/>
            <w:vAlign w:val="bottom"/>
          </w:tcPr>
          <w:p>
            <w:pPr>
              <w:jc w:val="right"/>
              <w:spacing w:after="0"/>
              <w:rPr>
                <w:sz w:val="20"/>
                <w:szCs w:val="20"/>
                <w:color w:val="auto"/>
              </w:rPr>
            </w:pPr>
            <w:r>
              <w:rPr>
                <w:rFonts w:ascii="Arial" w:cs="Arial" w:eastAsia="Arial" w:hAnsi="Arial"/>
                <w:sz w:val="20"/>
                <w:szCs w:val="20"/>
                <w:color w:val="auto"/>
              </w:rPr>
              <w:t>84,474</w:t>
            </w:r>
          </w:p>
        </w:tc>
        <w:tc>
          <w:tcPr>
            <w:tcW w:w="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2300" w:type="dxa"/>
            <w:vAlign w:val="bottom"/>
          </w:tcPr>
          <w:p>
            <w:pPr>
              <w:jc w:val="right"/>
              <w:spacing w:after="0"/>
              <w:rPr>
                <w:sz w:val="20"/>
                <w:szCs w:val="20"/>
                <w:color w:val="auto"/>
              </w:rPr>
            </w:pPr>
            <w:r>
              <w:rPr>
                <w:rFonts w:ascii="Arial" w:cs="Arial" w:eastAsia="Arial" w:hAnsi="Arial"/>
                <w:sz w:val="20"/>
                <w:szCs w:val="20"/>
                <w:color w:val="auto"/>
              </w:rPr>
              <w:t>56,054</w:t>
            </w:r>
          </w:p>
        </w:tc>
        <w:tc>
          <w:tcPr>
            <w:tcW w:w="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100" w:type="dxa"/>
            <w:vAlign w:val="bottom"/>
          </w:tcPr>
          <w:p>
            <w:pPr>
              <w:jc w:val="right"/>
              <w:spacing w:after="0"/>
              <w:rPr>
                <w:sz w:val="20"/>
                <w:szCs w:val="20"/>
                <w:color w:val="auto"/>
              </w:rPr>
            </w:pPr>
            <w:r>
              <w:rPr>
                <w:rFonts w:ascii="Arial" w:cs="Arial" w:eastAsia="Arial" w:hAnsi="Arial"/>
                <w:sz w:val="20"/>
                <w:szCs w:val="20"/>
                <w:color w:val="auto"/>
              </w:rPr>
              <w:t>140,528</w:t>
            </w:r>
          </w:p>
        </w:tc>
        <w:tc>
          <w:tcPr>
            <w:tcW w:w="0" w:type="dxa"/>
            <w:vAlign w:val="bottom"/>
          </w:tcPr>
          <w:p>
            <w:pPr>
              <w:spacing w:after="0"/>
              <w:rPr>
                <w:sz w:val="1"/>
                <w:szCs w:val="1"/>
                <w:color w:val="auto"/>
              </w:rPr>
            </w:pPr>
          </w:p>
        </w:tc>
      </w:tr>
      <w:tr>
        <w:trPr>
          <w:trHeight w:val="194"/>
        </w:trPr>
        <w:tc>
          <w:tcPr>
            <w:tcW w:w="2960" w:type="dxa"/>
            <w:vAlign w:val="bottom"/>
            <w:shd w:val="clear" w:color="auto" w:fill="CCEEFF"/>
          </w:tcPr>
          <w:p>
            <w:pPr>
              <w:ind w:left="20"/>
              <w:spacing w:after="0" w:line="194" w:lineRule="exact"/>
              <w:rPr>
                <w:sz w:val="20"/>
                <w:szCs w:val="20"/>
                <w:color w:val="auto"/>
              </w:rPr>
            </w:pPr>
            <w:r>
              <w:rPr>
                <w:rFonts w:ascii="Arial" w:cs="Arial" w:eastAsia="Arial" w:hAnsi="Arial"/>
                <w:sz w:val="20"/>
                <w:szCs w:val="20"/>
                <w:color w:val="auto"/>
              </w:rPr>
              <w:t>Amortization of developed</w:t>
            </w:r>
          </w:p>
        </w:tc>
        <w:tc>
          <w:tcPr>
            <w:tcW w:w="160" w:type="dxa"/>
            <w:vAlign w:val="bottom"/>
            <w:shd w:val="clear" w:color="auto" w:fill="CCEEFF"/>
          </w:tcPr>
          <w:p>
            <w:pPr>
              <w:spacing w:after="0"/>
              <w:rPr>
                <w:sz w:val="16"/>
                <w:szCs w:val="16"/>
                <w:color w:val="auto"/>
              </w:rPr>
            </w:pPr>
          </w:p>
        </w:tc>
        <w:tc>
          <w:tcPr>
            <w:tcW w:w="2540" w:type="dxa"/>
            <w:vAlign w:val="bottom"/>
            <w:vMerge w:val="restart"/>
            <w:shd w:val="clear" w:color="auto" w:fill="CCEEFF"/>
          </w:tcPr>
          <w:p>
            <w:pPr>
              <w:jc w:val="right"/>
              <w:spacing w:after="0"/>
              <w:rPr>
                <w:sz w:val="20"/>
                <w:szCs w:val="20"/>
                <w:color w:val="auto"/>
              </w:rPr>
            </w:pPr>
            <w:r>
              <w:rPr>
                <w:rFonts w:ascii="Arial" w:cs="Arial" w:eastAsia="Arial" w:hAnsi="Arial"/>
                <w:sz w:val="20"/>
                <w:szCs w:val="20"/>
                <w:color w:val="auto"/>
              </w:rPr>
              <w:t>3,639</w:t>
            </w:r>
          </w:p>
        </w:tc>
        <w:tc>
          <w:tcPr>
            <w:tcW w:w="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23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20"/>
                <w:szCs w:val="20"/>
                <w:color w:val="auto"/>
              </w:rPr>
              <w:t>—</w:t>
            </w:r>
          </w:p>
        </w:tc>
        <w:tc>
          <w:tcPr>
            <w:tcW w:w="620" w:type="dxa"/>
            <w:vAlign w:val="bottom"/>
            <w:shd w:val="clear" w:color="auto" w:fill="CCEEFF"/>
          </w:tcPr>
          <w:p>
            <w:pPr>
              <w:spacing w:after="0"/>
              <w:rPr>
                <w:sz w:val="16"/>
                <w:szCs w:val="16"/>
                <w:color w:val="auto"/>
              </w:rPr>
            </w:pPr>
          </w:p>
        </w:tc>
        <w:tc>
          <w:tcPr>
            <w:tcW w:w="2100" w:type="dxa"/>
            <w:vAlign w:val="bottom"/>
            <w:vMerge w:val="restart"/>
            <w:shd w:val="clear" w:color="auto" w:fill="CCEEFF"/>
          </w:tcPr>
          <w:p>
            <w:pPr>
              <w:jc w:val="right"/>
              <w:spacing w:after="0"/>
              <w:rPr>
                <w:sz w:val="20"/>
                <w:szCs w:val="20"/>
                <w:color w:val="auto"/>
              </w:rPr>
            </w:pPr>
            <w:r>
              <w:rPr>
                <w:rFonts w:ascii="Arial" w:cs="Arial" w:eastAsia="Arial" w:hAnsi="Arial"/>
                <w:sz w:val="20"/>
                <w:szCs w:val="20"/>
                <w:color w:val="auto"/>
              </w:rPr>
              <w:t>3,639</w:t>
            </w:r>
          </w:p>
        </w:tc>
        <w:tc>
          <w:tcPr>
            <w:tcW w:w="0" w:type="dxa"/>
            <w:vAlign w:val="bottom"/>
          </w:tcPr>
          <w:p>
            <w:pPr>
              <w:spacing w:after="0"/>
              <w:rPr>
                <w:sz w:val="1"/>
                <w:szCs w:val="1"/>
                <w:color w:val="auto"/>
              </w:rPr>
            </w:pPr>
          </w:p>
        </w:tc>
      </w:tr>
      <w:tr>
        <w:trPr>
          <w:trHeight w:val="251"/>
        </w:trPr>
        <w:tc>
          <w:tcPr>
            <w:tcW w:w="2960" w:type="dxa"/>
            <w:vAlign w:val="bottom"/>
            <w:shd w:val="clear" w:color="auto" w:fill="CCEEFF"/>
          </w:tcPr>
          <w:p>
            <w:pPr>
              <w:ind w:left="20"/>
              <w:spacing w:after="0"/>
              <w:rPr>
                <w:sz w:val="20"/>
                <w:szCs w:val="20"/>
                <w:color w:val="auto"/>
              </w:rPr>
            </w:pPr>
            <w:r>
              <w:rPr>
                <w:rFonts w:ascii="Arial" w:cs="Arial" w:eastAsia="Arial" w:hAnsi="Arial"/>
                <w:sz w:val="20"/>
                <w:szCs w:val="20"/>
                <w:color w:val="auto"/>
              </w:rPr>
              <w:t>technology and backlog</w:t>
            </w:r>
          </w:p>
        </w:tc>
        <w:tc>
          <w:tcPr>
            <w:tcW w:w="160" w:type="dxa"/>
            <w:vAlign w:val="bottom"/>
            <w:shd w:val="clear" w:color="auto" w:fill="CCEEFF"/>
          </w:tcPr>
          <w:p>
            <w:pPr>
              <w:spacing w:after="0"/>
              <w:rPr>
                <w:sz w:val="21"/>
                <w:szCs w:val="21"/>
                <w:color w:val="auto"/>
              </w:rPr>
            </w:pPr>
          </w:p>
        </w:tc>
        <w:tc>
          <w:tcPr>
            <w:tcW w:w="2540" w:type="dxa"/>
            <w:vAlign w:val="bottom"/>
            <w:vMerge w:val="continue"/>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2380" w:type="dxa"/>
            <w:vAlign w:val="bottom"/>
            <w:gridSpan w:val="2"/>
            <w:vMerge w:val="continue"/>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210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2960" w:type="dxa"/>
            <w:vAlign w:val="bottom"/>
          </w:tcPr>
          <w:p>
            <w:pPr>
              <w:ind w:left="20"/>
              <w:spacing w:after="0"/>
              <w:rPr>
                <w:sz w:val="20"/>
                <w:szCs w:val="20"/>
                <w:color w:val="auto"/>
              </w:rPr>
            </w:pPr>
            <w:r>
              <w:rPr>
                <w:rFonts w:ascii="Arial" w:cs="Arial" w:eastAsia="Arial" w:hAnsi="Arial"/>
                <w:sz w:val="20"/>
                <w:szCs w:val="20"/>
                <w:color w:val="auto"/>
              </w:rPr>
              <w:t>Depreciation</w:t>
            </w:r>
          </w:p>
        </w:tc>
        <w:tc>
          <w:tcPr>
            <w:tcW w:w="160" w:type="dxa"/>
            <w:vAlign w:val="bottom"/>
          </w:tcPr>
          <w:p>
            <w:pPr>
              <w:spacing w:after="0"/>
              <w:rPr>
                <w:sz w:val="22"/>
                <w:szCs w:val="22"/>
                <w:color w:val="auto"/>
              </w:rPr>
            </w:pPr>
          </w:p>
        </w:tc>
        <w:tc>
          <w:tcPr>
            <w:tcW w:w="2540" w:type="dxa"/>
            <w:vAlign w:val="bottom"/>
          </w:tcPr>
          <w:p>
            <w:pPr>
              <w:jc w:val="right"/>
              <w:spacing w:after="0"/>
              <w:rPr>
                <w:sz w:val="20"/>
                <w:szCs w:val="20"/>
                <w:color w:val="auto"/>
              </w:rPr>
            </w:pPr>
            <w:r>
              <w:rPr>
                <w:rFonts w:ascii="Arial" w:cs="Arial" w:eastAsia="Arial" w:hAnsi="Arial"/>
                <w:sz w:val="20"/>
                <w:szCs w:val="20"/>
                <w:color w:val="auto"/>
              </w:rPr>
              <w:t>602</w:t>
            </w:r>
          </w:p>
        </w:tc>
        <w:tc>
          <w:tcPr>
            <w:tcW w:w="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2380" w:type="dxa"/>
            <w:vAlign w:val="bottom"/>
            <w:gridSpan w:val="2"/>
          </w:tcPr>
          <w:p>
            <w:pPr>
              <w:jc w:val="right"/>
              <w:ind w:right="160"/>
              <w:spacing w:after="0"/>
              <w:rPr>
                <w:sz w:val="20"/>
                <w:szCs w:val="20"/>
                <w:color w:val="auto"/>
              </w:rPr>
            </w:pPr>
            <w:r>
              <w:rPr>
                <w:rFonts w:ascii="Arial" w:cs="Arial" w:eastAsia="Arial" w:hAnsi="Arial"/>
                <w:sz w:val="20"/>
                <w:szCs w:val="20"/>
                <w:color w:val="auto"/>
              </w:rPr>
              <w:t>—</w:t>
            </w:r>
          </w:p>
        </w:tc>
        <w:tc>
          <w:tcPr>
            <w:tcW w:w="620" w:type="dxa"/>
            <w:vAlign w:val="bottom"/>
          </w:tcPr>
          <w:p>
            <w:pPr>
              <w:spacing w:after="0"/>
              <w:rPr>
                <w:sz w:val="22"/>
                <w:szCs w:val="22"/>
                <w:color w:val="auto"/>
              </w:rPr>
            </w:pPr>
          </w:p>
        </w:tc>
        <w:tc>
          <w:tcPr>
            <w:tcW w:w="2100" w:type="dxa"/>
            <w:vAlign w:val="bottom"/>
          </w:tcPr>
          <w:p>
            <w:pPr>
              <w:jc w:val="right"/>
              <w:spacing w:after="0"/>
              <w:rPr>
                <w:sz w:val="20"/>
                <w:szCs w:val="20"/>
                <w:color w:val="auto"/>
              </w:rPr>
            </w:pPr>
            <w:r>
              <w:rPr>
                <w:rFonts w:ascii="Arial" w:cs="Arial" w:eastAsia="Arial" w:hAnsi="Arial"/>
                <w:sz w:val="20"/>
                <w:szCs w:val="20"/>
                <w:color w:val="auto"/>
              </w:rPr>
              <w:t>602</w:t>
            </w:r>
          </w:p>
        </w:tc>
        <w:tc>
          <w:tcPr>
            <w:tcW w:w="0" w:type="dxa"/>
            <w:vAlign w:val="bottom"/>
          </w:tcPr>
          <w:p>
            <w:pPr>
              <w:spacing w:after="0"/>
              <w:rPr>
                <w:sz w:val="1"/>
                <w:szCs w:val="1"/>
                <w:color w:val="auto"/>
              </w:rPr>
            </w:pPr>
          </w:p>
        </w:tc>
      </w:tr>
      <w:tr>
        <w:trPr>
          <w:trHeight w:val="257"/>
        </w:trPr>
        <w:tc>
          <w:tcPr>
            <w:tcW w:w="2960" w:type="dxa"/>
            <w:vAlign w:val="bottom"/>
            <w:shd w:val="clear" w:color="auto" w:fill="CCEEFF"/>
          </w:tcPr>
          <w:p>
            <w:pPr>
              <w:ind w:left="20"/>
              <w:spacing w:after="0"/>
              <w:rPr>
                <w:sz w:val="20"/>
                <w:szCs w:val="20"/>
                <w:color w:val="auto"/>
              </w:rPr>
            </w:pPr>
            <w:r>
              <w:rPr>
                <w:rFonts w:ascii="Arial" w:cs="Arial" w:eastAsia="Arial" w:hAnsi="Arial"/>
                <w:sz w:val="20"/>
                <w:szCs w:val="20"/>
                <w:color w:val="auto"/>
              </w:rPr>
              <w:t>Other costs (2)</w:t>
            </w:r>
          </w:p>
        </w:tc>
        <w:tc>
          <w:tcPr>
            <w:tcW w:w="160" w:type="dxa"/>
            <w:vAlign w:val="bottom"/>
            <w:tcBorders>
              <w:bottom w:val="single" w:sz="8" w:color="auto"/>
            </w:tcBorders>
            <w:shd w:val="clear" w:color="auto" w:fill="CCEEFF"/>
          </w:tcPr>
          <w:p>
            <w:pPr>
              <w:spacing w:after="0"/>
              <w:rPr>
                <w:sz w:val="22"/>
                <w:szCs w:val="22"/>
                <w:color w:val="auto"/>
              </w:rPr>
            </w:pPr>
          </w:p>
        </w:tc>
        <w:tc>
          <w:tcPr>
            <w:tcW w:w="2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5,825</w:t>
            </w:r>
          </w:p>
        </w:tc>
        <w:tc>
          <w:tcPr>
            <w:tcW w:w="80" w:type="dxa"/>
            <w:vAlign w:val="bottom"/>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spacing w:after="0"/>
              <w:rPr>
                <w:sz w:val="22"/>
                <w:szCs w:val="22"/>
                <w:color w:val="auto"/>
              </w:rPr>
            </w:pPr>
          </w:p>
        </w:tc>
        <w:tc>
          <w:tcPr>
            <w:tcW w:w="2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2,497</w:t>
            </w:r>
          </w:p>
        </w:tc>
        <w:tc>
          <w:tcPr>
            <w:tcW w:w="80" w:type="dxa"/>
            <w:vAlign w:val="bottom"/>
            <w:shd w:val="clear" w:color="auto" w:fill="CCEEFF"/>
          </w:tcPr>
          <w:p>
            <w:pPr>
              <w:spacing w:after="0"/>
              <w:rPr>
                <w:sz w:val="22"/>
                <w:szCs w:val="22"/>
                <w:color w:val="auto"/>
              </w:rPr>
            </w:pPr>
          </w:p>
        </w:tc>
        <w:tc>
          <w:tcPr>
            <w:tcW w:w="620" w:type="dxa"/>
            <w:vAlign w:val="bottom"/>
            <w:tcBorders>
              <w:bottom w:val="single" w:sz="8" w:color="auto"/>
            </w:tcBorders>
            <w:shd w:val="clear" w:color="auto" w:fill="CCEEFF"/>
          </w:tcPr>
          <w:p>
            <w:pPr>
              <w:spacing w:after="0"/>
              <w:rPr>
                <w:sz w:val="22"/>
                <w:szCs w:val="22"/>
                <w:color w:val="auto"/>
              </w:rPr>
            </w:pPr>
          </w:p>
        </w:tc>
        <w:tc>
          <w:tcPr>
            <w:tcW w:w="2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8,322</w:t>
            </w:r>
          </w:p>
        </w:tc>
        <w:tc>
          <w:tcPr>
            <w:tcW w:w="0" w:type="dxa"/>
            <w:vAlign w:val="bottom"/>
          </w:tcPr>
          <w:p>
            <w:pPr>
              <w:spacing w:after="0"/>
              <w:rPr>
                <w:sz w:val="1"/>
                <w:szCs w:val="1"/>
                <w:color w:val="auto"/>
              </w:rPr>
            </w:pPr>
          </w:p>
        </w:tc>
      </w:tr>
      <w:tr>
        <w:trPr>
          <w:trHeight w:val="250"/>
        </w:trPr>
        <w:tc>
          <w:tcPr>
            <w:tcW w:w="2960" w:type="dxa"/>
            <w:vAlign w:val="bottom"/>
          </w:tcPr>
          <w:p>
            <w:pPr>
              <w:ind w:left="20"/>
              <w:spacing w:after="0"/>
              <w:rPr>
                <w:sz w:val="20"/>
                <w:szCs w:val="20"/>
                <w:color w:val="auto"/>
              </w:rPr>
            </w:pPr>
            <w:r>
              <w:rPr>
                <w:rFonts w:ascii="Arial" w:cs="Arial" w:eastAsia="Arial" w:hAnsi="Arial"/>
                <w:sz w:val="20"/>
                <w:szCs w:val="20"/>
                <w:b w:val="1"/>
                <w:bCs w:val="1"/>
                <w:color w:val="auto"/>
              </w:rPr>
              <w:t>Gross profit</w:t>
            </w:r>
          </w:p>
        </w:tc>
        <w:tc>
          <w:tcPr>
            <w:tcW w:w="160" w:type="dxa"/>
            <w:vAlign w:val="bottom"/>
          </w:tcPr>
          <w:p>
            <w:pPr>
              <w:spacing w:after="0"/>
              <w:rPr>
                <w:sz w:val="21"/>
                <w:szCs w:val="21"/>
                <w:color w:val="auto"/>
              </w:rPr>
            </w:pPr>
          </w:p>
        </w:tc>
        <w:tc>
          <w:tcPr>
            <w:tcW w:w="2540" w:type="dxa"/>
            <w:vAlign w:val="bottom"/>
          </w:tcPr>
          <w:p>
            <w:pPr>
              <w:jc w:val="right"/>
              <w:spacing w:after="0"/>
              <w:rPr>
                <w:sz w:val="20"/>
                <w:szCs w:val="20"/>
                <w:color w:val="auto"/>
              </w:rPr>
            </w:pPr>
            <w:r>
              <w:rPr>
                <w:rFonts w:ascii="Arial" w:cs="Arial" w:eastAsia="Arial" w:hAnsi="Arial"/>
                <w:sz w:val="20"/>
                <w:szCs w:val="20"/>
                <w:color w:val="auto"/>
              </w:rPr>
              <w:t>65,726</w:t>
            </w: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300" w:type="dxa"/>
            <w:vAlign w:val="bottom"/>
          </w:tcPr>
          <w:p>
            <w:pPr>
              <w:jc w:val="right"/>
              <w:spacing w:after="0"/>
              <w:rPr>
                <w:sz w:val="20"/>
                <w:szCs w:val="20"/>
                <w:color w:val="auto"/>
              </w:rPr>
            </w:pPr>
            <w:r>
              <w:rPr>
                <w:rFonts w:ascii="Arial" w:cs="Arial" w:eastAsia="Arial" w:hAnsi="Arial"/>
                <w:sz w:val="20"/>
                <w:szCs w:val="20"/>
                <w:color w:val="auto"/>
              </w:rPr>
              <w:t>12,589</w:t>
            </w:r>
          </w:p>
        </w:tc>
        <w:tc>
          <w:tcPr>
            <w:tcW w:w="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100" w:type="dxa"/>
            <w:vAlign w:val="bottom"/>
          </w:tcPr>
          <w:p>
            <w:pPr>
              <w:jc w:val="right"/>
              <w:spacing w:after="0"/>
              <w:rPr>
                <w:sz w:val="20"/>
                <w:szCs w:val="20"/>
                <w:color w:val="auto"/>
              </w:rPr>
            </w:pPr>
            <w:r>
              <w:rPr>
                <w:rFonts w:ascii="Arial" w:cs="Arial" w:eastAsia="Arial" w:hAnsi="Arial"/>
                <w:sz w:val="20"/>
                <w:szCs w:val="20"/>
                <w:color w:val="auto"/>
              </w:rPr>
              <w:t>78,315</w:t>
            </w:r>
          </w:p>
        </w:tc>
        <w:tc>
          <w:tcPr>
            <w:tcW w:w="0" w:type="dxa"/>
            <w:vAlign w:val="bottom"/>
          </w:tcPr>
          <w:p>
            <w:pPr>
              <w:spacing w:after="0"/>
              <w:rPr>
                <w:sz w:val="1"/>
                <w:szCs w:val="1"/>
                <w:color w:val="auto"/>
              </w:rPr>
            </w:pPr>
          </w:p>
        </w:tc>
      </w:tr>
      <w:tr>
        <w:trPr>
          <w:trHeight w:val="270"/>
        </w:trPr>
        <w:tc>
          <w:tcPr>
            <w:tcW w:w="296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25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23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620" w:type="dxa"/>
            <w:vAlign w:val="bottom"/>
            <w:shd w:val="clear" w:color="auto" w:fill="CCEEFF"/>
          </w:tcPr>
          <w:p>
            <w:pPr>
              <w:spacing w:after="0"/>
              <w:rPr>
                <w:sz w:val="23"/>
                <w:szCs w:val="23"/>
                <w:color w:val="auto"/>
              </w:rPr>
            </w:pPr>
          </w:p>
        </w:tc>
        <w:tc>
          <w:tcPr>
            <w:tcW w:w="21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56"/>
        </w:trPr>
        <w:tc>
          <w:tcPr>
            <w:tcW w:w="2960" w:type="dxa"/>
            <w:vAlign w:val="bottom"/>
          </w:tcPr>
          <w:p>
            <w:pPr>
              <w:ind w:left="20"/>
              <w:spacing w:after="0"/>
              <w:rPr>
                <w:sz w:val="20"/>
                <w:szCs w:val="20"/>
                <w:color w:val="auto"/>
              </w:rPr>
            </w:pPr>
            <w:r>
              <w:rPr>
                <w:rFonts w:ascii="Arial" w:cs="Arial" w:eastAsia="Arial" w:hAnsi="Arial"/>
                <w:sz w:val="20"/>
                <w:szCs w:val="20"/>
                <w:color w:val="auto"/>
              </w:rPr>
              <w:t>Total operating expenses</w:t>
            </w:r>
          </w:p>
        </w:tc>
        <w:tc>
          <w:tcPr>
            <w:tcW w:w="160" w:type="dxa"/>
            <w:vAlign w:val="bottom"/>
          </w:tcPr>
          <w:p>
            <w:pPr>
              <w:spacing w:after="0"/>
              <w:rPr>
                <w:sz w:val="22"/>
                <w:szCs w:val="22"/>
                <w:color w:val="auto"/>
              </w:rPr>
            </w:pPr>
          </w:p>
        </w:tc>
        <w:tc>
          <w:tcPr>
            <w:tcW w:w="2620" w:type="dxa"/>
            <w:vAlign w:val="bottom"/>
            <w:gridSpan w:val="2"/>
          </w:tcPr>
          <w:p>
            <w:pPr>
              <w:jc w:val="right"/>
              <w:ind w:right="160"/>
              <w:spacing w:after="0"/>
              <w:rPr>
                <w:sz w:val="20"/>
                <w:szCs w:val="20"/>
                <w:color w:val="auto"/>
              </w:rPr>
            </w:pPr>
            <w:r>
              <w:rPr>
                <w:rFonts w:ascii="Arial" w:cs="Arial" w:eastAsia="Arial" w:hAnsi="Arial"/>
                <w:sz w:val="20"/>
                <w:szCs w:val="20"/>
                <w:color w:val="auto"/>
              </w:rPr>
              <w:t>—</w:t>
            </w:r>
          </w:p>
        </w:tc>
        <w:tc>
          <w:tcPr>
            <w:tcW w:w="400" w:type="dxa"/>
            <w:vAlign w:val="bottom"/>
          </w:tcPr>
          <w:p>
            <w:pPr>
              <w:spacing w:after="0"/>
              <w:rPr>
                <w:sz w:val="22"/>
                <w:szCs w:val="22"/>
                <w:color w:val="auto"/>
              </w:rPr>
            </w:pPr>
          </w:p>
        </w:tc>
        <w:tc>
          <w:tcPr>
            <w:tcW w:w="2380" w:type="dxa"/>
            <w:vAlign w:val="bottom"/>
            <w:gridSpan w:val="2"/>
          </w:tcPr>
          <w:p>
            <w:pPr>
              <w:jc w:val="right"/>
              <w:ind w:right="160"/>
              <w:spacing w:after="0"/>
              <w:rPr>
                <w:sz w:val="20"/>
                <w:szCs w:val="20"/>
                <w:color w:val="auto"/>
              </w:rPr>
            </w:pPr>
            <w:r>
              <w:rPr>
                <w:rFonts w:ascii="Arial" w:cs="Arial" w:eastAsia="Arial" w:hAnsi="Arial"/>
                <w:sz w:val="20"/>
                <w:szCs w:val="20"/>
                <w:color w:val="auto"/>
              </w:rPr>
              <w:t>—</w:t>
            </w:r>
          </w:p>
        </w:tc>
        <w:tc>
          <w:tcPr>
            <w:tcW w:w="620" w:type="dxa"/>
            <w:vAlign w:val="bottom"/>
          </w:tcPr>
          <w:p>
            <w:pPr>
              <w:spacing w:after="0"/>
              <w:rPr>
                <w:sz w:val="22"/>
                <w:szCs w:val="22"/>
                <w:color w:val="auto"/>
              </w:rPr>
            </w:pPr>
          </w:p>
        </w:tc>
        <w:tc>
          <w:tcPr>
            <w:tcW w:w="2100" w:type="dxa"/>
            <w:vAlign w:val="bottom"/>
          </w:tcPr>
          <w:p>
            <w:pPr>
              <w:jc w:val="right"/>
              <w:spacing w:after="0"/>
              <w:rPr>
                <w:sz w:val="20"/>
                <w:szCs w:val="20"/>
                <w:color w:val="auto"/>
              </w:rPr>
            </w:pPr>
            <w:r>
              <w:rPr>
                <w:rFonts w:ascii="Arial" w:cs="Arial" w:eastAsia="Arial" w:hAnsi="Arial"/>
                <w:sz w:val="20"/>
                <w:szCs w:val="20"/>
                <w:color w:val="auto"/>
              </w:rPr>
              <w:t>(210,990)</w:t>
            </w:r>
          </w:p>
        </w:tc>
        <w:tc>
          <w:tcPr>
            <w:tcW w:w="0" w:type="dxa"/>
            <w:vAlign w:val="bottom"/>
          </w:tcPr>
          <w:p>
            <w:pPr>
              <w:spacing w:after="0"/>
              <w:rPr>
                <w:sz w:val="1"/>
                <w:szCs w:val="1"/>
                <w:color w:val="auto"/>
              </w:rPr>
            </w:pPr>
          </w:p>
        </w:tc>
      </w:tr>
      <w:tr>
        <w:trPr>
          <w:trHeight w:val="257"/>
        </w:trPr>
        <w:tc>
          <w:tcPr>
            <w:tcW w:w="2960" w:type="dxa"/>
            <w:vAlign w:val="bottom"/>
            <w:shd w:val="clear" w:color="auto" w:fill="CCEEFF"/>
          </w:tcPr>
          <w:p>
            <w:pPr>
              <w:ind w:left="20"/>
              <w:spacing w:after="0"/>
              <w:rPr>
                <w:sz w:val="20"/>
                <w:szCs w:val="20"/>
                <w:color w:val="auto"/>
              </w:rPr>
            </w:pPr>
            <w:r>
              <w:rPr>
                <w:rFonts w:ascii="Arial" w:cs="Arial" w:eastAsia="Arial" w:hAnsi="Arial"/>
                <w:sz w:val="20"/>
                <w:szCs w:val="20"/>
                <w:color w:val="auto"/>
              </w:rPr>
              <w:t>Total other expense, net</w:t>
            </w:r>
          </w:p>
        </w:tc>
        <w:tc>
          <w:tcPr>
            <w:tcW w:w="160" w:type="dxa"/>
            <w:vAlign w:val="bottom"/>
            <w:shd w:val="clear" w:color="auto" w:fill="CCEEFF"/>
          </w:tcPr>
          <w:p>
            <w:pPr>
              <w:spacing w:after="0"/>
              <w:rPr>
                <w:sz w:val="22"/>
                <w:szCs w:val="22"/>
                <w:color w:val="auto"/>
              </w:rPr>
            </w:pPr>
          </w:p>
        </w:tc>
        <w:tc>
          <w:tcPr>
            <w:tcW w:w="2620" w:type="dxa"/>
            <w:vAlign w:val="bottom"/>
            <w:gridSpan w:val="2"/>
            <w:shd w:val="clear" w:color="auto" w:fill="CCEEFF"/>
          </w:tcPr>
          <w:p>
            <w:pPr>
              <w:jc w:val="right"/>
              <w:ind w:right="160"/>
              <w:spacing w:after="0"/>
              <w:rPr>
                <w:sz w:val="20"/>
                <w:szCs w:val="20"/>
                <w:color w:val="auto"/>
              </w:rPr>
            </w:pPr>
            <w:r>
              <w:rPr>
                <w:rFonts w:ascii="Arial" w:cs="Arial" w:eastAsia="Arial" w:hAnsi="Arial"/>
                <w:sz w:val="20"/>
                <w:szCs w:val="20"/>
                <w:color w:val="auto"/>
              </w:rPr>
              <w:t>—</w:t>
            </w:r>
          </w:p>
        </w:tc>
        <w:tc>
          <w:tcPr>
            <w:tcW w:w="400" w:type="dxa"/>
            <w:vAlign w:val="bottom"/>
            <w:shd w:val="clear" w:color="auto" w:fill="CCEEFF"/>
          </w:tcPr>
          <w:p>
            <w:pPr>
              <w:spacing w:after="0"/>
              <w:rPr>
                <w:sz w:val="22"/>
                <w:szCs w:val="22"/>
                <w:color w:val="auto"/>
              </w:rPr>
            </w:pPr>
          </w:p>
        </w:tc>
        <w:tc>
          <w:tcPr>
            <w:tcW w:w="2380" w:type="dxa"/>
            <w:vAlign w:val="bottom"/>
            <w:gridSpan w:val="2"/>
            <w:shd w:val="clear" w:color="auto" w:fill="CCEEFF"/>
          </w:tcPr>
          <w:p>
            <w:pPr>
              <w:jc w:val="right"/>
              <w:ind w:right="160"/>
              <w:spacing w:after="0"/>
              <w:rPr>
                <w:sz w:val="20"/>
                <w:szCs w:val="20"/>
                <w:color w:val="auto"/>
              </w:rPr>
            </w:pPr>
            <w:r>
              <w:rPr>
                <w:rFonts w:ascii="Arial" w:cs="Arial" w:eastAsia="Arial" w:hAnsi="Arial"/>
                <w:sz w:val="20"/>
                <w:szCs w:val="20"/>
                <w:color w:val="auto"/>
              </w:rPr>
              <w:t>—</w:t>
            </w:r>
          </w:p>
        </w:tc>
        <w:tc>
          <w:tcPr>
            <w:tcW w:w="620" w:type="dxa"/>
            <w:vAlign w:val="bottom"/>
            <w:tcBorders>
              <w:bottom w:val="single" w:sz="8" w:color="auto"/>
            </w:tcBorders>
            <w:shd w:val="clear" w:color="auto" w:fill="CCEEFF"/>
          </w:tcPr>
          <w:p>
            <w:pPr>
              <w:spacing w:after="0"/>
              <w:rPr>
                <w:sz w:val="22"/>
                <w:szCs w:val="22"/>
                <w:color w:val="auto"/>
              </w:rPr>
            </w:pPr>
          </w:p>
        </w:tc>
        <w:tc>
          <w:tcPr>
            <w:tcW w:w="2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(4,829)</w:t>
            </w:r>
          </w:p>
        </w:tc>
        <w:tc>
          <w:tcPr>
            <w:tcW w:w="0" w:type="dxa"/>
            <w:vAlign w:val="bottom"/>
          </w:tcPr>
          <w:p>
            <w:pPr>
              <w:spacing w:after="0"/>
              <w:rPr>
                <w:sz w:val="1"/>
                <w:szCs w:val="1"/>
                <w:color w:val="auto"/>
              </w:rPr>
            </w:pPr>
          </w:p>
        </w:tc>
      </w:tr>
      <w:tr>
        <w:trPr>
          <w:trHeight w:val="250"/>
        </w:trPr>
        <w:tc>
          <w:tcPr>
            <w:tcW w:w="2960" w:type="dxa"/>
            <w:vAlign w:val="bottom"/>
          </w:tcPr>
          <w:p>
            <w:pPr>
              <w:ind w:left="20"/>
              <w:spacing w:after="0"/>
              <w:rPr>
                <w:sz w:val="20"/>
                <w:szCs w:val="20"/>
                <w:color w:val="auto"/>
              </w:rPr>
            </w:pPr>
            <w:r>
              <w:rPr>
                <w:rFonts w:ascii="Arial" w:cs="Arial" w:eastAsia="Arial" w:hAnsi="Arial"/>
                <w:sz w:val="20"/>
                <w:szCs w:val="20"/>
                <w:b w:val="1"/>
                <w:bCs w:val="1"/>
                <w:color w:val="auto"/>
              </w:rPr>
              <w:t>Income before income taxes</w:t>
            </w:r>
          </w:p>
        </w:tc>
        <w:tc>
          <w:tcPr>
            <w:tcW w:w="160" w:type="dxa"/>
            <w:vAlign w:val="bottom"/>
          </w:tcPr>
          <w:p>
            <w:pPr>
              <w:spacing w:after="0"/>
              <w:rPr>
                <w:sz w:val="21"/>
                <w:szCs w:val="21"/>
                <w:color w:val="auto"/>
              </w:rPr>
            </w:pPr>
          </w:p>
        </w:tc>
        <w:tc>
          <w:tcPr>
            <w:tcW w:w="25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3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20" w:type="dxa"/>
            <w:vAlign w:val="bottom"/>
            <w:tcBorders>
              <w:bottom w:val="single" w:sz="8" w:color="auto"/>
            </w:tcBorders>
          </w:tcPr>
          <w:p>
            <w:pPr>
              <w:jc w:val="right"/>
              <w:ind w:right="381"/>
              <w:spacing w:after="0"/>
              <w:rPr>
                <w:sz w:val="20"/>
                <w:szCs w:val="20"/>
                <w:color w:val="auto"/>
              </w:rPr>
            </w:pPr>
            <w:r>
              <w:rPr>
                <w:rFonts w:ascii="Arial" w:cs="Arial" w:eastAsia="Arial" w:hAnsi="Arial"/>
                <w:sz w:val="20"/>
                <w:szCs w:val="20"/>
                <w:color w:val="auto"/>
              </w:rPr>
              <w:t>$</w:t>
            </w:r>
          </w:p>
        </w:tc>
        <w:tc>
          <w:tcPr>
            <w:tcW w:w="21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(137,504)</w:t>
            </w:r>
          </w:p>
        </w:tc>
        <w:tc>
          <w:tcPr>
            <w:tcW w:w="0" w:type="dxa"/>
            <w:vAlign w:val="bottom"/>
          </w:tcPr>
          <w:p>
            <w:pPr>
              <w:spacing w:after="0"/>
              <w:rPr>
                <w:sz w:val="1"/>
                <w:szCs w:val="1"/>
                <w:color w:val="auto"/>
              </w:rPr>
            </w:pPr>
          </w:p>
        </w:tc>
      </w:tr>
      <w:tr>
        <w:trPr>
          <w:trHeight w:val="20"/>
        </w:trPr>
        <w:tc>
          <w:tcPr>
            <w:tcW w:w="296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25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CCEEFF"/>
            </w:tcBorders>
          </w:tcPr>
          <w:p>
            <w:pPr>
              <w:spacing w:after="0" w:line="20" w:lineRule="exact"/>
              <w:rPr>
                <w:sz w:val="1"/>
                <w:szCs w:val="1"/>
                <w:color w:val="auto"/>
              </w:rPr>
            </w:pPr>
          </w:p>
        </w:tc>
        <w:tc>
          <w:tcPr>
            <w:tcW w:w="23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9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25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23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2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2960" w:type="dxa"/>
            <w:vAlign w:val="bottom"/>
          </w:tcPr>
          <w:p>
            <w:pPr>
              <w:ind w:left="20"/>
              <w:spacing w:after="0"/>
              <w:rPr>
                <w:sz w:val="20"/>
                <w:szCs w:val="20"/>
                <w:color w:val="auto"/>
              </w:rPr>
            </w:pPr>
            <w:r>
              <w:rPr>
                <w:rFonts w:ascii="Arial" w:cs="Arial" w:eastAsia="Arial" w:hAnsi="Arial"/>
                <w:sz w:val="20"/>
                <w:szCs w:val="20"/>
                <w:color w:val="auto"/>
              </w:rPr>
              <w:t>Segment assets</w:t>
            </w:r>
          </w:p>
        </w:tc>
        <w:tc>
          <w:tcPr>
            <w:tcW w:w="160" w:type="dxa"/>
            <w:vAlign w:val="bottom"/>
          </w:tcPr>
          <w:p>
            <w:pPr>
              <w:spacing w:after="0"/>
              <w:rPr>
                <w:sz w:val="22"/>
                <w:szCs w:val="22"/>
                <w:color w:val="auto"/>
              </w:rPr>
            </w:pPr>
          </w:p>
        </w:tc>
        <w:tc>
          <w:tcPr>
            <w:tcW w:w="2540" w:type="dxa"/>
            <w:vAlign w:val="bottom"/>
          </w:tcPr>
          <w:p>
            <w:pPr>
              <w:jc w:val="right"/>
              <w:spacing w:after="0"/>
              <w:rPr>
                <w:sz w:val="20"/>
                <w:szCs w:val="20"/>
                <w:color w:val="auto"/>
              </w:rPr>
            </w:pPr>
            <w:r>
              <w:rPr>
                <w:rFonts w:ascii="Arial" w:cs="Arial" w:eastAsia="Arial" w:hAnsi="Arial"/>
                <w:sz w:val="20"/>
                <w:szCs w:val="20"/>
                <w:color w:val="auto"/>
              </w:rPr>
              <w:t>898,159</w:t>
            </w:r>
          </w:p>
        </w:tc>
        <w:tc>
          <w:tcPr>
            <w:tcW w:w="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2300" w:type="dxa"/>
            <w:vAlign w:val="bottom"/>
          </w:tcPr>
          <w:p>
            <w:pPr>
              <w:jc w:val="right"/>
              <w:spacing w:after="0"/>
              <w:rPr>
                <w:sz w:val="20"/>
                <w:szCs w:val="20"/>
                <w:color w:val="auto"/>
              </w:rPr>
            </w:pPr>
            <w:r>
              <w:rPr>
                <w:rFonts w:ascii="Arial" w:cs="Arial" w:eastAsia="Arial" w:hAnsi="Arial"/>
                <w:sz w:val="20"/>
                <w:szCs w:val="20"/>
                <w:color w:val="auto"/>
              </w:rPr>
              <w:t>664,945</w:t>
            </w:r>
          </w:p>
        </w:tc>
        <w:tc>
          <w:tcPr>
            <w:tcW w:w="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100" w:type="dxa"/>
            <w:vAlign w:val="bottom"/>
          </w:tcPr>
          <w:p>
            <w:pPr>
              <w:jc w:val="right"/>
              <w:spacing w:after="0"/>
              <w:rPr>
                <w:sz w:val="20"/>
                <w:szCs w:val="20"/>
                <w:color w:val="auto"/>
              </w:rPr>
            </w:pPr>
            <w:r>
              <w:rPr>
                <w:rFonts w:ascii="Arial" w:cs="Arial" w:eastAsia="Arial" w:hAnsi="Arial"/>
                <w:sz w:val="20"/>
                <w:szCs w:val="20"/>
                <w:color w:val="auto"/>
              </w:rPr>
              <w:t>1,563,104</w:t>
            </w:r>
          </w:p>
        </w:tc>
        <w:tc>
          <w:tcPr>
            <w:tcW w:w="0" w:type="dxa"/>
            <w:vAlign w:val="bottom"/>
          </w:tcPr>
          <w:p>
            <w:pPr>
              <w:spacing w:after="0"/>
              <w:rPr>
                <w:sz w:val="1"/>
                <w:szCs w:val="1"/>
                <w:color w:val="auto"/>
              </w:rPr>
            </w:pPr>
          </w:p>
        </w:tc>
      </w:tr>
      <w:tr>
        <w:trPr>
          <w:trHeight w:val="257"/>
        </w:trPr>
        <w:tc>
          <w:tcPr>
            <w:tcW w:w="2960" w:type="dxa"/>
            <w:vAlign w:val="bottom"/>
            <w:shd w:val="clear" w:color="auto" w:fill="CCEEFF"/>
          </w:tcPr>
          <w:p>
            <w:pPr>
              <w:ind w:left="20"/>
              <w:spacing w:after="0"/>
              <w:rPr>
                <w:sz w:val="20"/>
                <w:szCs w:val="20"/>
                <w:color w:val="auto"/>
              </w:rPr>
            </w:pPr>
            <w:r>
              <w:rPr>
                <w:rFonts w:ascii="Arial" w:cs="Arial" w:eastAsia="Arial" w:hAnsi="Arial"/>
                <w:sz w:val="20"/>
                <w:szCs w:val="20"/>
                <w:color w:val="auto"/>
              </w:rPr>
              <w:t>Capital expenditures</w:t>
            </w:r>
          </w:p>
        </w:tc>
        <w:tc>
          <w:tcPr>
            <w:tcW w:w="160" w:type="dxa"/>
            <w:vAlign w:val="bottom"/>
            <w:shd w:val="clear" w:color="auto" w:fill="CCEEFF"/>
          </w:tcPr>
          <w:p>
            <w:pPr>
              <w:spacing w:after="0"/>
              <w:rPr>
                <w:sz w:val="22"/>
                <w:szCs w:val="22"/>
                <w:color w:val="auto"/>
              </w:rPr>
            </w:pPr>
          </w:p>
        </w:tc>
        <w:tc>
          <w:tcPr>
            <w:tcW w:w="25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986</w:t>
            </w:r>
          </w:p>
        </w:tc>
        <w:tc>
          <w:tcPr>
            <w:tcW w:w="8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23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91</w:t>
            </w:r>
          </w:p>
        </w:tc>
        <w:tc>
          <w:tcPr>
            <w:tcW w:w="80" w:type="dxa"/>
            <w:vAlign w:val="bottom"/>
            <w:shd w:val="clear" w:color="auto" w:fill="CCEEFF"/>
          </w:tcPr>
          <w:p>
            <w:pPr>
              <w:spacing w:after="0"/>
              <w:rPr>
                <w:sz w:val="22"/>
                <w:szCs w:val="22"/>
                <w:color w:val="auto"/>
              </w:rPr>
            </w:pPr>
          </w:p>
        </w:tc>
        <w:tc>
          <w:tcPr>
            <w:tcW w:w="620" w:type="dxa"/>
            <w:vAlign w:val="bottom"/>
            <w:shd w:val="clear" w:color="auto" w:fill="CCEEFF"/>
          </w:tcPr>
          <w:p>
            <w:pPr>
              <w:spacing w:after="0"/>
              <w:rPr>
                <w:sz w:val="22"/>
                <w:szCs w:val="22"/>
                <w:color w:val="auto"/>
              </w:rPr>
            </w:pPr>
          </w:p>
        </w:tc>
        <w:tc>
          <w:tcPr>
            <w:tcW w:w="21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1,077</w:t>
            </w:r>
          </w:p>
        </w:tc>
        <w:tc>
          <w:tcPr>
            <w:tcW w:w="0" w:type="dxa"/>
            <w:vAlign w:val="bottom"/>
          </w:tcPr>
          <w:p>
            <w:pPr>
              <w:spacing w:after="0"/>
              <w:rPr>
                <w:sz w:val="1"/>
                <w:szCs w:val="1"/>
                <w:color w:val="auto"/>
              </w:rPr>
            </w:pPr>
          </w:p>
        </w:tc>
      </w:tr>
      <w:tr>
        <w:trPr>
          <w:trHeight w:val="256"/>
        </w:trPr>
        <w:tc>
          <w:tcPr>
            <w:tcW w:w="2960" w:type="dxa"/>
            <w:vAlign w:val="bottom"/>
          </w:tcPr>
          <w:p>
            <w:pPr>
              <w:ind w:left="20"/>
              <w:spacing w:after="0"/>
              <w:rPr>
                <w:sz w:val="20"/>
                <w:szCs w:val="20"/>
                <w:color w:val="auto"/>
              </w:rPr>
            </w:pPr>
            <w:r>
              <w:rPr>
                <w:rFonts w:ascii="Arial" w:cs="Arial" w:eastAsia="Arial" w:hAnsi="Arial"/>
                <w:sz w:val="20"/>
                <w:szCs w:val="20"/>
                <w:color w:val="auto"/>
              </w:rPr>
              <w:t>Depreciation and amortization</w:t>
            </w:r>
          </w:p>
        </w:tc>
        <w:tc>
          <w:tcPr>
            <w:tcW w:w="160" w:type="dxa"/>
            <w:vAlign w:val="bottom"/>
          </w:tcPr>
          <w:p>
            <w:pPr>
              <w:spacing w:after="0"/>
              <w:rPr>
                <w:sz w:val="22"/>
                <w:szCs w:val="22"/>
                <w:color w:val="auto"/>
              </w:rPr>
            </w:pPr>
          </w:p>
        </w:tc>
        <w:tc>
          <w:tcPr>
            <w:tcW w:w="2540" w:type="dxa"/>
            <w:vAlign w:val="bottom"/>
          </w:tcPr>
          <w:p>
            <w:pPr>
              <w:jc w:val="right"/>
              <w:spacing w:after="0"/>
              <w:rPr>
                <w:sz w:val="20"/>
                <w:szCs w:val="20"/>
                <w:color w:val="auto"/>
              </w:rPr>
            </w:pPr>
            <w:r>
              <w:rPr>
                <w:rFonts w:ascii="Arial" w:cs="Arial" w:eastAsia="Arial" w:hAnsi="Arial"/>
                <w:sz w:val="20"/>
                <w:szCs w:val="20"/>
                <w:color w:val="auto"/>
              </w:rPr>
              <w:t>6,903</w:t>
            </w:r>
          </w:p>
        </w:tc>
        <w:tc>
          <w:tcPr>
            <w:tcW w:w="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2300" w:type="dxa"/>
            <w:vAlign w:val="bottom"/>
          </w:tcPr>
          <w:p>
            <w:pPr>
              <w:jc w:val="right"/>
              <w:spacing w:after="0"/>
              <w:rPr>
                <w:sz w:val="20"/>
                <w:szCs w:val="20"/>
                <w:color w:val="auto"/>
              </w:rPr>
            </w:pPr>
            <w:r>
              <w:rPr>
                <w:rFonts w:ascii="Arial" w:cs="Arial" w:eastAsia="Arial" w:hAnsi="Arial"/>
                <w:sz w:val="20"/>
                <w:szCs w:val="20"/>
                <w:color w:val="auto"/>
              </w:rPr>
              <w:t>6,295</w:t>
            </w:r>
          </w:p>
        </w:tc>
        <w:tc>
          <w:tcPr>
            <w:tcW w:w="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100" w:type="dxa"/>
            <w:vAlign w:val="bottom"/>
          </w:tcPr>
          <w:p>
            <w:pPr>
              <w:jc w:val="right"/>
              <w:spacing w:after="0"/>
              <w:rPr>
                <w:sz w:val="20"/>
                <w:szCs w:val="20"/>
                <w:color w:val="auto"/>
              </w:rPr>
            </w:pPr>
            <w:r>
              <w:rPr>
                <w:rFonts w:ascii="Arial" w:cs="Arial" w:eastAsia="Arial" w:hAnsi="Arial"/>
                <w:sz w:val="20"/>
                <w:szCs w:val="20"/>
                <w:color w:val="auto"/>
              </w:rPr>
              <w:t>13,198</w:t>
            </w:r>
          </w:p>
        </w:tc>
        <w:tc>
          <w:tcPr>
            <w:tcW w:w="0" w:type="dxa"/>
            <w:vAlign w:val="bottom"/>
          </w:tcPr>
          <w:p>
            <w:pPr>
              <w:spacing w:after="0"/>
              <w:rPr>
                <w:sz w:val="1"/>
                <w:szCs w:val="1"/>
                <w:color w:val="auto"/>
              </w:rPr>
            </w:pPr>
          </w:p>
        </w:tc>
      </w:tr>
      <w:tr>
        <w:trPr>
          <w:trHeight w:val="257"/>
        </w:trPr>
        <w:tc>
          <w:tcPr>
            <w:tcW w:w="2960" w:type="dxa"/>
            <w:vAlign w:val="bottom"/>
            <w:shd w:val="clear" w:color="auto" w:fill="CCEEFF"/>
          </w:tcPr>
          <w:p>
            <w:pPr>
              <w:ind w:left="20"/>
              <w:spacing w:after="0"/>
              <w:rPr>
                <w:sz w:val="20"/>
                <w:szCs w:val="20"/>
                <w:color w:val="auto"/>
              </w:rPr>
            </w:pPr>
            <w:r>
              <w:rPr>
                <w:rFonts w:ascii="Arial" w:cs="Arial" w:eastAsia="Arial" w:hAnsi="Arial"/>
                <w:sz w:val="20"/>
                <w:szCs w:val="20"/>
                <w:color w:val="auto"/>
              </w:rPr>
              <w:t>Interest income</w:t>
            </w:r>
          </w:p>
        </w:tc>
        <w:tc>
          <w:tcPr>
            <w:tcW w:w="160" w:type="dxa"/>
            <w:vAlign w:val="bottom"/>
            <w:shd w:val="clear" w:color="auto" w:fill="CCEEFF"/>
          </w:tcPr>
          <w:p>
            <w:pPr>
              <w:spacing w:after="0"/>
              <w:rPr>
                <w:sz w:val="22"/>
                <w:szCs w:val="22"/>
                <w:color w:val="auto"/>
              </w:rPr>
            </w:pPr>
          </w:p>
        </w:tc>
        <w:tc>
          <w:tcPr>
            <w:tcW w:w="25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3,415</w:t>
            </w:r>
          </w:p>
        </w:tc>
        <w:tc>
          <w:tcPr>
            <w:tcW w:w="8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23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808</w:t>
            </w:r>
          </w:p>
        </w:tc>
        <w:tc>
          <w:tcPr>
            <w:tcW w:w="80" w:type="dxa"/>
            <w:vAlign w:val="bottom"/>
            <w:shd w:val="clear" w:color="auto" w:fill="CCEEFF"/>
          </w:tcPr>
          <w:p>
            <w:pPr>
              <w:spacing w:after="0"/>
              <w:rPr>
                <w:sz w:val="22"/>
                <w:szCs w:val="22"/>
                <w:color w:val="auto"/>
              </w:rPr>
            </w:pPr>
          </w:p>
        </w:tc>
        <w:tc>
          <w:tcPr>
            <w:tcW w:w="620" w:type="dxa"/>
            <w:vAlign w:val="bottom"/>
            <w:shd w:val="clear" w:color="auto" w:fill="CCEEFF"/>
          </w:tcPr>
          <w:p>
            <w:pPr>
              <w:spacing w:after="0"/>
              <w:rPr>
                <w:sz w:val="22"/>
                <w:szCs w:val="22"/>
                <w:color w:val="auto"/>
              </w:rPr>
            </w:pPr>
          </w:p>
        </w:tc>
        <w:tc>
          <w:tcPr>
            <w:tcW w:w="21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4,223</w:t>
            </w:r>
          </w:p>
        </w:tc>
        <w:tc>
          <w:tcPr>
            <w:tcW w:w="0" w:type="dxa"/>
            <w:vAlign w:val="bottom"/>
          </w:tcPr>
          <w:p>
            <w:pPr>
              <w:spacing w:after="0"/>
              <w:rPr>
                <w:sz w:val="1"/>
                <w:szCs w:val="1"/>
                <w:color w:val="auto"/>
              </w:rPr>
            </w:pPr>
          </w:p>
        </w:tc>
      </w:tr>
      <w:tr>
        <w:trPr>
          <w:trHeight w:val="261"/>
        </w:trPr>
        <w:tc>
          <w:tcPr>
            <w:tcW w:w="2960" w:type="dxa"/>
            <w:vAlign w:val="bottom"/>
          </w:tcPr>
          <w:p>
            <w:pPr>
              <w:ind w:left="20"/>
              <w:spacing w:after="0"/>
              <w:rPr>
                <w:sz w:val="20"/>
                <w:szCs w:val="20"/>
                <w:color w:val="auto"/>
              </w:rPr>
            </w:pPr>
            <w:r>
              <w:rPr>
                <w:rFonts w:ascii="Arial" w:cs="Arial" w:eastAsia="Arial" w:hAnsi="Arial"/>
                <w:sz w:val="20"/>
                <w:szCs w:val="20"/>
                <w:color w:val="auto"/>
              </w:rPr>
              <w:t>Interest expense</w:t>
            </w:r>
          </w:p>
        </w:tc>
        <w:tc>
          <w:tcPr>
            <w:tcW w:w="160" w:type="dxa"/>
            <w:vAlign w:val="bottom"/>
          </w:tcPr>
          <w:p>
            <w:pPr>
              <w:spacing w:after="0"/>
              <w:rPr>
                <w:sz w:val="22"/>
                <w:szCs w:val="22"/>
                <w:color w:val="auto"/>
              </w:rPr>
            </w:pPr>
          </w:p>
        </w:tc>
        <w:tc>
          <w:tcPr>
            <w:tcW w:w="2540" w:type="dxa"/>
            <w:vAlign w:val="bottom"/>
          </w:tcPr>
          <w:p>
            <w:pPr>
              <w:jc w:val="right"/>
              <w:spacing w:after="0"/>
              <w:rPr>
                <w:sz w:val="20"/>
                <w:szCs w:val="20"/>
                <w:color w:val="auto"/>
              </w:rPr>
            </w:pPr>
            <w:r>
              <w:rPr>
                <w:rFonts w:ascii="Arial" w:cs="Arial" w:eastAsia="Arial" w:hAnsi="Arial"/>
                <w:sz w:val="20"/>
                <w:szCs w:val="20"/>
                <w:color w:val="auto"/>
              </w:rPr>
              <w:t>7,734</w:t>
            </w:r>
          </w:p>
        </w:tc>
        <w:tc>
          <w:tcPr>
            <w:tcW w:w="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2300" w:type="dxa"/>
            <w:vAlign w:val="bottom"/>
          </w:tcPr>
          <w:p>
            <w:pPr>
              <w:jc w:val="right"/>
              <w:spacing w:after="0"/>
              <w:rPr>
                <w:sz w:val="20"/>
                <w:szCs w:val="20"/>
                <w:color w:val="auto"/>
              </w:rPr>
            </w:pPr>
            <w:r>
              <w:rPr>
                <w:rFonts w:ascii="Arial" w:cs="Arial" w:eastAsia="Arial" w:hAnsi="Arial"/>
                <w:sz w:val="20"/>
                <w:szCs w:val="20"/>
                <w:color w:val="auto"/>
              </w:rPr>
              <w:t>530</w:t>
            </w:r>
          </w:p>
        </w:tc>
        <w:tc>
          <w:tcPr>
            <w:tcW w:w="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100" w:type="dxa"/>
            <w:vAlign w:val="bottom"/>
          </w:tcPr>
          <w:p>
            <w:pPr>
              <w:jc w:val="right"/>
              <w:spacing w:after="0"/>
              <w:rPr>
                <w:sz w:val="20"/>
                <w:szCs w:val="20"/>
                <w:color w:val="auto"/>
              </w:rPr>
            </w:pPr>
            <w:r>
              <w:rPr>
                <w:rFonts w:ascii="Arial" w:cs="Arial" w:eastAsia="Arial" w:hAnsi="Arial"/>
                <w:sz w:val="20"/>
                <w:szCs w:val="20"/>
                <w:color w:val="auto"/>
              </w:rPr>
              <w:t>8,264</w:t>
            </w:r>
          </w:p>
        </w:tc>
        <w:tc>
          <w:tcPr>
            <w:tcW w:w="0" w:type="dxa"/>
            <w:vAlign w:val="bottom"/>
          </w:tcPr>
          <w:p>
            <w:pPr>
              <w:spacing w:after="0"/>
              <w:rPr>
                <w:sz w:val="1"/>
                <w:szCs w:val="1"/>
                <w:color w:val="auto"/>
              </w:rPr>
            </w:pPr>
          </w:p>
        </w:tc>
      </w:tr>
    </w:tbl>
    <w:p>
      <w:pPr>
        <w:sectPr>
          <w:pgSz w:w="11900" w:h="16838" w:orient="portrait"/>
          <w:cols w:equalWidth="0" w:num="1">
            <w:col w:w="11240"/>
          </w:cols>
          <w:pgMar w:left="320" w:top="374" w:right="339" w:bottom="1440" w:gutter="0" w:footer="0" w:header="0"/>
        </w:sectPr>
      </w:pPr>
    </w:p>
    <w:bookmarkStart w:id="41" w:name="page42"/>
    <w:bookmarkEnd w:id="4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67"/>
        </w:trPr>
        <w:tc>
          <w:tcPr>
            <w:tcW w:w="2960" w:type="dxa"/>
            <w:vAlign w:val="bottom"/>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6000" w:type="dxa"/>
            <w:vAlign w:val="bottom"/>
            <w:tcBorders>
              <w:bottom w:val="single" w:sz="8" w:color="auto"/>
            </w:tcBorders>
            <w:gridSpan w:val="6"/>
          </w:tcPr>
          <w:p>
            <w:pPr>
              <w:jc w:val="center"/>
              <w:ind w:left="1881"/>
              <w:spacing w:after="0"/>
              <w:rPr>
                <w:sz w:val="20"/>
                <w:szCs w:val="20"/>
                <w:color w:val="auto"/>
              </w:rPr>
            </w:pPr>
            <w:r>
              <w:rPr>
                <w:rFonts w:ascii="Arial" w:cs="Arial" w:eastAsia="Arial" w:hAnsi="Arial"/>
                <w:sz w:val="20"/>
                <w:szCs w:val="20"/>
                <w:b w:val="1"/>
                <w:bCs w:val="1"/>
                <w:color w:val="auto"/>
                <w:w w:val="98"/>
              </w:rPr>
              <w:t>Nine months ended September 30, 2025</w:t>
            </w:r>
          </w:p>
        </w:tc>
        <w:tc>
          <w:tcPr>
            <w:tcW w:w="212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29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620" w:type="dxa"/>
            <w:vAlign w:val="bottom"/>
            <w:gridSpan w:val="2"/>
          </w:tcPr>
          <w:p>
            <w:pPr>
              <w:ind w:left="20"/>
              <w:spacing w:after="0"/>
              <w:rPr>
                <w:sz w:val="20"/>
                <w:szCs w:val="20"/>
                <w:color w:val="auto"/>
              </w:rPr>
            </w:pPr>
            <w:r>
              <w:rPr>
                <w:rFonts w:ascii="Arial" w:cs="Arial" w:eastAsia="Arial" w:hAnsi="Arial"/>
                <w:sz w:val="20"/>
                <w:szCs w:val="20"/>
                <w:b w:val="1"/>
                <w:bCs w:val="1"/>
                <w:color w:val="auto"/>
              </w:rPr>
              <w:t>Array Legacy Operations</w:t>
            </w:r>
          </w:p>
        </w:tc>
        <w:tc>
          <w:tcPr>
            <w:tcW w:w="400" w:type="dxa"/>
            <w:vAlign w:val="bottom"/>
          </w:tcPr>
          <w:p>
            <w:pPr>
              <w:spacing w:after="0"/>
              <w:rPr>
                <w:sz w:val="21"/>
                <w:szCs w:val="21"/>
                <w:color w:val="auto"/>
              </w:rPr>
            </w:pPr>
          </w:p>
        </w:tc>
        <w:tc>
          <w:tcPr>
            <w:tcW w:w="2380" w:type="dxa"/>
            <w:vAlign w:val="bottom"/>
            <w:gridSpan w:val="2"/>
          </w:tcPr>
          <w:p>
            <w:pPr>
              <w:jc w:val="center"/>
              <w:ind w:right="460"/>
              <w:spacing w:after="0"/>
              <w:rPr>
                <w:sz w:val="20"/>
                <w:szCs w:val="20"/>
                <w:color w:val="auto"/>
              </w:rPr>
            </w:pPr>
            <w:r>
              <w:rPr>
                <w:rFonts w:ascii="Arial" w:cs="Arial" w:eastAsia="Arial" w:hAnsi="Arial"/>
                <w:sz w:val="20"/>
                <w:szCs w:val="20"/>
                <w:b w:val="1"/>
                <w:bCs w:val="1"/>
                <w:color w:val="auto"/>
                <w:w w:val="98"/>
              </w:rPr>
              <w:t>STI Operations</w:t>
            </w:r>
          </w:p>
        </w:tc>
        <w:tc>
          <w:tcPr>
            <w:tcW w:w="600" w:type="dxa"/>
            <w:vAlign w:val="bottom"/>
          </w:tcPr>
          <w:p>
            <w:pPr>
              <w:spacing w:after="0"/>
              <w:rPr>
                <w:sz w:val="21"/>
                <w:szCs w:val="21"/>
                <w:color w:val="auto"/>
              </w:rPr>
            </w:pPr>
          </w:p>
        </w:tc>
        <w:tc>
          <w:tcPr>
            <w:tcW w:w="2120" w:type="dxa"/>
            <w:vAlign w:val="bottom"/>
          </w:tcPr>
          <w:p>
            <w:pPr>
              <w:jc w:val="right"/>
              <w:ind w:right="621"/>
              <w:spacing w:after="0"/>
              <w:rPr>
                <w:sz w:val="20"/>
                <w:szCs w:val="20"/>
                <w:color w:val="auto"/>
              </w:rPr>
            </w:pPr>
            <w:r>
              <w:rPr>
                <w:rFonts w:ascii="Arial" w:cs="Arial" w:eastAsia="Arial" w:hAnsi="Arial"/>
                <w:sz w:val="20"/>
                <w:szCs w:val="20"/>
                <w:b w:val="1"/>
                <w:bCs w:val="1"/>
                <w:color w:val="auto"/>
              </w:rPr>
              <w:t>Consolidated</w:t>
            </w:r>
          </w:p>
        </w:tc>
        <w:tc>
          <w:tcPr>
            <w:tcW w:w="0" w:type="dxa"/>
            <w:vAlign w:val="bottom"/>
          </w:tcPr>
          <w:p>
            <w:pPr>
              <w:spacing w:after="0"/>
              <w:rPr>
                <w:sz w:val="1"/>
                <w:szCs w:val="1"/>
                <w:color w:val="auto"/>
              </w:rPr>
            </w:pPr>
          </w:p>
        </w:tc>
      </w:tr>
      <w:tr>
        <w:trPr>
          <w:trHeight w:val="250"/>
        </w:trPr>
        <w:tc>
          <w:tcPr>
            <w:tcW w:w="2960" w:type="dxa"/>
            <w:vAlign w:val="bottom"/>
            <w:tcBorders>
              <w:top w:val="single" w:sz="8" w:color="CCEEFF"/>
            </w:tcBorders>
            <w:shd w:val="clear" w:color="auto" w:fill="CCEEFF"/>
          </w:tcPr>
          <w:p>
            <w:pPr>
              <w:spacing w:after="0"/>
              <w:rPr>
                <w:sz w:val="21"/>
                <w:szCs w:val="21"/>
                <w:color w:val="auto"/>
              </w:rPr>
            </w:pPr>
          </w:p>
        </w:tc>
        <w:tc>
          <w:tcPr>
            <w:tcW w:w="160" w:type="dxa"/>
            <w:vAlign w:val="bottom"/>
            <w:tcBorders>
              <w:top w:val="single" w:sz="8" w:color="auto"/>
            </w:tcBorders>
            <w:shd w:val="clear" w:color="auto" w:fill="CCEEFF"/>
          </w:tcPr>
          <w:p>
            <w:pPr>
              <w:spacing w:after="0"/>
              <w:rPr>
                <w:sz w:val="21"/>
                <w:szCs w:val="21"/>
                <w:color w:val="auto"/>
              </w:rPr>
            </w:pPr>
          </w:p>
        </w:tc>
        <w:tc>
          <w:tcPr>
            <w:tcW w:w="2540" w:type="dxa"/>
            <w:vAlign w:val="bottom"/>
            <w:tcBorders>
              <w:top w:val="single" w:sz="8" w:color="auto"/>
            </w:tcBorders>
            <w:shd w:val="clear" w:color="auto" w:fill="CCEEFF"/>
          </w:tcPr>
          <w:p>
            <w:pPr>
              <w:spacing w:after="0"/>
              <w:rPr>
                <w:sz w:val="21"/>
                <w:szCs w:val="21"/>
                <w:color w:val="auto"/>
              </w:rPr>
            </w:pPr>
          </w:p>
        </w:tc>
        <w:tc>
          <w:tcPr>
            <w:tcW w:w="80" w:type="dxa"/>
            <w:vAlign w:val="bottom"/>
            <w:tcBorders>
              <w:top w:val="single" w:sz="8" w:color="CCEEFF"/>
            </w:tcBorders>
            <w:shd w:val="clear" w:color="auto" w:fill="CCEEFF"/>
          </w:tcPr>
          <w:p>
            <w:pPr>
              <w:spacing w:after="0"/>
              <w:rPr>
                <w:sz w:val="21"/>
                <w:szCs w:val="21"/>
                <w:color w:val="auto"/>
              </w:rPr>
            </w:pPr>
          </w:p>
        </w:tc>
        <w:tc>
          <w:tcPr>
            <w:tcW w:w="400" w:type="dxa"/>
            <w:vAlign w:val="bottom"/>
            <w:tcBorders>
              <w:top w:val="single" w:sz="8" w:color="auto"/>
            </w:tcBorders>
            <w:shd w:val="clear" w:color="auto" w:fill="CCEEFF"/>
          </w:tcPr>
          <w:p>
            <w:pPr>
              <w:spacing w:after="0"/>
              <w:rPr>
                <w:sz w:val="21"/>
                <w:szCs w:val="21"/>
                <w:color w:val="auto"/>
              </w:rPr>
            </w:pPr>
          </w:p>
        </w:tc>
        <w:tc>
          <w:tcPr>
            <w:tcW w:w="2300" w:type="dxa"/>
            <w:vAlign w:val="bottom"/>
            <w:tcBorders>
              <w:top w:val="single" w:sz="8" w:color="auto"/>
            </w:tcBorders>
            <w:shd w:val="clear" w:color="auto" w:fill="CCEEFF"/>
          </w:tcPr>
          <w:p>
            <w:pPr>
              <w:spacing w:after="0"/>
              <w:rPr>
                <w:sz w:val="21"/>
                <w:szCs w:val="21"/>
                <w:color w:val="auto"/>
              </w:rPr>
            </w:pPr>
          </w:p>
        </w:tc>
        <w:tc>
          <w:tcPr>
            <w:tcW w:w="80" w:type="dxa"/>
            <w:vAlign w:val="bottom"/>
            <w:tcBorders>
              <w:top w:val="single" w:sz="8" w:color="CCEEFF"/>
            </w:tcBorders>
            <w:shd w:val="clear" w:color="auto" w:fill="CCEEFF"/>
          </w:tcPr>
          <w:p>
            <w:pPr>
              <w:spacing w:after="0"/>
              <w:rPr>
                <w:sz w:val="21"/>
                <w:szCs w:val="21"/>
                <w:color w:val="auto"/>
              </w:rPr>
            </w:pPr>
          </w:p>
        </w:tc>
        <w:tc>
          <w:tcPr>
            <w:tcW w:w="600" w:type="dxa"/>
            <w:vAlign w:val="bottom"/>
            <w:tcBorders>
              <w:top w:val="single" w:sz="8" w:color="auto"/>
            </w:tcBorders>
            <w:shd w:val="clear" w:color="auto" w:fill="CCEEFF"/>
          </w:tcPr>
          <w:p>
            <w:pPr>
              <w:spacing w:after="0"/>
              <w:rPr>
                <w:sz w:val="21"/>
                <w:szCs w:val="21"/>
                <w:color w:val="auto"/>
              </w:rPr>
            </w:pPr>
          </w:p>
        </w:tc>
        <w:tc>
          <w:tcPr>
            <w:tcW w:w="2120" w:type="dxa"/>
            <w:vAlign w:val="bottom"/>
            <w:tcBorders>
              <w:top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2960" w:type="dxa"/>
            <w:vAlign w:val="bottom"/>
            <w:tcBorders>
              <w:bottom w:val="single" w:sz="8" w:color="CCEEFF"/>
            </w:tcBorders>
          </w:tcPr>
          <w:p>
            <w:pPr>
              <w:ind w:left="20"/>
              <w:spacing w:after="0"/>
              <w:rPr>
                <w:sz w:val="20"/>
                <w:szCs w:val="20"/>
                <w:color w:val="auto"/>
              </w:rPr>
            </w:pPr>
            <w:r>
              <w:rPr>
                <w:rFonts w:ascii="Arial" w:cs="Arial" w:eastAsia="Arial" w:hAnsi="Arial"/>
                <w:sz w:val="20"/>
                <w:szCs w:val="20"/>
                <w:b w:val="1"/>
                <w:bCs w:val="1"/>
                <w:color w:val="auto"/>
              </w:rPr>
              <w:t>Segment revenue</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25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858,474</w:t>
            </w:r>
          </w:p>
        </w:tc>
        <w:tc>
          <w:tcPr>
            <w:tcW w:w="8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jc w:val="right"/>
              <w:ind w:right="161"/>
              <w:spacing w:after="0"/>
              <w:rPr>
                <w:sz w:val="20"/>
                <w:szCs w:val="20"/>
                <w:color w:val="auto"/>
              </w:rPr>
            </w:pPr>
            <w:r>
              <w:rPr>
                <w:rFonts w:ascii="Arial" w:cs="Arial" w:eastAsia="Arial" w:hAnsi="Arial"/>
                <w:sz w:val="20"/>
                <w:szCs w:val="20"/>
                <w:color w:val="auto"/>
              </w:rPr>
              <w:t>$</w:t>
            </w:r>
          </w:p>
        </w:tc>
        <w:tc>
          <w:tcPr>
            <w:tcW w:w="23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199,623</w:t>
            </w:r>
          </w:p>
        </w:tc>
        <w:tc>
          <w:tcPr>
            <w:tcW w:w="80" w:type="dxa"/>
            <w:vAlign w:val="bottom"/>
            <w:tcBorders>
              <w:bottom w:val="single" w:sz="8" w:color="CCEEFF"/>
            </w:tcBorders>
          </w:tcPr>
          <w:p>
            <w:pPr>
              <w:spacing w:after="0"/>
              <w:rPr>
                <w:sz w:val="22"/>
                <w:szCs w:val="22"/>
                <w:color w:val="auto"/>
              </w:rPr>
            </w:pPr>
          </w:p>
        </w:tc>
        <w:tc>
          <w:tcPr>
            <w:tcW w:w="600" w:type="dxa"/>
            <w:vAlign w:val="bottom"/>
            <w:tcBorders>
              <w:bottom w:val="single" w:sz="8" w:color="auto"/>
            </w:tcBorders>
          </w:tcPr>
          <w:p>
            <w:pPr>
              <w:jc w:val="right"/>
              <w:ind w:right="361"/>
              <w:spacing w:after="0"/>
              <w:rPr>
                <w:sz w:val="20"/>
                <w:szCs w:val="20"/>
                <w:color w:val="auto"/>
              </w:rPr>
            </w:pPr>
            <w:r>
              <w:rPr>
                <w:rFonts w:ascii="Arial" w:cs="Arial" w:eastAsia="Arial" w:hAnsi="Arial"/>
                <w:sz w:val="20"/>
                <w:szCs w:val="20"/>
                <w:color w:val="auto"/>
              </w:rPr>
              <w:t>$</w:t>
            </w:r>
          </w:p>
        </w:tc>
        <w:tc>
          <w:tcPr>
            <w:tcW w:w="21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1,058,097</w:t>
            </w:r>
          </w:p>
        </w:tc>
        <w:tc>
          <w:tcPr>
            <w:tcW w:w="0" w:type="dxa"/>
            <w:vAlign w:val="bottom"/>
          </w:tcPr>
          <w:p>
            <w:pPr>
              <w:spacing w:after="0"/>
              <w:rPr>
                <w:sz w:val="1"/>
                <w:szCs w:val="1"/>
                <w:color w:val="auto"/>
              </w:rPr>
            </w:pPr>
          </w:p>
        </w:tc>
      </w:tr>
      <w:tr>
        <w:trPr>
          <w:trHeight w:val="237"/>
        </w:trPr>
        <w:tc>
          <w:tcPr>
            <w:tcW w:w="2960" w:type="dxa"/>
            <w:vAlign w:val="bottom"/>
            <w:shd w:val="clear" w:color="auto" w:fill="CCEEFF"/>
          </w:tcPr>
          <w:p>
            <w:pPr>
              <w:ind w:left="20"/>
              <w:spacing w:after="0"/>
              <w:rPr>
                <w:sz w:val="20"/>
                <w:szCs w:val="20"/>
                <w:color w:val="auto"/>
              </w:rPr>
            </w:pPr>
            <w:r>
              <w:rPr>
                <w:rFonts w:ascii="Arial" w:cs="Arial" w:eastAsia="Arial" w:hAnsi="Arial"/>
                <w:sz w:val="20"/>
                <w:szCs w:val="20"/>
                <w:i w:val="1"/>
                <w:iCs w:val="1"/>
                <w:color w:val="auto"/>
              </w:rPr>
              <w:t>Less:</w:t>
            </w:r>
          </w:p>
        </w:tc>
        <w:tc>
          <w:tcPr>
            <w:tcW w:w="160" w:type="dxa"/>
            <w:vAlign w:val="bottom"/>
            <w:shd w:val="clear" w:color="auto" w:fill="CCEEFF"/>
          </w:tcPr>
          <w:p>
            <w:pPr>
              <w:spacing w:after="0"/>
              <w:rPr>
                <w:sz w:val="20"/>
                <w:szCs w:val="20"/>
                <w:color w:val="auto"/>
              </w:rPr>
            </w:pPr>
          </w:p>
        </w:tc>
        <w:tc>
          <w:tcPr>
            <w:tcW w:w="25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23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2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2960" w:type="dxa"/>
            <w:vAlign w:val="bottom"/>
          </w:tcPr>
          <w:p>
            <w:pPr>
              <w:ind w:left="20"/>
              <w:spacing w:after="0"/>
              <w:rPr>
                <w:sz w:val="20"/>
                <w:szCs w:val="20"/>
                <w:color w:val="auto"/>
              </w:rPr>
            </w:pPr>
            <w:r>
              <w:rPr>
                <w:rFonts w:ascii="Arial" w:cs="Arial" w:eastAsia="Arial" w:hAnsi="Arial"/>
                <w:sz w:val="20"/>
                <w:szCs w:val="20"/>
                <w:color w:val="auto"/>
              </w:rPr>
              <w:t>Product cost (1)</w:t>
            </w:r>
          </w:p>
        </w:tc>
        <w:tc>
          <w:tcPr>
            <w:tcW w:w="160" w:type="dxa"/>
            <w:vAlign w:val="bottom"/>
          </w:tcPr>
          <w:p>
            <w:pPr>
              <w:spacing w:after="0"/>
              <w:rPr>
                <w:sz w:val="22"/>
                <w:szCs w:val="22"/>
                <w:color w:val="auto"/>
              </w:rPr>
            </w:pPr>
          </w:p>
        </w:tc>
        <w:tc>
          <w:tcPr>
            <w:tcW w:w="2540" w:type="dxa"/>
            <w:vAlign w:val="bottom"/>
          </w:tcPr>
          <w:p>
            <w:pPr>
              <w:jc w:val="right"/>
              <w:spacing w:after="0"/>
              <w:rPr>
                <w:sz w:val="20"/>
                <w:szCs w:val="20"/>
                <w:color w:val="auto"/>
              </w:rPr>
            </w:pPr>
            <w:r>
              <w:rPr>
                <w:rFonts w:ascii="Arial" w:cs="Arial" w:eastAsia="Arial" w:hAnsi="Arial"/>
                <w:sz w:val="20"/>
                <w:szCs w:val="20"/>
                <w:color w:val="auto"/>
              </w:rPr>
              <w:t>560,535</w:t>
            </w:r>
          </w:p>
        </w:tc>
        <w:tc>
          <w:tcPr>
            <w:tcW w:w="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2300" w:type="dxa"/>
            <w:vAlign w:val="bottom"/>
          </w:tcPr>
          <w:p>
            <w:pPr>
              <w:jc w:val="right"/>
              <w:spacing w:after="0"/>
              <w:rPr>
                <w:sz w:val="20"/>
                <w:szCs w:val="20"/>
                <w:color w:val="auto"/>
              </w:rPr>
            </w:pPr>
            <w:r>
              <w:rPr>
                <w:rFonts w:ascii="Arial" w:cs="Arial" w:eastAsia="Arial" w:hAnsi="Arial"/>
                <w:sz w:val="20"/>
                <w:szCs w:val="20"/>
                <w:color w:val="auto"/>
              </w:rPr>
              <w:t>165,545</w:t>
            </w:r>
          </w:p>
        </w:tc>
        <w:tc>
          <w:tcPr>
            <w:tcW w:w="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120" w:type="dxa"/>
            <w:vAlign w:val="bottom"/>
          </w:tcPr>
          <w:p>
            <w:pPr>
              <w:jc w:val="right"/>
              <w:spacing w:after="0"/>
              <w:rPr>
                <w:sz w:val="20"/>
                <w:szCs w:val="20"/>
                <w:color w:val="auto"/>
              </w:rPr>
            </w:pPr>
            <w:r>
              <w:rPr>
                <w:rFonts w:ascii="Arial" w:cs="Arial" w:eastAsia="Arial" w:hAnsi="Arial"/>
                <w:sz w:val="20"/>
                <w:szCs w:val="20"/>
                <w:color w:val="auto"/>
              </w:rPr>
              <w:t>726,080</w:t>
            </w:r>
          </w:p>
        </w:tc>
        <w:tc>
          <w:tcPr>
            <w:tcW w:w="0" w:type="dxa"/>
            <w:vAlign w:val="bottom"/>
          </w:tcPr>
          <w:p>
            <w:pPr>
              <w:spacing w:after="0"/>
              <w:rPr>
                <w:sz w:val="1"/>
                <w:szCs w:val="1"/>
                <w:color w:val="auto"/>
              </w:rPr>
            </w:pPr>
          </w:p>
        </w:tc>
      </w:tr>
      <w:tr>
        <w:trPr>
          <w:trHeight w:val="194"/>
        </w:trPr>
        <w:tc>
          <w:tcPr>
            <w:tcW w:w="2960" w:type="dxa"/>
            <w:vAlign w:val="bottom"/>
            <w:shd w:val="clear" w:color="auto" w:fill="CCEEFF"/>
          </w:tcPr>
          <w:p>
            <w:pPr>
              <w:ind w:left="20"/>
              <w:spacing w:after="0" w:line="194" w:lineRule="exact"/>
              <w:rPr>
                <w:sz w:val="20"/>
                <w:szCs w:val="20"/>
                <w:color w:val="auto"/>
              </w:rPr>
            </w:pPr>
            <w:r>
              <w:rPr>
                <w:rFonts w:ascii="Arial" w:cs="Arial" w:eastAsia="Arial" w:hAnsi="Arial"/>
                <w:sz w:val="20"/>
                <w:szCs w:val="20"/>
                <w:color w:val="auto"/>
              </w:rPr>
              <w:t>Amortization of developed</w:t>
            </w:r>
          </w:p>
        </w:tc>
        <w:tc>
          <w:tcPr>
            <w:tcW w:w="160" w:type="dxa"/>
            <w:vAlign w:val="bottom"/>
            <w:shd w:val="clear" w:color="auto" w:fill="CCEEFF"/>
          </w:tcPr>
          <w:p>
            <w:pPr>
              <w:spacing w:after="0"/>
              <w:rPr>
                <w:sz w:val="16"/>
                <w:szCs w:val="16"/>
                <w:color w:val="auto"/>
              </w:rPr>
            </w:pPr>
          </w:p>
        </w:tc>
        <w:tc>
          <w:tcPr>
            <w:tcW w:w="2540" w:type="dxa"/>
            <w:vAlign w:val="bottom"/>
            <w:vMerge w:val="restart"/>
            <w:shd w:val="clear" w:color="auto" w:fill="CCEEFF"/>
          </w:tcPr>
          <w:p>
            <w:pPr>
              <w:jc w:val="right"/>
              <w:spacing w:after="0"/>
              <w:rPr>
                <w:sz w:val="20"/>
                <w:szCs w:val="20"/>
                <w:color w:val="auto"/>
              </w:rPr>
            </w:pPr>
            <w:r>
              <w:rPr>
                <w:rFonts w:ascii="Arial" w:cs="Arial" w:eastAsia="Arial" w:hAnsi="Arial"/>
                <w:sz w:val="20"/>
                <w:szCs w:val="20"/>
                <w:color w:val="auto"/>
              </w:rPr>
              <w:t>11,713</w:t>
            </w:r>
          </w:p>
        </w:tc>
        <w:tc>
          <w:tcPr>
            <w:tcW w:w="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23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20"/>
                <w:szCs w:val="20"/>
                <w:color w:val="auto"/>
              </w:rPr>
              <w:t>—</w:t>
            </w:r>
          </w:p>
        </w:tc>
        <w:tc>
          <w:tcPr>
            <w:tcW w:w="600" w:type="dxa"/>
            <w:vAlign w:val="bottom"/>
            <w:shd w:val="clear" w:color="auto" w:fill="CCEEFF"/>
          </w:tcPr>
          <w:p>
            <w:pPr>
              <w:spacing w:after="0"/>
              <w:rPr>
                <w:sz w:val="16"/>
                <w:szCs w:val="16"/>
                <w:color w:val="auto"/>
              </w:rPr>
            </w:pPr>
          </w:p>
        </w:tc>
        <w:tc>
          <w:tcPr>
            <w:tcW w:w="2120" w:type="dxa"/>
            <w:vAlign w:val="bottom"/>
            <w:vMerge w:val="restart"/>
            <w:shd w:val="clear" w:color="auto" w:fill="CCEEFF"/>
          </w:tcPr>
          <w:p>
            <w:pPr>
              <w:jc w:val="right"/>
              <w:spacing w:after="0"/>
              <w:rPr>
                <w:sz w:val="20"/>
                <w:szCs w:val="20"/>
                <w:color w:val="auto"/>
              </w:rPr>
            </w:pPr>
            <w:r>
              <w:rPr>
                <w:rFonts w:ascii="Arial" w:cs="Arial" w:eastAsia="Arial" w:hAnsi="Arial"/>
                <w:sz w:val="20"/>
                <w:szCs w:val="20"/>
                <w:color w:val="auto"/>
              </w:rPr>
              <w:t>11,713</w:t>
            </w:r>
          </w:p>
        </w:tc>
        <w:tc>
          <w:tcPr>
            <w:tcW w:w="0" w:type="dxa"/>
            <w:vAlign w:val="bottom"/>
          </w:tcPr>
          <w:p>
            <w:pPr>
              <w:spacing w:after="0"/>
              <w:rPr>
                <w:sz w:val="1"/>
                <w:szCs w:val="1"/>
                <w:color w:val="auto"/>
              </w:rPr>
            </w:pPr>
          </w:p>
        </w:tc>
      </w:tr>
      <w:tr>
        <w:trPr>
          <w:trHeight w:val="251"/>
        </w:trPr>
        <w:tc>
          <w:tcPr>
            <w:tcW w:w="2960" w:type="dxa"/>
            <w:vAlign w:val="bottom"/>
            <w:shd w:val="clear" w:color="auto" w:fill="CCEEFF"/>
          </w:tcPr>
          <w:p>
            <w:pPr>
              <w:ind w:left="20"/>
              <w:spacing w:after="0"/>
              <w:rPr>
                <w:sz w:val="20"/>
                <w:szCs w:val="20"/>
                <w:color w:val="auto"/>
              </w:rPr>
            </w:pPr>
            <w:r>
              <w:rPr>
                <w:rFonts w:ascii="Arial" w:cs="Arial" w:eastAsia="Arial" w:hAnsi="Arial"/>
                <w:sz w:val="20"/>
                <w:szCs w:val="20"/>
                <w:color w:val="auto"/>
              </w:rPr>
              <w:t>technology and backlog</w:t>
            </w:r>
          </w:p>
        </w:tc>
        <w:tc>
          <w:tcPr>
            <w:tcW w:w="160" w:type="dxa"/>
            <w:vAlign w:val="bottom"/>
            <w:shd w:val="clear" w:color="auto" w:fill="CCEEFF"/>
          </w:tcPr>
          <w:p>
            <w:pPr>
              <w:spacing w:after="0"/>
              <w:rPr>
                <w:sz w:val="21"/>
                <w:szCs w:val="21"/>
                <w:color w:val="auto"/>
              </w:rPr>
            </w:pPr>
          </w:p>
        </w:tc>
        <w:tc>
          <w:tcPr>
            <w:tcW w:w="2540" w:type="dxa"/>
            <w:vAlign w:val="bottom"/>
            <w:vMerge w:val="continue"/>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2380" w:type="dxa"/>
            <w:vAlign w:val="bottom"/>
            <w:gridSpan w:val="2"/>
            <w:vMerge w:val="continue"/>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212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2960" w:type="dxa"/>
            <w:vAlign w:val="bottom"/>
          </w:tcPr>
          <w:p>
            <w:pPr>
              <w:ind w:left="20"/>
              <w:spacing w:after="0"/>
              <w:rPr>
                <w:sz w:val="20"/>
                <w:szCs w:val="20"/>
                <w:color w:val="auto"/>
              </w:rPr>
            </w:pPr>
            <w:r>
              <w:rPr>
                <w:rFonts w:ascii="Arial" w:cs="Arial" w:eastAsia="Arial" w:hAnsi="Arial"/>
                <w:sz w:val="20"/>
                <w:szCs w:val="20"/>
                <w:color w:val="auto"/>
              </w:rPr>
              <w:t>Depreciation</w:t>
            </w:r>
          </w:p>
        </w:tc>
        <w:tc>
          <w:tcPr>
            <w:tcW w:w="160" w:type="dxa"/>
            <w:vAlign w:val="bottom"/>
          </w:tcPr>
          <w:p>
            <w:pPr>
              <w:spacing w:after="0"/>
              <w:rPr>
                <w:sz w:val="22"/>
                <w:szCs w:val="22"/>
                <w:color w:val="auto"/>
              </w:rPr>
            </w:pPr>
          </w:p>
        </w:tc>
        <w:tc>
          <w:tcPr>
            <w:tcW w:w="2540" w:type="dxa"/>
            <w:vAlign w:val="bottom"/>
          </w:tcPr>
          <w:p>
            <w:pPr>
              <w:jc w:val="right"/>
              <w:spacing w:after="0"/>
              <w:rPr>
                <w:sz w:val="20"/>
                <w:szCs w:val="20"/>
                <w:color w:val="auto"/>
              </w:rPr>
            </w:pPr>
            <w:r>
              <w:rPr>
                <w:rFonts w:ascii="Arial" w:cs="Arial" w:eastAsia="Arial" w:hAnsi="Arial"/>
                <w:sz w:val="20"/>
                <w:szCs w:val="20"/>
                <w:color w:val="auto"/>
              </w:rPr>
              <w:t>1,973</w:t>
            </w:r>
          </w:p>
        </w:tc>
        <w:tc>
          <w:tcPr>
            <w:tcW w:w="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2380" w:type="dxa"/>
            <w:vAlign w:val="bottom"/>
            <w:gridSpan w:val="2"/>
          </w:tcPr>
          <w:p>
            <w:pPr>
              <w:jc w:val="right"/>
              <w:ind w:right="160"/>
              <w:spacing w:after="0"/>
              <w:rPr>
                <w:sz w:val="20"/>
                <w:szCs w:val="20"/>
                <w:color w:val="auto"/>
              </w:rPr>
            </w:pPr>
            <w:r>
              <w:rPr>
                <w:rFonts w:ascii="Arial" w:cs="Arial" w:eastAsia="Arial" w:hAnsi="Arial"/>
                <w:sz w:val="20"/>
                <w:szCs w:val="20"/>
                <w:color w:val="auto"/>
              </w:rPr>
              <w:t>—</w:t>
            </w:r>
          </w:p>
        </w:tc>
        <w:tc>
          <w:tcPr>
            <w:tcW w:w="600" w:type="dxa"/>
            <w:vAlign w:val="bottom"/>
          </w:tcPr>
          <w:p>
            <w:pPr>
              <w:spacing w:after="0"/>
              <w:rPr>
                <w:sz w:val="22"/>
                <w:szCs w:val="22"/>
                <w:color w:val="auto"/>
              </w:rPr>
            </w:pPr>
          </w:p>
        </w:tc>
        <w:tc>
          <w:tcPr>
            <w:tcW w:w="2120" w:type="dxa"/>
            <w:vAlign w:val="bottom"/>
          </w:tcPr>
          <w:p>
            <w:pPr>
              <w:jc w:val="right"/>
              <w:spacing w:after="0"/>
              <w:rPr>
                <w:sz w:val="20"/>
                <w:szCs w:val="20"/>
                <w:color w:val="auto"/>
              </w:rPr>
            </w:pPr>
            <w:r>
              <w:rPr>
                <w:rFonts w:ascii="Arial" w:cs="Arial" w:eastAsia="Arial" w:hAnsi="Arial"/>
                <w:sz w:val="20"/>
                <w:szCs w:val="20"/>
                <w:color w:val="auto"/>
              </w:rPr>
              <w:t>1,973</w:t>
            </w:r>
          </w:p>
        </w:tc>
        <w:tc>
          <w:tcPr>
            <w:tcW w:w="0" w:type="dxa"/>
            <w:vAlign w:val="bottom"/>
          </w:tcPr>
          <w:p>
            <w:pPr>
              <w:spacing w:after="0"/>
              <w:rPr>
                <w:sz w:val="1"/>
                <w:szCs w:val="1"/>
                <w:color w:val="auto"/>
              </w:rPr>
            </w:pPr>
          </w:p>
        </w:tc>
      </w:tr>
      <w:tr>
        <w:trPr>
          <w:trHeight w:val="257"/>
        </w:trPr>
        <w:tc>
          <w:tcPr>
            <w:tcW w:w="2960" w:type="dxa"/>
            <w:vAlign w:val="bottom"/>
            <w:shd w:val="clear" w:color="auto" w:fill="CCEEFF"/>
          </w:tcPr>
          <w:p>
            <w:pPr>
              <w:ind w:left="20"/>
              <w:spacing w:after="0"/>
              <w:rPr>
                <w:sz w:val="20"/>
                <w:szCs w:val="20"/>
                <w:color w:val="auto"/>
              </w:rPr>
            </w:pPr>
            <w:r>
              <w:rPr>
                <w:rFonts w:ascii="Arial" w:cs="Arial" w:eastAsia="Arial" w:hAnsi="Arial"/>
                <w:sz w:val="20"/>
                <w:szCs w:val="20"/>
                <w:color w:val="auto"/>
              </w:rPr>
              <w:t>Other costs (2)</w:t>
            </w:r>
          </w:p>
        </w:tc>
        <w:tc>
          <w:tcPr>
            <w:tcW w:w="160" w:type="dxa"/>
            <w:vAlign w:val="bottom"/>
            <w:tcBorders>
              <w:bottom w:val="single" w:sz="8" w:color="auto"/>
            </w:tcBorders>
            <w:shd w:val="clear" w:color="auto" w:fill="CCEEFF"/>
          </w:tcPr>
          <w:p>
            <w:pPr>
              <w:spacing w:after="0"/>
              <w:rPr>
                <w:sz w:val="22"/>
                <w:szCs w:val="22"/>
                <w:color w:val="auto"/>
              </w:rPr>
            </w:pPr>
          </w:p>
        </w:tc>
        <w:tc>
          <w:tcPr>
            <w:tcW w:w="2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32,440</w:t>
            </w:r>
          </w:p>
        </w:tc>
        <w:tc>
          <w:tcPr>
            <w:tcW w:w="80" w:type="dxa"/>
            <w:vAlign w:val="bottom"/>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spacing w:after="0"/>
              <w:rPr>
                <w:sz w:val="22"/>
                <w:szCs w:val="22"/>
                <w:color w:val="auto"/>
              </w:rPr>
            </w:pPr>
          </w:p>
        </w:tc>
        <w:tc>
          <w:tcPr>
            <w:tcW w:w="2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6,668</w:t>
            </w:r>
          </w:p>
        </w:tc>
        <w:tc>
          <w:tcPr>
            <w:tcW w:w="80" w:type="dxa"/>
            <w:vAlign w:val="bottom"/>
            <w:shd w:val="clear" w:color="auto" w:fill="CCEEFF"/>
          </w:tcPr>
          <w:p>
            <w:pPr>
              <w:spacing w:after="0"/>
              <w:rPr>
                <w:sz w:val="22"/>
                <w:szCs w:val="22"/>
                <w:color w:val="auto"/>
              </w:rPr>
            </w:pPr>
          </w:p>
        </w:tc>
        <w:tc>
          <w:tcPr>
            <w:tcW w:w="600" w:type="dxa"/>
            <w:vAlign w:val="bottom"/>
            <w:tcBorders>
              <w:bottom w:val="single" w:sz="8" w:color="auto"/>
            </w:tcBorders>
            <w:shd w:val="clear" w:color="auto" w:fill="CCEEFF"/>
          </w:tcPr>
          <w:p>
            <w:pPr>
              <w:spacing w:after="0"/>
              <w:rPr>
                <w:sz w:val="22"/>
                <w:szCs w:val="22"/>
                <w:color w:val="auto"/>
              </w:rPr>
            </w:pPr>
          </w:p>
        </w:tc>
        <w:tc>
          <w:tcPr>
            <w:tcW w:w="2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39,108</w:t>
            </w:r>
          </w:p>
        </w:tc>
        <w:tc>
          <w:tcPr>
            <w:tcW w:w="0" w:type="dxa"/>
            <w:vAlign w:val="bottom"/>
          </w:tcPr>
          <w:p>
            <w:pPr>
              <w:spacing w:after="0"/>
              <w:rPr>
                <w:sz w:val="1"/>
                <w:szCs w:val="1"/>
                <w:color w:val="auto"/>
              </w:rPr>
            </w:pPr>
          </w:p>
        </w:tc>
      </w:tr>
      <w:tr>
        <w:trPr>
          <w:trHeight w:val="250"/>
        </w:trPr>
        <w:tc>
          <w:tcPr>
            <w:tcW w:w="2960" w:type="dxa"/>
            <w:vAlign w:val="bottom"/>
          </w:tcPr>
          <w:p>
            <w:pPr>
              <w:ind w:left="20"/>
              <w:spacing w:after="0"/>
              <w:rPr>
                <w:sz w:val="20"/>
                <w:szCs w:val="20"/>
                <w:color w:val="auto"/>
              </w:rPr>
            </w:pPr>
            <w:r>
              <w:rPr>
                <w:rFonts w:ascii="Arial" w:cs="Arial" w:eastAsia="Arial" w:hAnsi="Arial"/>
                <w:sz w:val="20"/>
                <w:szCs w:val="20"/>
                <w:b w:val="1"/>
                <w:bCs w:val="1"/>
                <w:color w:val="auto"/>
              </w:rPr>
              <w:t>Gross profit</w:t>
            </w:r>
          </w:p>
        </w:tc>
        <w:tc>
          <w:tcPr>
            <w:tcW w:w="160" w:type="dxa"/>
            <w:vAlign w:val="bottom"/>
          </w:tcPr>
          <w:p>
            <w:pPr>
              <w:spacing w:after="0"/>
              <w:rPr>
                <w:sz w:val="21"/>
                <w:szCs w:val="21"/>
                <w:color w:val="auto"/>
              </w:rPr>
            </w:pPr>
          </w:p>
        </w:tc>
        <w:tc>
          <w:tcPr>
            <w:tcW w:w="2540" w:type="dxa"/>
            <w:vAlign w:val="bottom"/>
          </w:tcPr>
          <w:p>
            <w:pPr>
              <w:jc w:val="right"/>
              <w:spacing w:after="0"/>
              <w:rPr>
                <w:sz w:val="20"/>
                <w:szCs w:val="20"/>
                <w:color w:val="auto"/>
              </w:rPr>
            </w:pPr>
            <w:r>
              <w:rPr>
                <w:rFonts w:ascii="Arial" w:cs="Arial" w:eastAsia="Arial" w:hAnsi="Arial"/>
                <w:sz w:val="20"/>
                <w:szCs w:val="20"/>
                <w:color w:val="auto"/>
              </w:rPr>
              <w:t>251,813</w:t>
            </w: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300" w:type="dxa"/>
            <w:vAlign w:val="bottom"/>
          </w:tcPr>
          <w:p>
            <w:pPr>
              <w:jc w:val="right"/>
              <w:spacing w:after="0"/>
              <w:rPr>
                <w:sz w:val="20"/>
                <w:szCs w:val="20"/>
                <w:color w:val="auto"/>
              </w:rPr>
            </w:pPr>
            <w:r>
              <w:rPr>
                <w:rFonts w:ascii="Arial" w:cs="Arial" w:eastAsia="Arial" w:hAnsi="Arial"/>
                <w:sz w:val="20"/>
                <w:szCs w:val="20"/>
                <w:color w:val="auto"/>
              </w:rPr>
              <w:t>27,410</w:t>
            </w:r>
          </w:p>
        </w:tc>
        <w:tc>
          <w:tcPr>
            <w:tcW w:w="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120" w:type="dxa"/>
            <w:vAlign w:val="bottom"/>
          </w:tcPr>
          <w:p>
            <w:pPr>
              <w:jc w:val="right"/>
              <w:spacing w:after="0"/>
              <w:rPr>
                <w:sz w:val="20"/>
                <w:szCs w:val="20"/>
                <w:color w:val="auto"/>
              </w:rPr>
            </w:pPr>
            <w:r>
              <w:rPr>
                <w:rFonts w:ascii="Arial" w:cs="Arial" w:eastAsia="Arial" w:hAnsi="Arial"/>
                <w:sz w:val="20"/>
                <w:szCs w:val="20"/>
                <w:color w:val="auto"/>
              </w:rPr>
              <w:t>279,223</w:t>
            </w:r>
          </w:p>
        </w:tc>
        <w:tc>
          <w:tcPr>
            <w:tcW w:w="0" w:type="dxa"/>
            <w:vAlign w:val="bottom"/>
          </w:tcPr>
          <w:p>
            <w:pPr>
              <w:spacing w:after="0"/>
              <w:rPr>
                <w:sz w:val="1"/>
                <w:szCs w:val="1"/>
                <w:color w:val="auto"/>
              </w:rPr>
            </w:pPr>
          </w:p>
        </w:tc>
      </w:tr>
      <w:tr>
        <w:trPr>
          <w:trHeight w:val="270"/>
        </w:trPr>
        <w:tc>
          <w:tcPr>
            <w:tcW w:w="296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25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23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600" w:type="dxa"/>
            <w:vAlign w:val="bottom"/>
            <w:shd w:val="clear" w:color="auto" w:fill="CCEEFF"/>
          </w:tcPr>
          <w:p>
            <w:pPr>
              <w:spacing w:after="0"/>
              <w:rPr>
                <w:sz w:val="23"/>
                <w:szCs w:val="23"/>
                <w:color w:val="auto"/>
              </w:rPr>
            </w:pPr>
          </w:p>
        </w:tc>
        <w:tc>
          <w:tcPr>
            <w:tcW w:w="21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2960" w:type="dxa"/>
            <w:vAlign w:val="bottom"/>
          </w:tcPr>
          <w:p>
            <w:pPr>
              <w:ind w:left="20"/>
              <w:spacing w:after="0"/>
              <w:rPr>
                <w:sz w:val="20"/>
                <w:szCs w:val="20"/>
                <w:color w:val="auto"/>
              </w:rPr>
            </w:pPr>
            <w:r>
              <w:rPr>
                <w:rFonts w:ascii="Arial" w:cs="Arial" w:eastAsia="Arial" w:hAnsi="Arial"/>
                <w:sz w:val="20"/>
                <w:szCs w:val="20"/>
                <w:color w:val="auto"/>
              </w:rPr>
              <w:t>Total operating expenses</w:t>
            </w:r>
          </w:p>
        </w:tc>
        <w:tc>
          <w:tcPr>
            <w:tcW w:w="160" w:type="dxa"/>
            <w:vAlign w:val="bottom"/>
          </w:tcPr>
          <w:p>
            <w:pPr>
              <w:spacing w:after="0"/>
              <w:rPr>
                <w:sz w:val="22"/>
                <w:szCs w:val="22"/>
                <w:color w:val="auto"/>
              </w:rPr>
            </w:pPr>
          </w:p>
        </w:tc>
        <w:tc>
          <w:tcPr>
            <w:tcW w:w="2620" w:type="dxa"/>
            <w:vAlign w:val="bottom"/>
            <w:gridSpan w:val="2"/>
          </w:tcPr>
          <w:p>
            <w:pPr>
              <w:jc w:val="right"/>
              <w:ind w:right="160"/>
              <w:spacing w:after="0"/>
              <w:rPr>
                <w:sz w:val="20"/>
                <w:szCs w:val="20"/>
                <w:color w:val="auto"/>
              </w:rPr>
            </w:pPr>
            <w:r>
              <w:rPr>
                <w:rFonts w:ascii="Arial" w:cs="Arial" w:eastAsia="Arial" w:hAnsi="Arial"/>
                <w:sz w:val="20"/>
                <w:szCs w:val="20"/>
                <w:color w:val="auto"/>
              </w:rPr>
              <w:t>—</w:t>
            </w:r>
          </w:p>
        </w:tc>
        <w:tc>
          <w:tcPr>
            <w:tcW w:w="400" w:type="dxa"/>
            <w:vAlign w:val="bottom"/>
          </w:tcPr>
          <w:p>
            <w:pPr>
              <w:spacing w:after="0"/>
              <w:rPr>
                <w:sz w:val="22"/>
                <w:szCs w:val="22"/>
                <w:color w:val="auto"/>
              </w:rPr>
            </w:pPr>
          </w:p>
        </w:tc>
        <w:tc>
          <w:tcPr>
            <w:tcW w:w="2380" w:type="dxa"/>
            <w:vAlign w:val="bottom"/>
            <w:gridSpan w:val="2"/>
          </w:tcPr>
          <w:p>
            <w:pPr>
              <w:jc w:val="right"/>
              <w:ind w:right="160"/>
              <w:spacing w:after="0"/>
              <w:rPr>
                <w:sz w:val="20"/>
                <w:szCs w:val="20"/>
                <w:color w:val="auto"/>
              </w:rPr>
            </w:pPr>
            <w:r>
              <w:rPr>
                <w:rFonts w:ascii="Arial" w:cs="Arial" w:eastAsia="Arial" w:hAnsi="Arial"/>
                <w:sz w:val="20"/>
                <w:szCs w:val="20"/>
                <w:color w:val="auto"/>
              </w:rPr>
              <w:t>—</w:t>
            </w:r>
          </w:p>
        </w:tc>
        <w:tc>
          <w:tcPr>
            <w:tcW w:w="600" w:type="dxa"/>
            <w:vAlign w:val="bottom"/>
          </w:tcPr>
          <w:p>
            <w:pPr>
              <w:spacing w:after="0"/>
              <w:rPr>
                <w:sz w:val="22"/>
                <w:szCs w:val="22"/>
                <w:color w:val="auto"/>
              </w:rPr>
            </w:pPr>
          </w:p>
        </w:tc>
        <w:tc>
          <w:tcPr>
            <w:tcW w:w="2120" w:type="dxa"/>
            <w:vAlign w:val="bottom"/>
          </w:tcPr>
          <w:p>
            <w:pPr>
              <w:jc w:val="right"/>
              <w:spacing w:after="0"/>
              <w:rPr>
                <w:sz w:val="20"/>
                <w:szCs w:val="20"/>
                <w:color w:val="auto"/>
              </w:rPr>
            </w:pPr>
            <w:r>
              <w:rPr>
                <w:rFonts w:ascii="Arial" w:cs="Arial" w:eastAsia="Arial" w:hAnsi="Arial"/>
                <w:sz w:val="20"/>
                <w:szCs w:val="20"/>
                <w:color w:val="auto"/>
              </w:rPr>
              <w:t>(160,112)</w:t>
            </w:r>
          </w:p>
        </w:tc>
        <w:tc>
          <w:tcPr>
            <w:tcW w:w="0" w:type="dxa"/>
            <w:vAlign w:val="bottom"/>
          </w:tcPr>
          <w:p>
            <w:pPr>
              <w:spacing w:after="0"/>
              <w:rPr>
                <w:sz w:val="1"/>
                <w:szCs w:val="1"/>
                <w:color w:val="auto"/>
              </w:rPr>
            </w:pPr>
          </w:p>
        </w:tc>
      </w:tr>
      <w:tr>
        <w:trPr>
          <w:trHeight w:val="256"/>
        </w:trPr>
        <w:tc>
          <w:tcPr>
            <w:tcW w:w="2960" w:type="dxa"/>
            <w:vAlign w:val="bottom"/>
            <w:shd w:val="clear" w:color="auto" w:fill="CCEEFF"/>
          </w:tcPr>
          <w:p>
            <w:pPr>
              <w:ind w:left="20"/>
              <w:spacing w:after="0"/>
              <w:rPr>
                <w:sz w:val="20"/>
                <w:szCs w:val="20"/>
                <w:color w:val="auto"/>
              </w:rPr>
            </w:pPr>
            <w:r>
              <w:rPr>
                <w:rFonts w:ascii="Arial" w:cs="Arial" w:eastAsia="Arial" w:hAnsi="Arial"/>
                <w:sz w:val="20"/>
                <w:szCs w:val="20"/>
                <w:color w:val="auto"/>
              </w:rPr>
              <w:t>Total other income, net</w:t>
            </w:r>
          </w:p>
        </w:tc>
        <w:tc>
          <w:tcPr>
            <w:tcW w:w="160" w:type="dxa"/>
            <w:vAlign w:val="bottom"/>
            <w:shd w:val="clear" w:color="auto" w:fill="CCEEFF"/>
          </w:tcPr>
          <w:p>
            <w:pPr>
              <w:spacing w:after="0"/>
              <w:rPr>
                <w:sz w:val="22"/>
                <w:szCs w:val="22"/>
                <w:color w:val="auto"/>
              </w:rPr>
            </w:pPr>
          </w:p>
        </w:tc>
        <w:tc>
          <w:tcPr>
            <w:tcW w:w="2620" w:type="dxa"/>
            <w:vAlign w:val="bottom"/>
            <w:gridSpan w:val="2"/>
            <w:shd w:val="clear" w:color="auto" w:fill="CCEEFF"/>
          </w:tcPr>
          <w:p>
            <w:pPr>
              <w:jc w:val="right"/>
              <w:ind w:right="160"/>
              <w:spacing w:after="0"/>
              <w:rPr>
                <w:sz w:val="20"/>
                <w:szCs w:val="20"/>
                <w:color w:val="auto"/>
              </w:rPr>
            </w:pPr>
            <w:r>
              <w:rPr>
                <w:rFonts w:ascii="Arial" w:cs="Arial" w:eastAsia="Arial" w:hAnsi="Arial"/>
                <w:sz w:val="20"/>
                <w:szCs w:val="20"/>
                <w:color w:val="auto"/>
              </w:rPr>
              <w:t>—</w:t>
            </w:r>
          </w:p>
        </w:tc>
        <w:tc>
          <w:tcPr>
            <w:tcW w:w="400" w:type="dxa"/>
            <w:vAlign w:val="bottom"/>
            <w:shd w:val="clear" w:color="auto" w:fill="CCEEFF"/>
          </w:tcPr>
          <w:p>
            <w:pPr>
              <w:spacing w:after="0"/>
              <w:rPr>
                <w:sz w:val="22"/>
                <w:szCs w:val="22"/>
                <w:color w:val="auto"/>
              </w:rPr>
            </w:pPr>
          </w:p>
        </w:tc>
        <w:tc>
          <w:tcPr>
            <w:tcW w:w="2380" w:type="dxa"/>
            <w:vAlign w:val="bottom"/>
            <w:gridSpan w:val="2"/>
            <w:shd w:val="clear" w:color="auto" w:fill="CCEEFF"/>
          </w:tcPr>
          <w:p>
            <w:pPr>
              <w:jc w:val="right"/>
              <w:ind w:right="160"/>
              <w:spacing w:after="0"/>
              <w:rPr>
                <w:sz w:val="20"/>
                <w:szCs w:val="20"/>
                <w:color w:val="auto"/>
              </w:rPr>
            </w:pPr>
            <w:r>
              <w:rPr>
                <w:rFonts w:ascii="Arial" w:cs="Arial" w:eastAsia="Arial" w:hAnsi="Arial"/>
                <w:sz w:val="20"/>
                <w:szCs w:val="20"/>
                <w:color w:val="auto"/>
              </w:rPr>
              <w:t>—</w:t>
            </w:r>
          </w:p>
        </w:tc>
        <w:tc>
          <w:tcPr>
            <w:tcW w:w="600" w:type="dxa"/>
            <w:vAlign w:val="bottom"/>
            <w:tcBorders>
              <w:bottom w:val="single" w:sz="8" w:color="auto"/>
            </w:tcBorders>
            <w:shd w:val="clear" w:color="auto" w:fill="CCEEFF"/>
          </w:tcPr>
          <w:p>
            <w:pPr>
              <w:spacing w:after="0"/>
              <w:rPr>
                <w:sz w:val="22"/>
                <w:szCs w:val="22"/>
                <w:color w:val="auto"/>
              </w:rPr>
            </w:pPr>
          </w:p>
        </w:tc>
        <w:tc>
          <w:tcPr>
            <w:tcW w:w="2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4,492</w:t>
            </w:r>
          </w:p>
        </w:tc>
        <w:tc>
          <w:tcPr>
            <w:tcW w:w="0" w:type="dxa"/>
            <w:vAlign w:val="bottom"/>
          </w:tcPr>
          <w:p>
            <w:pPr>
              <w:spacing w:after="0"/>
              <w:rPr>
                <w:sz w:val="1"/>
                <w:szCs w:val="1"/>
                <w:color w:val="auto"/>
              </w:rPr>
            </w:pPr>
          </w:p>
        </w:tc>
      </w:tr>
      <w:tr>
        <w:trPr>
          <w:trHeight w:val="250"/>
        </w:trPr>
        <w:tc>
          <w:tcPr>
            <w:tcW w:w="2960" w:type="dxa"/>
            <w:vAlign w:val="bottom"/>
          </w:tcPr>
          <w:p>
            <w:pPr>
              <w:ind w:left="20"/>
              <w:spacing w:after="0"/>
              <w:rPr>
                <w:sz w:val="20"/>
                <w:szCs w:val="20"/>
                <w:color w:val="auto"/>
              </w:rPr>
            </w:pPr>
            <w:r>
              <w:rPr>
                <w:rFonts w:ascii="Arial" w:cs="Arial" w:eastAsia="Arial" w:hAnsi="Arial"/>
                <w:sz w:val="20"/>
                <w:szCs w:val="20"/>
                <w:b w:val="1"/>
                <w:bCs w:val="1"/>
                <w:color w:val="auto"/>
              </w:rPr>
              <w:t>Income before income taxes</w:t>
            </w:r>
          </w:p>
        </w:tc>
        <w:tc>
          <w:tcPr>
            <w:tcW w:w="160" w:type="dxa"/>
            <w:vAlign w:val="bottom"/>
          </w:tcPr>
          <w:p>
            <w:pPr>
              <w:spacing w:after="0"/>
              <w:rPr>
                <w:sz w:val="21"/>
                <w:szCs w:val="21"/>
                <w:color w:val="auto"/>
              </w:rPr>
            </w:pPr>
          </w:p>
        </w:tc>
        <w:tc>
          <w:tcPr>
            <w:tcW w:w="25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3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0" w:type="dxa"/>
            <w:vAlign w:val="bottom"/>
            <w:tcBorders>
              <w:bottom w:val="single" w:sz="8" w:color="auto"/>
            </w:tcBorders>
          </w:tcPr>
          <w:p>
            <w:pPr>
              <w:jc w:val="right"/>
              <w:ind w:right="361"/>
              <w:spacing w:after="0"/>
              <w:rPr>
                <w:sz w:val="20"/>
                <w:szCs w:val="20"/>
                <w:color w:val="auto"/>
              </w:rPr>
            </w:pPr>
            <w:r>
              <w:rPr>
                <w:rFonts w:ascii="Arial" w:cs="Arial" w:eastAsia="Arial" w:hAnsi="Arial"/>
                <w:sz w:val="20"/>
                <w:szCs w:val="20"/>
                <w:color w:val="auto"/>
              </w:rPr>
              <w:t>$</w:t>
            </w:r>
          </w:p>
        </w:tc>
        <w:tc>
          <w:tcPr>
            <w:tcW w:w="21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123,603</w:t>
            </w:r>
          </w:p>
        </w:tc>
        <w:tc>
          <w:tcPr>
            <w:tcW w:w="0" w:type="dxa"/>
            <w:vAlign w:val="bottom"/>
          </w:tcPr>
          <w:p>
            <w:pPr>
              <w:spacing w:after="0"/>
              <w:rPr>
                <w:sz w:val="1"/>
                <w:szCs w:val="1"/>
                <w:color w:val="auto"/>
              </w:rPr>
            </w:pPr>
          </w:p>
        </w:tc>
      </w:tr>
      <w:tr>
        <w:trPr>
          <w:trHeight w:val="20"/>
        </w:trPr>
        <w:tc>
          <w:tcPr>
            <w:tcW w:w="296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25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CCEEFF"/>
            </w:tcBorders>
          </w:tcPr>
          <w:p>
            <w:pPr>
              <w:spacing w:after="0" w:line="20" w:lineRule="exact"/>
              <w:rPr>
                <w:sz w:val="1"/>
                <w:szCs w:val="1"/>
                <w:color w:val="auto"/>
              </w:rPr>
            </w:pPr>
          </w:p>
        </w:tc>
        <w:tc>
          <w:tcPr>
            <w:tcW w:w="23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9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25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23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2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2960" w:type="dxa"/>
            <w:vAlign w:val="bottom"/>
          </w:tcPr>
          <w:p>
            <w:pPr>
              <w:ind w:left="20"/>
              <w:spacing w:after="0"/>
              <w:rPr>
                <w:sz w:val="20"/>
                <w:szCs w:val="20"/>
                <w:color w:val="auto"/>
              </w:rPr>
            </w:pPr>
            <w:r>
              <w:rPr>
                <w:rFonts w:ascii="Arial" w:cs="Arial" w:eastAsia="Arial" w:hAnsi="Arial"/>
                <w:sz w:val="20"/>
                <w:szCs w:val="20"/>
                <w:color w:val="auto"/>
              </w:rPr>
              <w:t>Segment assets</w:t>
            </w:r>
          </w:p>
        </w:tc>
        <w:tc>
          <w:tcPr>
            <w:tcW w:w="160" w:type="dxa"/>
            <w:vAlign w:val="bottom"/>
          </w:tcPr>
          <w:p>
            <w:pPr>
              <w:spacing w:after="0"/>
              <w:rPr>
                <w:sz w:val="22"/>
                <w:szCs w:val="22"/>
                <w:color w:val="auto"/>
              </w:rPr>
            </w:pPr>
          </w:p>
        </w:tc>
        <w:tc>
          <w:tcPr>
            <w:tcW w:w="2540" w:type="dxa"/>
            <w:vAlign w:val="bottom"/>
          </w:tcPr>
          <w:p>
            <w:pPr>
              <w:jc w:val="right"/>
              <w:spacing w:after="0"/>
              <w:rPr>
                <w:sz w:val="20"/>
                <w:szCs w:val="20"/>
                <w:color w:val="auto"/>
              </w:rPr>
            </w:pPr>
            <w:r>
              <w:rPr>
                <w:rFonts w:ascii="Arial" w:cs="Arial" w:eastAsia="Arial" w:hAnsi="Arial"/>
                <w:sz w:val="20"/>
                <w:szCs w:val="20"/>
                <w:color w:val="auto"/>
              </w:rPr>
              <w:t>1,211,117</w:t>
            </w:r>
          </w:p>
        </w:tc>
        <w:tc>
          <w:tcPr>
            <w:tcW w:w="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2300" w:type="dxa"/>
            <w:vAlign w:val="bottom"/>
          </w:tcPr>
          <w:p>
            <w:pPr>
              <w:jc w:val="right"/>
              <w:spacing w:after="0"/>
              <w:rPr>
                <w:sz w:val="20"/>
                <w:szCs w:val="20"/>
                <w:color w:val="auto"/>
              </w:rPr>
            </w:pPr>
            <w:r>
              <w:rPr>
                <w:rFonts w:ascii="Arial" w:cs="Arial" w:eastAsia="Arial" w:hAnsi="Arial"/>
                <w:sz w:val="20"/>
                <w:szCs w:val="20"/>
                <w:color w:val="auto"/>
              </w:rPr>
              <w:t>400,044</w:t>
            </w:r>
          </w:p>
        </w:tc>
        <w:tc>
          <w:tcPr>
            <w:tcW w:w="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120" w:type="dxa"/>
            <w:vAlign w:val="bottom"/>
          </w:tcPr>
          <w:p>
            <w:pPr>
              <w:jc w:val="right"/>
              <w:spacing w:after="0"/>
              <w:rPr>
                <w:sz w:val="20"/>
                <w:szCs w:val="20"/>
                <w:color w:val="auto"/>
              </w:rPr>
            </w:pPr>
            <w:r>
              <w:rPr>
                <w:rFonts w:ascii="Arial" w:cs="Arial" w:eastAsia="Arial" w:hAnsi="Arial"/>
                <w:sz w:val="20"/>
                <w:szCs w:val="20"/>
                <w:color w:val="auto"/>
              </w:rPr>
              <w:t>1,611,161</w:t>
            </w:r>
          </w:p>
        </w:tc>
        <w:tc>
          <w:tcPr>
            <w:tcW w:w="0" w:type="dxa"/>
            <w:vAlign w:val="bottom"/>
          </w:tcPr>
          <w:p>
            <w:pPr>
              <w:spacing w:after="0"/>
              <w:rPr>
                <w:sz w:val="1"/>
                <w:szCs w:val="1"/>
                <w:color w:val="auto"/>
              </w:rPr>
            </w:pPr>
          </w:p>
        </w:tc>
      </w:tr>
      <w:tr>
        <w:trPr>
          <w:trHeight w:val="256"/>
        </w:trPr>
        <w:tc>
          <w:tcPr>
            <w:tcW w:w="2960" w:type="dxa"/>
            <w:vAlign w:val="bottom"/>
            <w:shd w:val="clear" w:color="auto" w:fill="CCEEFF"/>
          </w:tcPr>
          <w:p>
            <w:pPr>
              <w:ind w:left="20"/>
              <w:spacing w:after="0"/>
              <w:rPr>
                <w:sz w:val="20"/>
                <w:szCs w:val="20"/>
                <w:color w:val="auto"/>
              </w:rPr>
            </w:pPr>
            <w:r>
              <w:rPr>
                <w:rFonts w:ascii="Arial" w:cs="Arial" w:eastAsia="Arial" w:hAnsi="Arial"/>
                <w:sz w:val="20"/>
                <w:szCs w:val="20"/>
                <w:color w:val="auto"/>
              </w:rPr>
              <w:t>Capital expenditures</w:t>
            </w:r>
          </w:p>
        </w:tc>
        <w:tc>
          <w:tcPr>
            <w:tcW w:w="160" w:type="dxa"/>
            <w:vAlign w:val="bottom"/>
            <w:shd w:val="clear" w:color="auto" w:fill="CCEEFF"/>
          </w:tcPr>
          <w:p>
            <w:pPr>
              <w:spacing w:after="0"/>
              <w:rPr>
                <w:sz w:val="22"/>
                <w:szCs w:val="22"/>
                <w:color w:val="auto"/>
              </w:rPr>
            </w:pPr>
          </w:p>
        </w:tc>
        <w:tc>
          <w:tcPr>
            <w:tcW w:w="25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13,922</w:t>
            </w:r>
          </w:p>
        </w:tc>
        <w:tc>
          <w:tcPr>
            <w:tcW w:w="8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23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574</w:t>
            </w:r>
          </w:p>
        </w:tc>
        <w:tc>
          <w:tcPr>
            <w:tcW w:w="80" w:type="dxa"/>
            <w:vAlign w:val="bottom"/>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c>
          <w:tcPr>
            <w:tcW w:w="21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14,496</w:t>
            </w:r>
          </w:p>
        </w:tc>
        <w:tc>
          <w:tcPr>
            <w:tcW w:w="0" w:type="dxa"/>
            <w:vAlign w:val="bottom"/>
          </w:tcPr>
          <w:p>
            <w:pPr>
              <w:spacing w:after="0"/>
              <w:rPr>
                <w:sz w:val="1"/>
                <w:szCs w:val="1"/>
                <w:color w:val="auto"/>
              </w:rPr>
            </w:pPr>
          </w:p>
        </w:tc>
      </w:tr>
      <w:tr>
        <w:trPr>
          <w:trHeight w:val="257"/>
        </w:trPr>
        <w:tc>
          <w:tcPr>
            <w:tcW w:w="2960" w:type="dxa"/>
            <w:vAlign w:val="bottom"/>
          </w:tcPr>
          <w:p>
            <w:pPr>
              <w:ind w:left="20"/>
              <w:spacing w:after="0"/>
              <w:rPr>
                <w:sz w:val="20"/>
                <w:szCs w:val="20"/>
                <w:color w:val="auto"/>
              </w:rPr>
            </w:pPr>
            <w:r>
              <w:rPr>
                <w:rFonts w:ascii="Arial" w:cs="Arial" w:eastAsia="Arial" w:hAnsi="Arial"/>
                <w:sz w:val="20"/>
                <w:szCs w:val="20"/>
                <w:color w:val="auto"/>
              </w:rPr>
              <w:t>Depreciation and amortization</w:t>
            </w:r>
          </w:p>
        </w:tc>
        <w:tc>
          <w:tcPr>
            <w:tcW w:w="160" w:type="dxa"/>
            <w:vAlign w:val="bottom"/>
          </w:tcPr>
          <w:p>
            <w:pPr>
              <w:spacing w:after="0"/>
              <w:rPr>
                <w:sz w:val="22"/>
                <w:szCs w:val="22"/>
                <w:color w:val="auto"/>
              </w:rPr>
            </w:pPr>
          </w:p>
        </w:tc>
        <w:tc>
          <w:tcPr>
            <w:tcW w:w="2540" w:type="dxa"/>
            <w:vAlign w:val="bottom"/>
          </w:tcPr>
          <w:p>
            <w:pPr>
              <w:jc w:val="right"/>
              <w:spacing w:after="0"/>
              <w:rPr>
                <w:sz w:val="20"/>
                <w:szCs w:val="20"/>
                <w:color w:val="auto"/>
              </w:rPr>
            </w:pPr>
            <w:r>
              <w:rPr>
                <w:rFonts w:ascii="Arial" w:cs="Arial" w:eastAsia="Arial" w:hAnsi="Arial"/>
                <w:sz w:val="20"/>
                <w:szCs w:val="20"/>
                <w:color w:val="auto"/>
              </w:rPr>
              <w:t>23,134</w:t>
            </w:r>
          </w:p>
        </w:tc>
        <w:tc>
          <w:tcPr>
            <w:tcW w:w="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2300" w:type="dxa"/>
            <w:vAlign w:val="bottom"/>
          </w:tcPr>
          <w:p>
            <w:pPr>
              <w:jc w:val="right"/>
              <w:spacing w:after="0"/>
              <w:rPr>
                <w:sz w:val="20"/>
                <w:szCs w:val="20"/>
                <w:color w:val="auto"/>
              </w:rPr>
            </w:pPr>
            <w:r>
              <w:rPr>
                <w:rFonts w:ascii="Arial" w:cs="Arial" w:eastAsia="Arial" w:hAnsi="Arial"/>
                <w:sz w:val="20"/>
                <w:szCs w:val="20"/>
                <w:color w:val="auto"/>
              </w:rPr>
              <w:t>8,502</w:t>
            </w:r>
          </w:p>
        </w:tc>
        <w:tc>
          <w:tcPr>
            <w:tcW w:w="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120" w:type="dxa"/>
            <w:vAlign w:val="bottom"/>
          </w:tcPr>
          <w:p>
            <w:pPr>
              <w:jc w:val="right"/>
              <w:spacing w:after="0"/>
              <w:rPr>
                <w:sz w:val="20"/>
                <w:szCs w:val="20"/>
                <w:color w:val="auto"/>
              </w:rPr>
            </w:pPr>
            <w:r>
              <w:rPr>
                <w:rFonts w:ascii="Arial" w:cs="Arial" w:eastAsia="Arial" w:hAnsi="Arial"/>
                <w:sz w:val="20"/>
                <w:szCs w:val="20"/>
                <w:color w:val="auto"/>
              </w:rPr>
              <w:t>31,636</w:t>
            </w:r>
          </w:p>
        </w:tc>
        <w:tc>
          <w:tcPr>
            <w:tcW w:w="0" w:type="dxa"/>
            <w:vAlign w:val="bottom"/>
          </w:tcPr>
          <w:p>
            <w:pPr>
              <w:spacing w:after="0"/>
              <w:rPr>
                <w:sz w:val="1"/>
                <w:szCs w:val="1"/>
                <w:color w:val="auto"/>
              </w:rPr>
            </w:pPr>
          </w:p>
        </w:tc>
      </w:tr>
      <w:tr>
        <w:trPr>
          <w:trHeight w:val="257"/>
        </w:trPr>
        <w:tc>
          <w:tcPr>
            <w:tcW w:w="2960" w:type="dxa"/>
            <w:vAlign w:val="bottom"/>
            <w:shd w:val="clear" w:color="auto" w:fill="CCEEFF"/>
          </w:tcPr>
          <w:p>
            <w:pPr>
              <w:ind w:left="20"/>
              <w:spacing w:after="0"/>
              <w:rPr>
                <w:sz w:val="20"/>
                <w:szCs w:val="20"/>
                <w:color w:val="auto"/>
              </w:rPr>
            </w:pPr>
            <w:r>
              <w:rPr>
                <w:rFonts w:ascii="Arial" w:cs="Arial" w:eastAsia="Arial" w:hAnsi="Arial"/>
                <w:sz w:val="20"/>
                <w:szCs w:val="20"/>
                <w:color w:val="auto"/>
              </w:rPr>
              <w:t>Interest income</w:t>
            </w:r>
          </w:p>
        </w:tc>
        <w:tc>
          <w:tcPr>
            <w:tcW w:w="160" w:type="dxa"/>
            <w:vAlign w:val="bottom"/>
            <w:shd w:val="clear" w:color="auto" w:fill="CCEEFF"/>
          </w:tcPr>
          <w:p>
            <w:pPr>
              <w:spacing w:after="0"/>
              <w:rPr>
                <w:sz w:val="22"/>
                <w:szCs w:val="22"/>
                <w:color w:val="auto"/>
              </w:rPr>
            </w:pPr>
          </w:p>
        </w:tc>
        <w:tc>
          <w:tcPr>
            <w:tcW w:w="25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9,513</w:t>
            </w:r>
          </w:p>
        </w:tc>
        <w:tc>
          <w:tcPr>
            <w:tcW w:w="8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23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583</w:t>
            </w:r>
          </w:p>
        </w:tc>
        <w:tc>
          <w:tcPr>
            <w:tcW w:w="80" w:type="dxa"/>
            <w:vAlign w:val="bottom"/>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c>
          <w:tcPr>
            <w:tcW w:w="21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10,096</w:t>
            </w:r>
          </w:p>
        </w:tc>
        <w:tc>
          <w:tcPr>
            <w:tcW w:w="0" w:type="dxa"/>
            <w:vAlign w:val="bottom"/>
          </w:tcPr>
          <w:p>
            <w:pPr>
              <w:spacing w:after="0"/>
              <w:rPr>
                <w:sz w:val="1"/>
                <w:szCs w:val="1"/>
                <w:color w:val="auto"/>
              </w:rPr>
            </w:pPr>
          </w:p>
        </w:tc>
      </w:tr>
      <w:tr>
        <w:trPr>
          <w:trHeight w:val="261"/>
        </w:trPr>
        <w:tc>
          <w:tcPr>
            <w:tcW w:w="2960" w:type="dxa"/>
            <w:vAlign w:val="bottom"/>
          </w:tcPr>
          <w:p>
            <w:pPr>
              <w:ind w:left="20"/>
              <w:spacing w:after="0"/>
              <w:rPr>
                <w:sz w:val="20"/>
                <w:szCs w:val="20"/>
                <w:color w:val="auto"/>
              </w:rPr>
            </w:pPr>
            <w:r>
              <w:rPr>
                <w:rFonts w:ascii="Arial" w:cs="Arial" w:eastAsia="Arial" w:hAnsi="Arial"/>
                <w:sz w:val="20"/>
                <w:szCs w:val="20"/>
                <w:color w:val="auto"/>
              </w:rPr>
              <w:t>Interest expense</w:t>
            </w:r>
          </w:p>
        </w:tc>
        <w:tc>
          <w:tcPr>
            <w:tcW w:w="160" w:type="dxa"/>
            <w:vAlign w:val="bottom"/>
          </w:tcPr>
          <w:p>
            <w:pPr>
              <w:spacing w:after="0"/>
              <w:rPr>
                <w:sz w:val="22"/>
                <w:szCs w:val="22"/>
                <w:color w:val="auto"/>
              </w:rPr>
            </w:pPr>
          </w:p>
        </w:tc>
        <w:tc>
          <w:tcPr>
            <w:tcW w:w="2540" w:type="dxa"/>
            <w:vAlign w:val="bottom"/>
          </w:tcPr>
          <w:p>
            <w:pPr>
              <w:jc w:val="right"/>
              <w:spacing w:after="0"/>
              <w:rPr>
                <w:sz w:val="20"/>
                <w:szCs w:val="20"/>
                <w:color w:val="auto"/>
              </w:rPr>
            </w:pPr>
            <w:r>
              <w:rPr>
                <w:rFonts w:ascii="Arial" w:cs="Arial" w:eastAsia="Arial" w:hAnsi="Arial"/>
                <w:sz w:val="20"/>
                <w:szCs w:val="20"/>
                <w:color w:val="auto"/>
              </w:rPr>
              <w:t>19,905</w:t>
            </w:r>
          </w:p>
        </w:tc>
        <w:tc>
          <w:tcPr>
            <w:tcW w:w="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2300" w:type="dxa"/>
            <w:vAlign w:val="bottom"/>
          </w:tcPr>
          <w:p>
            <w:pPr>
              <w:jc w:val="right"/>
              <w:spacing w:after="0"/>
              <w:rPr>
                <w:sz w:val="20"/>
                <w:szCs w:val="20"/>
                <w:color w:val="auto"/>
              </w:rPr>
            </w:pPr>
            <w:r>
              <w:rPr>
                <w:rFonts w:ascii="Arial" w:cs="Arial" w:eastAsia="Arial" w:hAnsi="Arial"/>
                <w:sz w:val="20"/>
                <w:szCs w:val="20"/>
                <w:color w:val="auto"/>
              </w:rPr>
              <w:t>1,944</w:t>
            </w:r>
          </w:p>
        </w:tc>
        <w:tc>
          <w:tcPr>
            <w:tcW w:w="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120" w:type="dxa"/>
            <w:vAlign w:val="bottom"/>
          </w:tcPr>
          <w:p>
            <w:pPr>
              <w:jc w:val="right"/>
              <w:spacing w:after="0"/>
              <w:rPr>
                <w:sz w:val="20"/>
                <w:szCs w:val="20"/>
                <w:color w:val="auto"/>
              </w:rPr>
            </w:pPr>
            <w:r>
              <w:rPr>
                <w:rFonts w:ascii="Arial" w:cs="Arial" w:eastAsia="Arial" w:hAnsi="Arial"/>
                <w:sz w:val="20"/>
                <w:szCs w:val="20"/>
                <w:color w:val="auto"/>
              </w:rPr>
              <w:t>21,849</w:t>
            </w:r>
          </w:p>
        </w:tc>
        <w:tc>
          <w:tcPr>
            <w:tcW w:w="0" w:type="dxa"/>
            <w:vAlign w:val="bottom"/>
          </w:tcPr>
          <w:p>
            <w:pPr>
              <w:spacing w:after="0"/>
              <w:rPr>
                <w:sz w:val="1"/>
                <w:szCs w:val="1"/>
                <w:color w:val="auto"/>
              </w:rPr>
            </w:pPr>
          </w:p>
        </w:tc>
      </w:tr>
    </w:tbl>
    <w:p>
      <w:pPr>
        <w:spacing w:after="0" w:line="350" w:lineRule="exact"/>
        <w:rPr>
          <w:sz w:val="20"/>
          <w:szCs w:val="20"/>
          <w:color w:val="auto"/>
        </w:rPr>
      </w:pPr>
    </w:p>
    <w:tbl>
      <w:tblPr>
        <w:tblLayout w:type="fixed"/>
        <w:tblInd w:w="0" w:type="dxa"/>
        <w:tblCellMar>
          <w:top w:w="0" w:type="dxa"/>
          <w:left w:w="0" w:type="dxa"/>
          <w:bottom w:w="0" w:type="dxa"/>
          <w:right w:w="0" w:type="dxa"/>
        </w:tblCellMar>
      </w:tblPr>
      <w:tr>
        <w:trPr>
          <w:trHeight w:val="267"/>
        </w:trPr>
        <w:tc>
          <w:tcPr>
            <w:tcW w:w="2960" w:type="dxa"/>
            <w:vAlign w:val="bottom"/>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6000" w:type="dxa"/>
            <w:vAlign w:val="bottom"/>
            <w:tcBorders>
              <w:bottom w:val="single" w:sz="8" w:color="auto"/>
            </w:tcBorders>
            <w:gridSpan w:val="6"/>
          </w:tcPr>
          <w:p>
            <w:pPr>
              <w:jc w:val="center"/>
              <w:ind w:left="1881"/>
              <w:spacing w:after="0"/>
              <w:rPr>
                <w:sz w:val="20"/>
                <w:szCs w:val="20"/>
                <w:color w:val="auto"/>
              </w:rPr>
            </w:pPr>
            <w:r>
              <w:rPr>
                <w:rFonts w:ascii="Arial" w:cs="Arial" w:eastAsia="Arial" w:hAnsi="Arial"/>
                <w:sz w:val="20"/>
                <w:szCs w:val="20"/>
                <w:b w:val="1"/>
                <w:bCs w:val="1"/>
                <w:color w:val="auto"/>
                <w:w w:val="98"/>
              </w:rPr>
              <w:t>Nine months ended September 30, 2024</w:t>
            </w:r>
          </w:p>
        </w:tc>
        <w:tc>
          <w:tcPr>
            <w:tcW w:w="212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29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620" w:type="dxa"/>
            <w:vAlign w:val="bottom"/>
            <w:gridSpan w:val="2"/>
          </w:tcPr>
          <w:p>
            <w:pPr>
              <w:ind w:left="20"/>
              <w:spacing w:after="0"/>
              <w:rPr>
                <w:sz w:val="20"/>
                <w:szCs w:val="20"/>
                <w:color w:val="auto"/>
              </w:rPr>
            </w:pPr>
            <w:r>
              <w:rPr>
                <w:rFonts w:ascii="Arial" w:cs="Arial" w:eastAsia="Arial" w:hAnsi="Arial"/>
                <w:sz w:val="20"/>
                <w:szCs w:val="20"/>
                <w:b w:val="1"/>
                <w:bCs w:val="1"/>
                <w:color w:val="auto"/>
              </w:rPr>
              <w:t>Array Legacy Operations</w:t>
            </w:r>
          </w:p>
        </w:tc>
        <w:tc>
          <w:tcPr>
            <w:tcW w:w="400" w:type="dxa"/>
            <w:vAlign w:val="bottom"/>
          </w:tcPr>
          <w:p>
            <w:pPr>
              <w:spacing w:after="0"/>
              <w:rPr>
                <w:sz w:val="21"/>
                <w:szCs w:val="21"/>
                <w:color w:val="auto"/>
              </w:rPr>
            </w:pPr>
          </w:p>
        </w:tc>
        <w:tc>
          <w:tcPr>
            <w:tcW w:w="2380" w:type="dxa"/>
            <w:vAlign w:val="bottom"/>
            <w:gridSpan w:val="2"/>
          </w:tcPr>
          <w:p>
            <w:pPr>
              <w:jc w:val="center"/>
              <w:ind w:right="460"/>
              <w:spacing w:after="0"/>
              <w:rPr>
                <w:sz w:val="20"/>
                <w:szCs w:val="20"/>
                <w:color w:val="auto"/>
              </w:rPr>
            </w:pPr>
            <w:r>
              <w:rPr>
                <w:rFonts w:ascii="Arial" w:cs="Arial" w:eastAsia="Arial" w:hAnsi="Arial"/>
                <w:sz w:val="20"/>
                <w:szCs w:val="20"/>
                <w:b w:val="1"/>
                <w:bCs w:val="1"/>
                <w:color w:val="auto"/>
                <w:w w:val="98"/>
              </w:rPr>
              <w:t>STI Operations</w:t>
            </w:r>
          </w:p>
        </w:tc>
        <w:tc>
          <w:tcPr>
            <w:tcW w:w="600" w:type="dxa"/>
            <w:vAlign w:val="bottom"/>
          </w:tcPr>
          <w:p>
            <w:pPr>
              <w:spacing w:after="0"/>
              <w:rPr>
                <w:sz w:val="21"/>
                <w:szCs w:val="21"/>
                <w:color w:val="auto"/>
              </w:rPr>
            </w:pPr>
          </w:p>
        </w:tc>
        <w:tc>
          <w:tcPr>
            <w:tcW w:w="2120" w:type="dxa"/>
            <w:vAlign w:val="bottom"/>
          </w:tcPr>
          <w:p>
            <w:pPr>
              <w:jc w:val="right"/>
              <w:ind w:right="621"/>
              <w:spacing w:after="0"/>
              <w:rPr>
                <w:sz w:val="20"/>
                <w:szCs w:val="20"/>
                <w:color w:val="auto"/>
              </w:rPr>
            </w:pPr>
            <w:r>
              <w:rPr>
                <w:rFonts w:ascii="Arial" w:cs="Arial" w:eastAsia="Arial" w:hAnsi="Arial"/>
                <w:sz w:val="20"/>
                <w:szCs w:val="20"/>
                <w:b w:val="1"/>
                <w:bCs w:val="1"/>
                <w:color w:val="auto"/>
              </w:rPr>
              <w:t>Consolidated</w:t>
            </w:r>
          </w:p>
        </w:tc>
        <w:tc>
          <w:tcPr>
            <w:tcW w:w="0" w:type="dxa"/>
            <w:vAlign w:val="bottom"/>
          </w:tcPr>
          <w:p>
            <w:pPr>
              <w:spacing w:after="0"/>
              <w:rPr>
                <w:sz w:val="1"/>
                <w:szCs w:val="1"/>
                <w:color w:val="auto"/>
              </w:rPr>
            </w:pPr>
          </w:p>
        </w:tc>
      </w:tr>
      <w:tr>
        <w:trPr>
          <w:trHeight w:val="250"/>
        </w:trPr>
        <w:tc>
          <w:tcPr>
            <w:tcW w:w="2960" w:type="dxa"/>
            <w:vAlign w:val="bottom"/>
            <w:tcBorders>
              <w:top w:val="single" w:sz="8" w:color="CCEEFF"/>
            </w:tcBorders>
            <w:shd w:val="clear" w:color="auto" w:fill="CCEEFF"/>
          </w:tcPr>
          <w:p>
            <w:pPr>
              <w:spacing w:after="0"/>
              <w:rPr>
                <w:sz w:val="21"/>
                <w:szCs w:val="21"/>
                <w:color w:val="auto"/>
              </w:rPr>
            </w:pPr>
          </w:p>
        </w:tc>
        <w:tc>
          <w:tcPr>
            <w:tcW w:w="160" w:type="dxa"/>
            <w:vAlign w:val="bottom"/>
            <w:tcBorders>
              <w:top w:val="single" w:sz="8" w:color="auto"/>
            </w:tcBorders>
            <w:shd w:val="clear" w:color="auto" w:fill="CCEEFF"/>
          </w:tcPr>
          <w:p>
            <w:pPr>
              <w:spacing w:after="0"/>
              <w:rPr>
                <w:sz w:val="21"/>
                <w:szCs w:val="21"/>
                <w:color w:val="auto"/>
              </w:rPr>
            </w:pPr>
          </w:p>
        </w:tc>
        <w:tc>
          <w:tcPr>
            <w:tcW w:w="2540" w:type="dxa"/>
            <w:vAlign w:val="bottom"/>
            <w:tcBorders>
              <w:top w:val="single" w:sz="8" w:color="auto"/>
            </w:tcBorders>
            <w:shd w:val="clear" w:color="auto" w:fill="CCEEFF"/>
          </w:tcPr>
          <w:p>
            <w:pPr>
              <w:spacing w:after="0"/>
              <w:rPr>
                <w:sz w:val="21"/>
                <w:szCs w:val="21"/>
                <w:color w:val="auto"/>
              </w:rPr>
            </w:pPr>
          </w:p>
        </w:tc>
        <w:tc>
          <w:tcPr>
            <w:tcW w:w="80" w:type="dxa"/>
            <w:vAlign w:val="bottom"/>
            <w:tcBorders>
              <w:top w:val="single" w:sz="8" w:color="CCEEFF"/>
            </w:tcBorders>
            <w:shd w:val="clear" w:color="auto" w:fill="CCEEFF"/>
          </w:tcPr>
          <w:p>
            <w:pPr>
              <w:spacing w:after="0"/>
              <w:rPr>
                <w:sz w:val="21"/>
                <w:szCs w:val="21"/>
                <w:color w:val="auto"/>
              </w:rPr>
            </w:pPr>
          </w:p>
        </w:tc>
        <w:tc>
          <w:tcPr>
            <w:tcW w:w="400" w:type="dxa"/>
            <w:vAlign w:val="bottom"/>
            <w:tcBorders>
              <w:top w:val="single" w:sz="8" w:color="auto"/>
            </w:tcBorders>
            <w:shd w:val="clear" w:color="auto" w:fill="CCEEFF"/>
          </w:tcPr>
          <w:p>
            <w:pPr>
              <w:spacing w:after="0"/>
              <w:rPr>
                <w:sz w:val="21"/>
                <w:szCs w:val="21"/>
                <w:color w:val="auto"/>
              </w:rPr>
            </w:pPr>
          </w:p>
        </w:tc>
        <w:tc>
          <w:tcPr>
            <w:tcW w:w="2300" w:type="dxa"/>
            <w:vAlign w:val="bottom"/>
            <w:tcBorders>
              <w:top w:val="single" w:sz="8" w:color="auto"/>
            </w:tcBorders>
            <w:shd w:val="clear" w:color="auto" w:fill="CCEEFF"/>
          </w:tcPr>
          <w:p>
            <w:pPr>
              <w:spacing w:after="0"/>
              <w:rPr>
                <w:sz w:val="21"/>
                <w:szCs w:val="21"/>
                <w:color w:val="auto"/>
              </w:rPr>
            </w:pPr>
          </w:p>
        </w:tc>
        <w:tc>
          <w:tcPr>
            <w:tcW w:w="80" w:type="dxa"/>
            <w:vAlign w:val="bottom"/>
            <w:tcBorders>
              <w:top w:val="single" w:sz="8" w:color="CCEEFF"/>
            </w:tcBorders>
            <w:shd w:val="clear" w:color="auto" w:fill="CCEEFF"/>
          </w:tcPr>
          <w:p>
            <w:pPr>
              <w:spacing w:after="0"/>
              <w:rPr>
                <w:sz w:val="21"/>
                <w:szCs w:val="21"/>
                <w:color w:val="auto"/>
              </w:rPr>
            </w:pPr>
          </w:p>
        </w:tc>
        <w:tc>
          <w:tcPr>
            <w:tcW w:w="600" w:type="dxa"/>
            <w:vAlign w:val="bottom"/>
            <w:tcBorders>
              <w:top w:val="single" w:sz="8" w:color="auto"/>
            </w:tcBorders>
            <w:shd w:val="clear" w:color="auto" w:fill="CCEEFF"/>
          </w:tcPr>
          <w:p>
            <w:pPr>
              <w:spacing w:after="0"/>
              <w:rPr>
                <w:sz w:val="21"/>
                <w:szCs w:val="21"/>
                <w:color w:val="auto"/>
              </w:rPr>
            </w:pPr>
          </w:p>
        </w:tc>
        <w:tc>
          <w:tcPr>
            <w:tcW w:w="2120" w:type="dxa"/>
            <w:vAlign w:val="bottom"/>
            <w:tcBorders>
              <w:top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2960" w:type="dxa"/>
            <w:vAlign w:val="bottom"/>
            <w:tcBorders>
              <w:bottom w:val="single" w:sz="8" w:color="CCEEFF"/>
            </w:tcBorders>
          </w:tcPr>
          <w:p>
            <w:pPr>
              <w:ind w:left="20"/>
              <w:spacing w:after="0"/>
              <w:rPr>
                <w:sz w:val="20"/>
                <w:szCs w:val="20"/>
                <w:color w:val="auto"/>
              </w:rPr>
            </w:pPr>
            <w:r>
              <w:rPr>
                <w:rFonts w:ascii="Arial" w:cs="Arial" w:eastAsia="Arial" w:hAnsi="Arial"/>
                <w:sz w:val="20"/>
                <w:szCs w:val="20"/>
                <w:b w:val="1"/>
                <w:bCs w:val="1"/>
                <w:color w:val="auto"/>
              </w:rPr>
              <w:t>Segment revenue</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25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459,807</w:t>
            </w:r>
          </w:p>
        </w:tc>
        <w:tc>
          <w:tcPr>
            <w:tcW w:w="8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jc w:val="right"/>
              <w:ind w:right="161"/>
              <w:spacing w:after="0"/>
              <w:rPr>
                <w:sz w:val="20"/>
                <w:szCs w:val="20"/>
                <w:color w:val="auto"/>
              </w:rPr>
            </w:pPr>
            <w:r>
              <w:rPr>
                <w:rFonts w:ascii="Arial" w:cs="Arial" w:eastAsia="Arial" w:hAnsi="Arial"/>
                <w:sz w:val="20"/>
                <w:szCs w:val="20"/>
                <w:color w:val="auto"/>
              </w:rPr>
              <w:t>$</w:t>
            </w:r>
          </w:p>
        </w:tc>
        <w:tc>
          <w:tcPr>
            <w:tcW w:w="23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180,768</w:t>
            </w:r>
          </w:p>
        </w:tc>
        <w:tc>
          <w:tcPr>
            <w:tcW w:w="80" w:type="dxa"/>
            <w:vAlign w:val="bottom"/>
            <w:tcBorders>
              <w:bottom w:val="single" w:sz="8" w:color="CCEEFF"/>
            </w:tcBorders>
          </w:tcPr>
          <w:p>
            <w:pPr>
              <w:spacing w:after="0"/>
              <w:rPr>
                <w:sz w:val="22"/>
                <w:szCs w:val="22"/>
                <w:color w:val="auto"/>
              </w:rPr>
            </w:pPr>
          </w:p>
        </w:tc>
        <w:tc>
          <w:tcPr>
            <w:tcW w:w="600" w:type="dxa"/>
            <w:vAlign w:val="bottom"/>
            <w:tcBorders>
              <w:bottom w:val="single" w:sz="8" w:color="auto"/>
            </w:tcBorders>
          </w:tcPr>
          <w:p>
            <w:pPr>
              <w:jc w:val="right"/>
              <w:ind w:right="361"/>
              <w:spacing w:after="0"/>
              <w:rPr>
                <w:sz w:val="20"/>
                <w:szCs w:val="20"/>
                <w:color w:val="auto"/>
              </w:rPr>
            </w:pPr>
            <w:r>
              <w:rPr>
                <w:rFonts w:ascii="Arial" w:cs="Arial" w:eastAsia="Arial" w:hAnsi="Arial"/>
                <w:sz w:val="20"/>
                <w:szCs w:val="20"/>
                <w:color w:val="auto"/>
              </w:rPr>
              <w:t>$</w:t>
            </w:r>
          </w:p>
        </w:tc>
        <w:tc>
          <w:tcPr>
            <w:tcW w:w="21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640,575</w:t>
            </w:r>
          </w:p>
        </w:tc>
        <w:tc>
          <w:tcPr>
            <w:tcW w:w="0" w:type="dxa"/>
            <w:vAlign w:val="bottom"/>
          </w:tcPr>
          <w:p>
            <w:pPr>
              <w:spacing w:after="0"/>
              <w:rPr>
                <w:sz w:val="1"/>
                <w:szCs w:val="1"/>
                <w:color w:val="auto"/>
              </w:rPr>
            </w:pPr>
          </w:p>
        </w:tc>
      </w:tr>
      <w:tr>
        <w:trPr>
          <w:trHeight w:val="237"/>
        </w:trPr>
        <w:tc>
          <w:tcPr>
            <w:tcW w:w="2960" w:type="dxa"/>
            <w:vAlign w:val="bottom"/>
            <w:shd w:val="clear" w:color="auto" w:fill="CCEEFF"/>
          </w:tcPr>
          <w:p>
            <w:pPr>
              <w:ind w:left="20"/>
              <w:spacing w:after="0"/>
              <w:rPr>
                <w:sz w:val="20"/>
                <w:szCs w:val="20"/>
                <w:color w:val="auto"/>
              </w:rPr>
            </w:pPr>
            <w:r>
              <w:rPr>
                <w:rFonts w:ascii="Arial" w:cs="Arial" w:eastAsia="Arial" w:hAnsi="Arial"/>
                <w:sz w:val="20"/>
                <w:szCs w:val="20"/>
                <w:i w:val="1"/>
                <w:iCs w:val="1"/>
                <w:color w:val="auto"/>
              </w:rPr>
              <w:t>Less:</w:t>
            </w:r>
          </w:p>
        </w:tc>
        <w:tc>
          <w:tcPr>
            <w:tcW w:w="160" w:type="dxa"/>
            <w:vAlign w:val="bottom"/>
            <w:shd w:val="clear" w:color="auto" w:fill="CCEEFF"/>
          </w:tcPr>
          <w:p>
            <w:pPr>
              <w:spacing w:after="0"/>
              <w:rPr>
                <w:sz w:val="20"/>
                <w:szCs w:val="20"/>
                <w:color w:val="auto"/>
              </w:rPr>
            </w:pPr>
          </w:p>
        </w:tc>
        <w:tc>
          <w:tcPr>
            <w:tcW w:w="25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23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2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2960" w:type="dxa"/>
            <w:vAlign w:val="bottom"/>
          </w:tcPr>
          <w:p>
            <w:pPr>
              <w:ind w:left="20"/>
              <w:spacing w:after="0"/>
              <w:rPr>
                <w:sz w:val="20"/>
                <w:szCs w:val="20"/>
                <w:color w:val="auto"/>
              </w:rPr>
            </w:pPr>
            <w:r>
              <w:rPr>
                <w:rFonts w:ascii="Arial" w:cs="Arial" w:eastAsia="Arial" w:hAnsi="Arial"/>
                <w:sz w:val="20"/>
                <w:szCs w:val="20"/>
                <w:color w:val="auto"/>
              </w:rPr>
              <w:t>Product cost (1)</w:t>
            </w:r>
          </w:p>
        </w:tc>
        <w:tc>
          <w:tcPr>
            <w:tcW w:w="160" w:type="dxa"/>
            <w:vAlign w:val="bottom"/>
          </w:tcPr>
          <w:p>
            <w:pPr>
              <w:spacing w:after="0"/>
              <w:rPr>
                <w:sz w:val="22"/>
                <w:szCs w:val="22"/>
                <w:color w:val="auto"/>
              </w:rPr>
            </w:pPr>
          </w:p>
        </w:tc>
        <w:tc>
          <w:tcPr>
            <w:tcW w:w="2540" w:type="dxa"/>
            <w:vAlign w:val="bottom"/>
          </w:tcPr>
          <w:p>
            <w:pPr>
              <w:jc w:val="right"/>
              <w:spacing w:after="0"/>
              <w:rPr>
                <w:sz w:val="20"/>
                <w:szCs w:val="20"/>
                <w:color w:val="auto"/>
              </w:rPr>
            </w:pPr>
            <w:r>
              <w:rPr>
                <w:rFonts w:ascii="Arial" w:cs="Arial" w:eastAsia="Arial" w:hAnsi="Arial"/>
                <w:sz w:val="20"/>
                <w:szCs w:val="20"/>
                <w:color w:val="auto"/>
              </w:rPr>
              <w:t>238,628</w:t>
            </w:r>
          </w:p>
        </w:tc>
        <w:tc>
          <w:tcPr>
            <w:tcW w:w="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2300" w:type="dxa"/>
            <w:vAlign w:val="bottom"/>
          </w:tcPr>
          <w:p>
            <w:pPr>
              <w:jc w:val="right"/>
              <w:spacing w:after="0"/>
              <w:rPr>
                <w:sz w:val="20"/>
                <w:szCs w:val="20"/>
                <w:color w:val="auto"/>
              </w:rPr>
            </w:pPr>
            <w:r>
              <w:rPr>
                <w:rFonts w:ascii="Arial" w:cs="Arial" w:eastAsia="Arial" w:hAnsi="Arial"/>
                <w:sz w:val="20"/>
                <w:szCs w:val="20"/>
                <w:color w:val="auto"/>
              </w:rPr>
              <w:t>146,840</w:t>
            </w:r>
          </w:p>
        </w:tc>
        <w:tc>
          <w:tcPr>
            <w:tcW w:w="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120" w:type="dxa"/>
            <w:vAlign w:val="bottom"/>
          </w:tcPr>
          <w:p>
            <w:pPr>
              <w:jc w:val="right"/>
              <w:spacing w:after="0"/>
              <w:rPr>
                <w:sz w:val="20"/>
                <w:szCs w:val="20"/>
                <w:color w:val="auto"/>
              </w:rPr>
            </w:pPr>
            <w:r>
              <w:rPr>
                <w:rFonts w:ascii="Arial" w:cs="Arial" w:eastAsia="Arial" w:hAnsi="Arial"/>
                <w:sz w:val="20"/>
                <w:szCs w:val="20"/>
                <w:color w:val="auto"/>
              </w:rPr>
              <w:t>385,468</w:t>
            </w:r>
          </w:p>
        </w:tc>
        <w:tc>
          <w:tcPr>
            <w:tcW w:w="0" w:type="dxa"/>
            <w:vAlign w:val="bottom"/>
          </w:tcPr>
          <w:p>
            <w:pPr>
              <w:spacing w:after="0"/>
              <w:rPr>
                <w:sz w:val="1"/>
                <w:szCs w:val="1"/>
                <w:color w:val="auto"/>
              </w:rPr>
            </w:pPr>
          </w:p>
        </w:tc>
      </w:tr>
      <w:tr>
        <w:trPr>
          <w:trHeight w:val="189"/>
        </w:trPr>
        <w:tc>
          <w:tcPr>
            <w:tcW w:w="2960" w:type="dxa"/>
            <w:vAlign w:val="bottom"/>
            <w:shd w:val="clear" w:color="auto" w:fill="CCEEFF"/>
          </w:tcPr>
          <w:p>
            <w:pPr>
              <w:ind w:left="20"/>
              <w:spacing w:after="0" w:line="189" w:lineRule="exact"/>
              <w:rPr>
                <w:sz w:val="20"/>
                <w:szCs w:val="20"/>
                <w:color w:val="auto"/>
              </w:rPr>
            </w:pPr>
            <w:r>
              <w:rPr>
                <w:rFonts w:ascii="Arial" w:cs="Arial" w:eastAsia="Arial" w:hAnsi="Arial"/>
                <w:sz w:val="20"/>
                <w:szCs w:val="20"/>
                <w:color w:val="auto"/>
              </w:rPr>
              <w:t>Amortization of developed</w:t>
            </w:r>
          </w:p>
        </w:tc>
        <w:tc>
          <w:tcPr>
            <w:tcW w:w="160" w:type="dxa"/>
            <w:vAlign w:val="bottom"/>
            <w:shd w:val="clear" w:color="auto" w:fill="CCEEFF"/>
          </w:tcPr>
          <w:p>
            <w:pPr>
              <w:spacing w:after="0"/>
              <w:rPr>
                <w:sz w:val="16"/>
                <w:szCs w:val="16"/>
                <w:color w:val="auto"/>
              </w:rPr>
            </w:pPr>
          </w:p>
        </w:tc>
        <w:tc>
          <w:tcPr>
            <w:tcW w:w="2540" w:type="dxa"/>
            <w:vAlign w:val="bottom"/>
            <w:vMerge w:val="restart"/>
            <w:shd w:val="clear" w:color="auto" w:fill="CCEEFF"/>
          </w:tcPr>
          <w:p>
            <w:pPr>
              <w:jc w:val="right"/>
              <w:spacing w:after="0"/>
              <w:rPr>
                <w:sz w:val="20"/>
                <w:szCs w:val="20"/>
                <w:color w:val="auto"/>
              </w:rPr>
            </w:pPr>
            <w:r>
              <w:rPr>
                <w:rFonts w:ascii="Arial" w:cs="Arial" w:eastAsia="Arial" w:hAnsi="Arial"/>
                <w:sz w:val="20"/>
                <w:szCs w:val="20"/>
                <w:color w:val="auto"/>
              </w:rPr>
              <w:t>10,918</w:t>
            </w:r>
          </w:p>
        </w:tc>
        <w:tc>
          <w:tcPr>
            <w:tcW w:w="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23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20"/>
                <w:szCs w:val="20"/>
                <w:color w:val="auto"/>
              </w:rPr>
              <w:t>—</w:t>
            </w:r>
          </w:p>
        </w:tc>
        <w:tc>
          <w:tcPr>
            <w:tcW w:w="600" w:type="dxa"/>
            <w:vAlign w:val="bottom"/>
            <w:shd w:val="clear" w:color="auto" w:fill="CCEEFF"/>
          </w:tcPr>
          <w:p>
            <w:pPr>
              <w:spacing w:after="0"/>
              <w:rPr>
                <w:sz w:val="16"/>
                <w:szCs w:val="16"/>
                <w:color w:val="auto"/>
              </w:rPr>
            </w:pPr>
          </w:p>
        </w:tc>
        <w:tc>
          <w:tcPr>
            <w:tcW w:w="2120" w:type="dxa"/>
            <w:vAlign w:val="bottom"/>
            <w:vMerge w:val="restart"/>
            <w:shd w:val="clear" w:color="auto" w:fill="CCEEFF"/>
          </w:tcPr>
          <w:p>
            <w:pPr>
              <w:jc w:val="right"/>
              <w:spacing w:after="0"/>
              <w:rPr>
                <w:sz w:val="20"/>
                <w:szCs w:val="20"/>
                <w:color w:val="auto"/>
              </w:rPr>
            </w:pPr>
            <w:r>
              <w:rPr>
                <w:rFonts w:ascii="Arial" w:cs="Arial" w:eastAsia="Arial" w:hAnsi="Arial"/>
                <w:sz w:val="20"/>
                <w:szCs w:val="20"/>
                <w:color w:val="auto"/>
              </w:rPr>
              <w:t>10,918</w:t>
            </w:r>
          </w:p>
        </w:tc>
        <w:tc>
          <w:tcPr>
            <w:tcW w:w="0" w:type="dxa"/>
            <w:vAlign w:val="bottom"/>
          </w:tcPr>
          <w:p>
            <w:pPr>
              <w:spacing w:after="0"/>
              <w:rPr>
                <w:sz w:val="1"/>
                <w:szCs w:val="1"/>
                <w:color w:val="auto"/>
              </w:rPr>
            </w:pPr>
          </w:p>
        </w:tc>
      </w:tr>
      <w:tr>
        <w:trPr>
          <w:trHeight w:val="256"/>
        </w:trPr>
        <w:tc>
          <w:tcPr>
            <w:tcW w:w="2960" w:type="dxa"/>
            <w:vAlign w:val="bottom"/>
            <w:shd w:val="clear" w:color="auto" w:fill="CCEEFF"/>
          </w:tcPr>
          <w:p>
            <w:pPr>
              <w:ind w:left="20"/>
              <w:spacing w:after="0"/>
              <w:rPr>
                <w:sz w:val="20"/>
                <w:szCs w:val="20"/>
                <w:color w:val="auto"/>
              </w:rPr>
            </w:pPr>
            <w:r>
              <w:rPr>
                <w:rFonts w:ascii="Arial" w:cs="Arial" w:eastAsia="Arial" w:hAnsi="Arial"/>
                <w:sz w:val="20"/>
                <w:szCs w:val="20"/>
                <w:color w:val="auto"/>
              </w:rPr>
              <w:t>technology and backlog</w:t>
            </w:r>
          </w:p>
        </w:tc>
        <w:tc>
          <w:tcPr>
            <w:tcW w:w="160" w:type="dxa"/>
            <w:vAlign w:val="bottom"/>
            <w:shd w:val="clear" w:color="auto" w:fill="CCEEFF"/>
          </w:tcPr>
          <w:p>
            <w:pPr>
              <w:spacing w:after="0"/>
              <w:rPr>
                <w:sz w:val="22"/>
                <w:szCs w:val="22"/>
                <w:color w:val="auto"/>
              </w:rPr>
            </w:pPr>
          </w:p>
        </w:tc>
        <w:tc>
          <w:tcPr>
            <w:tcW w:w="2540" w:type="dxa"/>
            <w:vAlign w:val="bottom"/>
            <w:vMerge w:val="continue"/>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2380" w:type="dxa"/>
            <w:vAlign w:val="bottom"/>
            <w:gridSpan w:val="2"/>
            <w:vMerge w:val="continue"/>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c>
          <w:tcPr>
            <w:tcW w:w="2120" w:type="dxa"/>
            <w:vAlign w:val="bottom"/>
            <w:vMerge w:val="continue"/>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2960" w:type="dxa"/>
            <w:vAlign w:val="bottom"/>
          </w:tcPr>
          <w:p>
            <w:pPr>
              <w:ind w:left="20"/>
              <w:spacing w:after="0"/>
              <w:rPr>
                <w:sz w:val="20"/>
                <w:szCs w:val="20"/>
                <w:color w:val="auto"/>
              </w:rPr>
            </w:pPr>
            <w:r>
              <w:rPr>
                <w:rFonts w:ascii="Arial" w:cs="Arial" w:eastAsia="Arial" w:hAnsi="Arial"/>
                <w:sz w:val="20"/>
                <w:szCs w:val="20"/>
                <w:color w:val="auto"/>
              </w:rPr>
              <w:t>Depreciation</w:t>
            </w:r>
          </w:p>
        </w:tc>
        <w:tc>
          <w:tcPr>
            <w:tcW w:w="160" w:type="dxa"/>
            <w:vAlign w:val="bottom"/>
          </w:tcPr>
          <w:p>
            <w:pPr>
              <w:spacing w:after="0"/>
              <w:rPr>
                <w:sz w:val="22"/>
                <w:szCs w:val="22"/>
                <w:color w:val="auto"/>
              </w:rPr>
            </w:pPr>
          </w:p>
        </w:tc>
        <w:tc>
          <w:tcPr>
            <w:tcW w:w="2540" w:type="dxa"/>
            <w:vAlign w:val="bottom"/>
          </w:tcPr>
          <w:p>
            <w:pPr>
              <w:jc w:val="right"/>
              <w:spacing w:after="0"/>
              <w:rPr>
                <w:sz w:val="20"/>
                <w:szCs w:val="20"/>
                <w:color w:val="auto"/>
              </w:rPr>
            </w:pPr>
            <w:r>
              <w:rPr>
                <w:rFonts w:ascii="Arial" w:cs="Arial" w:eastAsia="Arial" w:hAnsi="Arial"/>
                <w:sz w:val="20"/>
                <w:szCs w:val="20"/>
                <w:color w:val="auto"/>
              </w:rPr>
              <w:t>1,480</w:t>
            </w:r>
          </w:p>
        </w:tc>
        <w:tc>
          <w:tcPr>
            <w:tcW w:w="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2300" w:type="dxa"/>
            <w:vAlign w:val="bottom"/>
          </w:tcPr>
          <w:p>
            <w:pPr>
              <w:jc w:val="right"/>
              <w:spacing w:after="0"/>
              <w:rPr>
                <w:sz w:val="20"/>
                <w:szCs w:val="20"/>
                <w:color w:val="auto"/>
              </w:rPr>
            </w:pPr>
            <w:r>
              <w:rPr>
                <w:rFonts w:ascii="Arial" w:cs="Arial" w:eastAsia="Arial" w:hAnsi="Arial"/>
                <w:sz w:val="20"/>
                <w:szCs w:val="20"/>
                <w:color w:val="auto"/>
              </w:rPr>
              <w:t>51</w:t>
            </w:r>
          </w:p>
        </w:tc>
        <w:tc>
          <w:tcPr>
            <w:tcW w:w="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120" w:type="dxa"/>
            <w:vAlign w:val="bottom"/>
          </w:tcPr>
          <w:p>
            <w:pPr>
              <w:jc w:val="right"/>
              <w:spacing w:after="0"/>
              <w:rPr>
                <w:sz w:val="20"/>
                <w:szCs w:val="20"/>
                <w:color w:val="auto"/>
              </w:rPr>
            </w:pPr>
            <w:r>
              <w:rPr>
                <w:rFonts w:ascii="Arial" w:cs="Arial" w:eastAsia="Arial" w:hAnsi="Arial"/>
                <w:sz w:val="20"/>
                <w:szCs w:val="20"/>
                <w:color w:val="auto"/>
              </w:rPr>
              <w:t>1,531</w:t>
            </w:r>
          </w:p>
        </w:tc>
        <w:tc>
          <w:tcPr>
            <w:tcW w:w="0" w:type="dxa"/>
            <w:vAlign w:val="bottom"/>
          </w:tcPr>
          <w:p>
            <w:pPr>
              <w:spacing w:after="0"/>
              <w:rPr>
                <w:sz w:val="1"/>
                <w:szCs w:val="1"/>
                <w:color w:val="auto"/>
              </w:rPr>
            </w:pPr>
          </w:p>
        </w:tc>
      </w:tr>
      <w:tr>
        <w:trPr>
          <w:trHeight w:val="256"/>
        </w:trPr>
        <w:tc>
          <w:tcPr>
            <w:tcW w:w="2960" w:type="dxa"/>
            <w:vAlign w:val="bottom"/>
            <w:shd w:val="clear" w:color="auto" w:fill="CCEEFF"/>
          </w:tcPr>
          <w:p>
            <w:pPr>
              <w:ind w:left="20"/>
              <w:spacing w:after="0"/>
              <w:rPr>
                <w:sz w:val="20"/>
                <w:szCs w:val="20"/>
                <w:color w:val="auto"/>
              </w:rPr>
            </w:pPr>
            <w:r>
              <w:rPr>
                <w:rFonts w:ascii="Arial" w:cs="Arial" w:eastAsia="Arial" w:hAnsi="Arial"/>
                <w:sz w:val="20"/>
                <w:szCs w:val="20"/>
                <w:color w:val="auto"/>
              </w:rPr>
              <w:t>Other costs (2)</w:t>
            </w:r>
          </w:p>
        </w:tc>
        <w:tc>
          <w:tcPr>
            <w:tcW w:w="160" w:type="dxa"/>
            <w:vAlign w:val="bottom"/>
            <w:tcBorders>
              <w:bottom w:val="single" w:sz="8" w:color="auto"/>
            </w:tcBorders>
            <w:shd w:val="clear" w:color="auto" w:fill="CCEEFF"/>
          </w:tcPr>
          <w:p>
            <w:pPr>
              <w:spacing w:after="0"/>
              <w:rPr>
                <w:sz w:val="22"/>
                <w:szCs w:val="22"/>
                <w:color w:val="auto"/>
              </w:rPr>
            </w:pPr>
          </w:p>
        </w:tc>
        <w:tc>
          <w:tcPr>
            <w:tcW w:w="2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16,663</w:t>
            </w:r>
          </w:p>
        </w:tc>
        <w:tc>
          <w:tcPr>
            <w:tcW w:w="80" w:type="dxa"/>
            <w:vAlign w:val="bottom"/>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spacing w:after="0"/>
              <w:rPr>
                <w:sz w:val="22"/>
                <w:szCs w:val="22"/>
                <w:color w:val="auto"/>
              </w:rPr>
            </w:pPr>
          </w:p>
        </w:tc>
        <w:tc>
          <w:tcPr>
            <w:tcW w:w="2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6,637</w:t>
            </w:r>
          </w:p>
        </w:tc>
        <w:tc>
          <w:tcPr>
            <w:tcW w:w="80" w:type="dxa"/>
            <w:vAlign w:val="bottom"/>
            <w:shd w:val="clear" w:color="auto" w:fill="CCEEFF"/>
          </w:tcPr>
          <w:p>
            <w:pPr>
              <w:spacing w:after="0"/>
              <w:rPr>
                <w:sz w:val="22"/>
                <w:szCs w:val="22"/>
                <w:color w:val="auto"/>
              </w:rPr>
            </w:pPr>
          </w:p>
        </w:tc>
        <w:tc>
          <w:tcPr>
            <w:tcW w:w="600" w:type="dxa"/>
            <w:vAlign w:val="bottom"/>
            <w:tcBorders>
              <w:bottom w:val="single" w:sz="8" w:color="auto"/>
            </w:tcBorders>
            <w:shd w:val="clear" w:color="auto" w:fill="CCEEFF"/>
          </w:tcPr>
          <w:p>
            <w:pPr>
              <w:spacing w:after="0"/>
              <w:rPr>
                <w:sz w:val="22"/>
                <w:szCs w:val="22"/>
                <w:color w:val="auto"/>
              </w:rPr>
            </w:pPr>
          </w:p>
        </w:tc>
        <w:tc>
          <w:tcPr>
            <w:tcW w:w="2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23,300</w:t>
            </w:r>
          </w:p>
        </w:tc>
        <w:tc>
          <w:tcPr>
            <w:tcW w:w="0" w:type="dxa"/>
            <w:vAlign w:val="bottom"/>
          </w:tcPr>
          <w:p>
            <w:pPr>
              <w:spacing w:after="0"/>
              <w:rPr>
                <w:sz w:val="1"/>
                <w:szCs w:val="1"/>
                <w:color w:val="auto"/>
              </w:rPr>
            </w:pPr>
          </w:p>
        </w:tc>
      </w:tr>
      <w:tr>
        <w:trPr>
          <w:trHeight w:val="250"/>
        </w:trPr>
        <w:tc>
          <w:tcPr>
            <w:tcW w:w="2960" w:type="dxa"/>
            <w:vAlign w:val="bottom"/>
          </w:tcPr>
          <w:p>
            <w:pPr>
              <w:ind w:left="20"/>
              <w:spacing w:after="0"/>
              <w:rPr>
                <w:sz w:val="20"/>
                <w:szCs w:val="20"/>
                <w:color w:val="auto"/>
              </w:rPr>
            </w:pPr>
            <w:r>
              <w:rPr>
                <w:rFonts w:ascii="Arial" w:cs="Arial" w:eastAsia="Arial" w:hAnsi="Arial"/>
                <w:sz w:val="20"/>
                <w:szCs w:val="20"/>
                <w:b w:val="1"/>
                <w:bCs w:val="1"/>
                <w:color w:val="auto"/>
              </w:rPr>
              <w:t>Gross profit</w:t>
            </w:r>
          </w:p>
        </w:tc>
        <w:tc>
          <w:tcPr>
            <w:tcW w:w="160" w:type="dxa"/>
            <w:vAlign w:val="bottom"/>
          </w:tcPr>
          <w:p>
            <w:pPr>
              <w:spacing w:after="0"/>
              <w:rPr>
                <w:sz w:val="21"/>
                <w:szCs w:val="21"/>
                <w:color w:val="auto"/>
              </w:rPr>
            </w:pPr>
          </w:p>
        </w:tc>
        <w:tc>
          <w:tcPr>
            <w:tcW w:w="2540" w:type="dxa"/>
            <w:vAlign w:val="bottom"/>
          </w:tcPr>
          <w:p>
            <w:pPr>
              <w:jc w:val="right"/>
              <w:spacing w:after="0"/>
              <w:rPr>
                <w:sz w:val="20"/>
                <w:szCs w:val="20"/>
                <w:color w:val="auto"/>
              </w:rPr>
            </w:pPr>
            <w:r>
              <w:rPr>
                <w:rFonts w:ascii="Arial" w:cs="Arial" w:eastAsia="Arial" w:hAnsi="Arial"/>
                <w:sz w:val="20"/>
                <w:szCs w:val="20"/>
                <w:color w:val="auto"/>
              </w:rPr>
              <w:t>192,118</w:t>
            </w: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300" w:type="dxa"/>
            <w:vAlign w:val="bottom"/>
          </w:tcPr>
          <w:p>
            <w:pPr>
              <w:jc w:val="right"/>
              <w:spacing w:after="0"/>
              <w:rPr>
                <w:sz w:val="20"/>
                <w:szCs w:val="20"/>
                <w:color w:val="auto"/>
              </w:rPr>
            </w:pPr>
            <w:r>
              <w:rPr>
                <w:rFonts w:ascii="Arial" w:cs="Arial" w:eastAsia="Arial" w:hAnsi="Arial"/>
                <w:sz w:val="20"/>
                <w:szCs w:val="20"/>
                <w:color w:val="auto"/>
              </w:rPr>
              <w:t>27,240</w:t>
            </w:r>
          </w:p>
        </w:tc>
        <w:tc>
          <w:tcPr>
            <w:tcW w:w="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120" w:type="dxa"/>
            <w:vAlign w:val="bottom"/>
          </w:tcPr>
          <w:p>
            <w:pPr>
              <w:jc w:val="right"/>
              <w:spacing w:after="0"/>
              <w:rPr>
                <w:sz w:val="20"/>
                <w:szCs w:val="20"/>
                <w:color w:val="auto"/>
              </w:rPr>
            </w:pPr>
            <w:r>
              <w:rPr>
                <w:rFonts w:ascii="Arial" w:cs="Arial" w:eastAsia="Arial" w:hAnsi="Arial"/>
                <w:sz w:val="20"/>
                <w:szCs w:val="20"/>
                <w:color w:val="auto"/>
              </w:rPr>
              <w:t>219,358</w:t>
            </w:r>
          </w:p>
        </w:tc>
        <w:tc>
          <w:tcPr>
            <w:tcW w:w="0" w:type="dxa"/>
            <w:vAlign w:val="bottom"/>
          </w:tcPr>
          <w:p>
            <w:pPr>
              <w:spacing w:after="0"/>
              <w:rPr>
                <w:sz w:val="1"/>
                <w:szCs w:val="1"/>
                <w:color w:val="auto"/>
              </w:rPr>
            </w:pPr>
          </w:p>
        </w:tc>
      </w:tr>
      <w:tr>
        <w:trPr>
          <w:trHeight w:val="270"/>
        </w:trPr>
        <w:tc>
          <w:tcPr>
            <w:tcW w:w="296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25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23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600" w:type="dxa"/>
            <w:vAlign w:val="bottom"/>
            <w:shd w:val="clear" w:color="auto" w:fill="CCEEFF"/>
          </w:tcPr>
          <w:p>
            <w:pPr>
              <w:spacing w:after="0"/>
              <w:rPr>
                <w:sz w:val="23"/>
                <w:szCs w:val="23"/>
                <w:color w:val="auto"/>
              </w:rPr>
            </w:pPr>
          </w:p>
        </w:tc>
        <w:tc>
          <w:tcPr>
            <w:tcW w:w="21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2960" w:type="dxa"/>
            <w:vAlign w:val="bottom"/>
          </w:tcPr>
          <w:p>
            <w:pPr>
              <w:ind w:left="20"/>
              <w:spacing w:after="0"/>
              <w:rPr>
                <w:sz w:val="20"/>
                <w:szCs w:val="20"/>
                <w:color w:val="auto"/>
              </w:rPr>
            </w:pPr>
            <w:r>
              <w:rPr>
                <w:rFonts w:ascii="Arial" w:cs="Arial" w:eastAsia="Arial" w:hAnsi="Arial"/>
                <w:sz w:val="20"/>
                <w:szCs w:val="20"/>
                <w:color w:val="auto"/>
              </w:rPr>
              <w:t>Total operating expenses</w:t>
            </w:r>
          </w:p>
        </w:tc>
        <w:tc>
          <w:tcPr>
            <w:tcW w:w="160" w:type="dxa"/>
            <w:vAlign w:val="bottom"/>
          </w:tcPr>
          <w:p>
            <w:pPr>
              <w:spacing w:after="0"/>
              <w:rPr>
                <w:sz w:val="22"/>
                <w:szCs w:val="22"/>
                <w:color w:val="auto"/>
              </w:rPr>
            </w:pPr>
          </w:p>
        </w:tc>
        <w:tc>
          <w:tcPr>
            <w:tcW w:w="2620" w:type="dxa"/>
            <w:vAlign w:val="bottom"/>
            <w:gridSpan w:val="2"/>
          </w:tcPr>
          <w:p>
            <w:pPr>
              <w:jc w:val="right"/>
              <w:ind w:right="160"/>
              <w:spacing w:after="0"/>
              <w:rPr>
                <w:sz w:val="20"/>
                <w:szCs w:val="20"/>
                <w:color w:val="auto"/>
              </w:rPr>
            </w:pPr>
            <w:r>
              <w:rPr>
                <w:rFonts w:ascii="Arial" w:cs="Arial" w:eastAsia="Arial" w:hAnsi="Arial"/>
                <w:sz w:val="20"/>
                <w:szCs w:val="20"/>
                <w:color w:val="auto"/>
              </w:rPr>
              <w:t>—</w:t>
            </w:r>
          </w:p>
        </w:tc>
        <w:tc>
          <w:tcPr>
            <w:tcW w:w="400" w:type="dxa"/>
            <w:vAlign w:val="bottom"/>
          </w:tcPr>
          <w:p>
            <w:pPr>
              <w:spacing w:after="0"/>
              <w:rPr>
                <w:sz w:val="22"/>
                <w:szCs w:val="22"/>
                <w:color w:val="auto"/>
              </w:rPr>
            </w:pPr>
          </w:p>
        </w:tc>
        <w:tc>
          <w:tcPr>
            <w:tcW w:w="2380" w:type="dxa"/>
            <w:vAlign w:val="bottom"/>
            <w:gridSpan w:val="2"/>
          </w:tcPr>
          <w:p>
            <w:pPr>
              <w:jc w:val="right"/>
              <w:ind w:right="160"/>
              <w:spacing w:after="0"/>
              <w:rPr>
                <w:sz w:val="20"/>
                <w:szCs w:val="20"/>
                <w:color w:val="auto"/>
              </w:rPr>
            </w:pPr>
            <w:r>
              <w:rPr>
                <w:rFonts w:ascii="Arial" w:cs="Arial" w:eastAsia="Arial" w:hAnsi="Arial"/>
                <w:sz w:val="20"/>
                <w:szCs w:val="20"/>
                <w:color w:val="auto"/>
              </w:rPr>
              <w:t>—</w:t>
            </w:r>
          </w:p>
        </w:tc>
        <w:tc>
          <w:tcPr>
            <w:tcW w:w="600" w:type="dxa"/>
            <w:vAlign w:val="bottom"/>
          </w:tcPr>
          <w:p>
            <w:pPr>
              <w:spacing w:after="0"/>
              <w:rPr>
                <w:sz w:val="22"/>
                <w:szCs w:val="22"/>
                <w:color w:val="auto"/>
              </w:rPr>
            </w:pPr>
          </w:p>
        </w:tc>
        <w:tc>
          <w:tcPr>
            <w:tcW w:w="2120" w:type="dxa"/>
            <w:vAlign w:val="bottom"/>
          </w:tcPr>
          <w:p>
            <w:pPr>
              <w:jc w:val="right"/>
              <w:spacing w:after="0"/>
              <w:rPr>
                <w:sz w:val="20"/>
                <w:szCs w:val="20"/>
                <w:color w:val="auto"/>
              </w:rPr>
            </w:pPr>
            <w:r>
              <w:rPr>
                <w:rFonts w:ascii="Arial" w:cs="Arial" w:eastAsia="Arial" w:hAnsi="Arial"/>
                <w:sz w:val="20"/>
                <w:szCs w:val="20"/>
                <w:color w:val="auto"/>
              </w:rPr>
              <w:t>(304,017)</w:t>
            </w:r>
          </w:p>
        </w:tc>
        <w:tc>
          <w:tcPr>
            <w:tcW w:w="0" w:type="dxa"/>
            <w:vAlign w:val="bottom"/>
          </w:tcPr>
          <w:p>
            <w:pPr>
              <w:spacing w:after="0"/>
              <w:rPr>
                <w:sz w:val="1"/>
                <w:szCs w:val="1"/>
                <w:color w:val="auto"/>
              </w:rPr>
            </w:pPr>
          </w:p>
        </w:tc>
      </w:tr>
      <w:tr>
        <w:trPr>
          <w:trHeight w:val="256"/>
        </w:trPr>
        <w:tc>
          <w:tcPr>
            <w:tcW w:w="2960" w:type="dxa"/>
            <w:vAlign w:val="bottom"/>
            <w:shd w:val="clear" w:color="auto" w:fill="CCEEFF"/>
          </w:tcPr>
          <w:p>
            <w:pPr>
              <w:ind w:left="20"/>
              <w:spacing w:after="0"/>
              <w:rPr>
                <w:sz w:val="20"/>
                <w:szCs w:val="20"/>
                <w:color w:val="auto"/>
              </w:rPr>
            </w:pPr>
            <w:r>
              <w:rPr>
                <w:rFonts w:ascii="Arial" w:cs="Arial" w:eastAsia="Arial" w:hAnsi="Arial"/>
                <w:sz w:val="20"/>
                <w:szCs w:val="20"/>
                <w:color w:val="auto"/>
              </w:rPr>
              <w:t>Total other expense, net</w:t>
            </w:r>
          </w:p>
        </w:tc>
        <w:tc>
          <w:tcPr>
            <w:tcW w:w="160" w:type="dxa"/>
            <w:vAlign w:val="bottom"/>
            <w:shd w:val="clear" w:color="auto" w:fill="CCEEFF"/>
          </w:tcPr>
          <w:p>
            <w:pPr>
              <w:spacing w:after="0"/>
              <w:rPr>
                <w:sz w:val="22"/>
                <w:szCs w:val="22"/>
                <w:color w:val="auto"/>
              </w:rPr>
            </w:pPr>
          </w:p>
        </w:tc>
        <w:tc>
          <w:tcPr>
            <w:tcW w:w="2620" w:type="dxa"/>
            <w:vAlign w:val="bottom"/>
            <w:gridSpan w:val="2"/>
            <w:shd w:val="clear" w:color="auto" w:fill="CCEEFF"/>
          </w:tcPr>
          <w:p>
            <w:pPr>
              <w:jc w:val="right"/>
              <w:ind w:right="160"/>
              <w:spacing w:after="0"/>
              <w:rPr>
                <w:sz w:val="20"/>
                <w:szCs w:val="20"/>
                <w:color w:val="auto"/>
              </w:rPr>
            </w:pPr>
            <w:r>
              <w:rPr>
                <w:rFonts w:ascii="Arial" w:cs="Arial" w:eastAsia="Arial" w:hAnsi="Arial"/>
                <w:sz w:val="20"/>
                <w:szCs w:val="20"/>
                <w:color w:val="auto"/>
              </w:rPr>
              <w:t>—</w:t>
            </w:r>
          </w:p>
        </w:tc>
        <w:tc>
          <w:tcPr>
            <w:tcW w:w="400" w:type="dxa"/>
            <w:vAlign w:val="bottom"/>
            <w:shd w:val="clear" w:color="auto" w:fill="CCEEFF"/>
          </w:tcPr>
          <w:p>
            <w:pPr>
              <w:spacing w:after="0"/>
              <w:rPr>
                <w:sz w:val="22"/>
                <w:szCs w:val="22"/>
                <w:color w:val="auto"/>
              </w:rPr>
            </w:pPr>
          </w:p>
        </w:tc>
        <w:tc>
          <w:tcPr>
            <w:tcW w:w="2380" w:type="dxa"/>
            <w:vAlign w:val="bottom"/>
            <w:gridSpan w:val="2"/>
            <w:shd w:val="clear" w:color="auto" w:fill="CCEEFF"/>
          </w:tcPr>
          <w:p>
            <w:pPr>
              <w:jc w:val="right"/>
              <w:ind w:right="160"/>
              <w:spacing w:after="0"/>
              <w:rPr>
                <w:sz w:val="20"/>
                <w:szCs w:val="20"/>
                <w:color w:val="auto"/>
              </w:rPr>
            </w:pPr>
            <w:r>
              <w:rPr>
                <w:rFonts w:ascii="Arial" w:cs="Arial" w:eastAsia="Arial" w:hAnsi="Arial"/>
                <w:sz w:val="20"/>
                <w:szCs w:val="20"/>
                <w:color w:val="auto"/>
              </w:rPr>
              <w:t>—</w:t>
            </w:r>
          </w:p>
        </w:tc>
        <w:tc>
          <w:tcPr>
            <w:tcW w:w="600" w:type="dxa"/>
            <w:vAlign w:val="bottom"/>
            <w:tcBorders>
              <w:bottom w:val="single" w:sz="8" w:color="auto"/>
            </w:tcBorders>
            <w:shd w:val="clear" w:color="auto" w:fill="CCEEFF"/>
          </w:tcPr>
          <w:p>
            <w:pPr>
              <w:spacing w:after="0"/>
              <w:rPr>
                <w:sz w:val="22"/>
                <w:szCs w:val="22"/>
                <w:color w:val="auto"/>
              </w:rPr>
            </w:pPr>
          </w:p>
        </w:tc>
        <w:tc>
          <w:tcPr>
            <w:tcW w:w="2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(15,868)</w:t>
            </w:r>
          </w:p>
        </w:tc>
        <w:tc>
          <w:tcPr>
            <w:tcW w:w="0" w:type="dxa"/>
            <w:vAlign w:val="bottom"/>
          </w:tcPr>
          <w:p>
            <w:pPr>
              <w:spacing w:after="0"/>
              <w:rPr>
                <w:sz w:val="1"/>
                <w:szCs w:val="1"/>
                <w:color w:val="auto"/>
              </w:rPr>
            </w:pPr>
          </w:p>
        </w:tc>
      </w:tr>
      <w:tr>
        <w:trPr>
          <w:trHeight w:val="250"/>
        </w:trPr>
        <w:tc>
          <w:tcPr>
            <w:tcW w:w="2960" w:type="dxa"/>
            <w:vAlign w:val="bottom"/>
          </w:tcPr>
          <w:p>
            <w:pPr>
              <w:ind w:left="20"/>
              <w:spacing w:after="0"/>
              <w:rPr>
                <w:sz w:val="20"/>
                <w:szCs w:val="20"/>
                <w:color w:val="auto"/>
              </w:rPr>
            </w:pPr>
            <w:r>
              <w:rPr>
                <w:rFonts w:ascii="Arial" w:cs="Arial" w:eastAsia="Arial" w:hAnsi="Arial"/>
                <w:sz w:val="20"/>
                <w:szCs w:val="20"/>
                <w:b w:val="1"/>
                <w:bCs w:val="1"/>
                <w:color w:val="auto"/>
              </w:rPr>
              <w:t>Income before income taxes</w:t>
            </w:r>
          </w:p>
        </w:tc>
        <w:tc>
          <w:tcPr>
            <w:tcW w:w="160" w:type="dxa"/>
            <w:vAlign w:val="bottom"/>
          </w:tcPr>
          <w:p>
            <w:pPr>
              <w:spacing w:after="0"/>
              <w:rPr>
                <w:sz w:val="21"/>
                <w:szCs w:val="21"/>
                <w:color w:val="auto"/>
              </w:rPr>
            </w:pPr>
          </w:p>
        </w:tc>
        <w:tc>
          <w:tcPr>
            <w:tcW w:w="25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3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0" w:type="dxa"/>
            <w:vAlign w:val="bottom"/>
            <w:tcBorders>
              <w:bottom w:val="single" w:sz="8" w:color="auto"/>
            </w:tcBorders>
          </w:tcPr>
          <w:p>
            <w:pPr>
              <w:jc w:val="right"/>
              <w:ind w:right="361"/>
              <w:spacing w:after="0"/>
              <w:rPr>
                <w:sz w:val="20"/>
                <w:szCs w:val="20"/>
                <w:color w:val="auto"/>
              </w:rPr>
            </w:pPr>
            <w:r>
              <w:rPr>
                <w:rFonts w:ascii="Arial" w:cs="Arial" w:eastAsia="Arial" w:hAnsi="Arial"/>
                <w:sz w:val="20"/>
                <w:szCs w:val="20"/>
                <w:color w:val="auto"/>
              </w:rPr>
              <w:t>$</w:t>
            </w:r>
          </w:p>
        </w:tc>
        <w:tc>
          <w:tcPr>
            <w:tcW w:w="21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(100,527)</w:t>
            </w:r>
          </w:p>
        </w:tc>
        <w:tc>
          <w:tcPr>
            <w:tcW w:w="0" w:type="dxa"/>
            <w:vAlign w:val="bottom"/>
          </w:tcPr>
          <w:p>
            <w:pPr>
              <w:spacing w:after="0"/>
              <w:rPr>
                <w:sz w:val="1"/>
                <w:szCs w:val="1"/>
                <w:color w:val="auto"/>
              </w:rPr>
            </w:pPr>
          </w:p>
        </w:tc>
      </w:tr>
      <w:tr>
        <w:trPr>
          <w:trHeight w:val="20"/>
        </w:trPr>
        <w:tc>
          <w:tcPr>
            <w:tcW w:w="296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25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CCEEFF"/>
            </w:tcBorders>
          </w:tcPr>
          <w:p>
            <w:pPr>
              <w:spacing w:after="0" w:line="20" w:lineRule="exact"/>
              <w:rPr>
                <w:sz w:val="1"/>
                <w:szCs w:val="1"/>
                <w:color w:val="auto"/>
              </w:rPr>
            </w:pPr>
          </w:p>
        </w:tc>
        <w:tc>
          <w:tcPr>
            <w:tcW w:w="23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9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25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23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2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2960" w:type="dxa"/>
            <w:vAlign w:val="bottom"/>
          </w:tcPr>
          <w:p>
            <w:pPr>
              <w:ind w:left="20"/>
              <w:spacing w:after="0"/>
              <w:rPr>
                <w:sz w:val="20"/>
                <w:szCs w:val="20"/>
                <w:color w:val="auto"/>
              </w:rPr>
            </w:pPr>
            <w:r>
              <w:rPr>
                <w:rFonts w:ascii="Arial" w:cs="Arial" w:eastAsia="Arial" w:hAnsi="Arial"/>
                <w:sz w:val="20"/>
                <w:szCs w:val="20"/>
                <w:color w:val="auto"/>
              </w:rPr>
              <w:t>Segment assets</w:t>
            </w:r>
          </w:p>
        </w:tc>
        <w:tc>
          <w:tcPr>
            <w:tcW w:w="160" w:type="dxa"/>
            <w:vAlign w:val="bottom"/>
          </w:tcPr>
          <w:p>
            <w:pPr>
              <w:spacing w:after="0"/>
              <w:rPr>
                <w:sz w:val="22"/>
                <w:szCs w:val="22"/>
                <w:color w:val="auto"/>
              </w:rPr>
            </w:pPr>
          </w:p>
        </w:tc>
        <w:tc>
          <w:tcPr>
            <w:tcW w:w="2540" w:type="dxa"/>
            <w:vAlign w:val="bottom"/>
          </w:tcPr>
          <w:p>
            <w:pPr>
              <w:jc w:val="right"/>
              <w:spacing w:after="0"/>
              <w:rPr>
                <w:sz w:val="20"/>
                <w:szCs w:val="20"/>
                <w:color w:val="auto"/>
              </w:rPr>
            </w:pPr>
            <w:r>
              <w:rPr>
                <w:rFonts w:ascii="Arial" w:cs="Arial" w:eastAsia="Arial" w:hAnsi="Arial"/>
                <w:sz w:val="20"/>
                <w:szCs w:val="20"/>
                <w:color w:val="auto"/>
              </w:rPr>
              <w:t>898,159</w:t>
            </w:r>
          </w:p>
        </w:tc>
        <w:tc>
          <w:tcPr>
            <w:tcW w:w="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2300" w:type="dxa"/>
            <w:vAlign w:val="bottom"/>
          </w:tcPr>
          <w:p>
            <w:pPr>
              <w:jc w:val="right"/>
              <w:spacing w:after="0"/>
              <w:rPr>
                <w:sz w:val="20"/>
                <w:szCs w:val="20"/>
                <w:color w:val="auto"/>
              </w:rPr>
            </w:pPr>
            <w:r>
              <w:rPr>
                <w:rFonts w:ascii="Arial" w:cs="Arial" w:eastAsia="Arial" w:hAnsi="Arial"/>
                <w:sz w:val="20"/>
                <w:szCs w:val="20"/>
                <w:color w:val="auto"/>
              </w:rPr>
              <w:t>664,945</w:t>
            </w:r>
          </w:p>
        </w:tc>
        <w:tc>
          <w:tcPr>
            <w:tcW w:w="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120" w:type="dxa"/>
            <w:vAlign w:val="bottom"/>
          </w:tcPr>
          <w:p>
            <w:pPr>
              <w:jc w:val="right"/>
              <w:spacing w:after="0"/>
              <w:rPr>
                <w:sz w:val="20"/>
                <w:szCs w:val="20"/>
                <w:color w:val="auto"/>
              </w:rPr>
            </w:pPr>
            <w:r>
              <w:rPr>
                <w:rFonts w:ascii="Arial" w:cs="Arial" w:eastAsia="Arial" w:hAnsi="Arial"/>
                <w:sz w:val="20"/>
                <w:szCs w:val="20"/>
                <w:color w:val="auto"/>
              </w:rPr>
              <w:t>1,563,104</w:t>
            </w:r>
          </w:p>
        </w:tc>
        <w:tc>
          <w:tcPr>
            <w:tcW w:w="0" w:type="dxa"/>
            <w:vAlign w:val="bottom"/>
          </w:tcPr>
          <w:p>
            <w:pPr>
              <w:spacing w:after="0"/>
              <w:rPr>
                <w:sz w:val="1"/>
                <w:szCs w:val="1"/>
                <w:color w:val="auto"/>
              </w:rPr>
            </w:pPr>
          </w:p>
        </w:tc>
      </w:tr>
      <w:tr>
        <w:trPr>
          <w:trHeight w:val="256"/>
        </w:trPr>
        <w:tc>
          <w:tcPr>
            <w:tcW w:w="2960" w:type="dxa"/>
            <w:vAlign w:val="bottom"/>
            <w:shd w:val="clear" w:color="auto" w:fill="CCEEFF"/>
          </w:tcPr>
          <w:p>
            <w:pPr>
              <w:ind w:left="20"/>
              <w:spacing w:after="0"/>
              <w:rPr>
                <w:sz w:val="20"/>
                <w:szCs w:val="20"/>
                <w:color w:val="auto"/>
              </w:rPr>
            </w:pPr>
            <w:r>
              <w:rPr>
                <w:rFonts w:ascii="Arial" w:cs="Arial" w:eastAsia="Arial" w:hAnsi="Arial"/>
                <w:sz w:val="20"/>
                <w:szCs w:val="20"/>
                <w:color w:val="auto"/>
              </w:rPr>
              <w:t>Capital expenditures</w:t>
            </w:r>
          </w:p>
        </w:tc>
        <w:tc>
          <w:tcPr>
            <w:tcW w:w="160" w:type="dxa"/>
            <w:vAlign w:val="bottom"/>
            <w:shd w:val="clear" w:color="auto" w:fill="CCEEFF"/>
          </w:tcPr>
          <w:p>
            <w:pPr>
              <w:spacing w:after="0"/>
              <w:rPr>
                <w:sz w:val="22"/>
                <w:szCs w:val="22"/>
                <w:color w:val="auto"/>
              </w:rPr>
            </w:pPr>
          </w:p>
        </w:tc>
        <w:tc>
          <w:tcPr>
            <w:tcW w:w="25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4,283</w:t>
            </w:r>
          </w:p>
        </w:tc>
        <w:tc>
          <w:tcPr>
            <w:tcW w:w="8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23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1,321</w:t>
            </w:r>
          </w:p>
        </w:tc>
        <w:tc>
          <w:tcPr>
            <w:tcW w:w="80" w:type="dxa"/>
            <w:vAlign w:val="bottom"/>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c>
          <w:tcPr>
            <w:tcW w:w="21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5,604</w:t>
            </w:r>
          </w:p>
        </w:tc>
        <w:tc>
          <w:tcPr>
            <w:tcW w:w="0" w:type="dxa"/>
            <w:vAlign w:val="bottom"/>
          </w:tcPr>
          <w:p>
            <w:pPr>
              <w:spacing w:after="0"/>
              <w:rPr>
                <w:sz w:val="1"/>
                <w:szCs w:val="1"/>
                <w:color w:val="auto"/>
              </w:rPr>
            </w:pPr>
          </w:p>
        </w:tc>
      </w:tr>
      <w:tr>
        <w:trPr>
          <w:trHeight w:val="257"/>
        </w:trPr>
        <w:tc>
          <w:tcPr>
            <w:tcW w:w="2960" w:type="dxa"/>
            <w:vAlign w:val="bottom"/>
          </w:tcPr>
          <w:p>
            <w:pPr>
              <w:ind w:left="20"/>
              <w:spacing w:after="0"/>
              <w:rPr>
                <w:sz w:val="20"/>
                <w:szCs w:val="20"/>
                <w:color w:val="auto"/>
              </w:rPr>
            </w:pPr>
            <w:r>
              <w:rPr>
                <w:rFonts w:ascii="Arial" w:cs="Arial" w:eastAsia="Arial" w:hAnsi="Arial"/>
                <w:sz w:val="20"/>
                <w:szCs w:val="20"/>
                <w:color w:val="auto"/>
              </w:rPr>
              <w:t>Depreciation and amortization</w:t>
            </w:r>
          </w:p>
        </w:tc>
        <w:tc>
          <w:tcPr>
            <w:tcW w:w="160" w:type="dxa"/>
            <w:vAlign w:val="bottom"/>
          </w:tcPr>
          <w:p>
            <w:pPr>
              <w:spacing w:after="0"/>
              <w:rPr>
                <w:sz w:val="22"/>
                <w:szCs w:val="22"/>
                <w:color w:val="auto"/>
              </w:rPr>
            </w:pPr>
          </w:p>
        </w:tc>
        <w:tc>
          <w:tcPr>
            <w:tcW w:w="2540" w:type="dxa"/>
            <w:vAlign w:val="bottom"/>
          </w:tcPr>
          <w:p>
            <w:pPr>
              <w:jc w:val="right"/>
              <w:spacing w:after="0"/>
              <w:rPr>
                <w:sz w:val="20"/>
                <w:szCs w:val="20"/>
                <w:color w:val="auto"/>
              </w:rPr>
            </w:pPr>
            <w:r>
              <w:rPr>
                <w:rFonts w:ascii="Arial" w:cs="Arial" w:eastAsia="Arial" w:hAnsi="Arial"/>
                <w:sz w:val="20"/>
                <w:szCs w:val="20"/>
                <w:color w:val="auto"/>
              </w:rPr>
              <w:t>20,428</w:t>
            </w:r>
          </w:p>
        </w:tc>
        <w:tc>
          <w:tcPr>
            <w:tcW w:w="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2300" w:type="dxa"/>
            <w:vAlign w:val="bottom"/>
          </w:tcPr>
          <w:p>
            <w:pPr>
              <w:jc w:val="right"/>
              <w:spacing w:after="0"/>
              <w:rPr>
                <w:sz w:val="20"/>
                <w:szCs w:val="20"/>
                <w:color w:val="auto"/>
              </w:rPr>
            </w:pPr>
            <w:r>
              <w:rPr>
                <w:rFonts w:ascii="Arial" w:cs="Arial" w:eastAsia="Arial" w:hAnsi="Arial"/>
                <w:sz w:val="20"/>
                <w:szCs w:val="20"/>
                <w:color w:val="auto"/>
              </w:rPr>
              <w:t>19,505</w:t>
            </w:r>
          </w:p>
        </w:tc>
        <w:tc>
          <w:tcPr>
            <w:tcW w:w="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120" w:type="dxa"/>
            <w:vAlign w:val="bottom"/>
          </w:tcPr>
          <w:p>
            <w:pPr>
              <w:jc w:val="right"/>
              <w:spacing w:after="0"/>
              <w:rPr>
                <w:sz w:val="20"/>
                <w:szCs w:val="20"/>
                <w:color w:val="auto"/>
              </w:rPr>
            </w:pPr>
            <w:r>
              <w:rPr>
                <w:rFonts w:ascii="Arial" w:cs="Arial" w:eastAsia="Arial" w:hAnsi="Arial"/>
                <w:sz w:val="20"/>
                <w:szCs w:val="20"/>
                <w:color w:val="auto"/>
              </w:rPr>
              <w:t>39,933</w:t>
            </w:r>
          </w:p>
        </w:tc>
        <w:tc>
          <w:tcPr>
            <w:tcW w:w="0" w:type="dxa"/>
            <w:vAlign w:val="bottom"/>
          </w:tcPr>
          <w:p>
            <w:pPr>
              <w:spacing w:after="0"/>
              <w:rPr>
                <w:sz w:val="1"/>
                <w:szCs w:val="1"/>
                <w:color w:val="auto"/>
              </w:rPr>
            </w:pPr>
          </w:p>
        </w:tc>
      </w:tr>
      <w:tr>
        <w:trPr>
          <w:trHeight w:val="256"/>
        </w:trPr>
        <w:tc>
          <w:tcPr>
            <w:tcW w:w="2960" w:type="dxa"/>
            <w:vAlign w:val="bottom"/>
            <w:shd w:val="clear" w:color="auto" w:fill="CCEEFF"/>
          </w:tcPr>
          <w:p>
            <w:pPr>
              <w:ind w:left="20"/>
              <w:spacing w:after="0"/>
              <w:rPr>
                <w:sz w:val="20"/>
                <w:szCs w:val="20"/>
                <w:color w:val="auto"/>
              </w:rPr>
            </w:pPr>
            <w:r>
              <w:rPr>
                <w:rFonts w:ascii="Arial" w:cs="Arial" w:eastAsia="Arial" w:hAnsi="Arial"/>
                <w:sz w:val="20"/>
                <w:szCs w:val="20"/>
                <w:color w:val="auto"/>
              </w:rPr>
              <w:t>Interest income</w:t>
            </w:r>
          </w:p>
        </w:tc>
        <w:tc>
          <w:tcPr>
            <w:tcW w:w="160" w:type="dxa"/>
            <w:vAlign w:val="bottom"/>
            <w:shd w:val="clear" w:color="auto" w:fill="CCEEFF"/>
          </w:tcPr>
          <w:p>
            <w:pPr>
              <w:spacing w:after="0"/>
              <w:rPr>
                <w:sz w:val="22"/>
                <w:szCs w:val="22"/>
                <w:color w:val="auto"/>
              </w:rPr>
            </w:pPr>
          </w:p>
        </w:tc>
        <w:tc>
          <w:tcPr>
            <w:tcW w:w="25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8,816</w:t>
            </w:r>
          </w:p>
        </w:tc>
        <w:tc>
          <w:tcPr>
            <w:tcW w:w="8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23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3,869</w:t>
            </w:r>
          </w:p>
        </w:tc>
        <w:tc>
          <w:tcPr>
            <w:tcW w:w="80" w:type="dxa"/>
            <w:vAlign w:val="bottom"/>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c>
          <w:tcPr>
            <w:tcW w:w="21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12,685</w:t>
            </w:r>
          </w:p>
        </w:tc>
        <w:tc>
          <w:tcPr>
            <w:tcW w:w="0" w:type="dxa"/>
            <w:vAlign w:val="bottom"/>
          </w:tcPr>
          <w:p>
            <w:pPr>
              <w:spacing w:after="0"/>
              <w:rPr>
                <w:sz w:val="1"/>
                <w:szCs w:val="1"/>
                <w:color w:val="auto"/>
              </w:rPr>
            </w:pPr>
          </w:p>
        </w:tc>
      </w:tr>
      <w:tr>
        <w:trPr>
          <w:trHeight w:val="261"/>
        </w:trPr>
        <w:tc>
          <w:tcPr>
            <w:tcW w:w="2960" w:type="dxa"/>
            <w:vAlign w:val="bottom"/>
          </w:tcPr>
          <w:p>
            <w:pPr>
              <w:ind w:left="20"/>
              <w:spacing w:after="0"/>
              <w:rPr>
                <w:sz w:val="20"/>
                <w:szCs w:val="20"/>
                <w:color w:val="auto"/>
              </w:rPr>
            </w:pPr>
            <w:r>
              <w:rPr>
                <w:rFonts w:ascii="Arial" w:cs="Arial" w:eastAsia="Arial" w:hAnsi="Arial"/>
                <w:sz w:val="20"/>
                <w:szCs w:val="20"/>
                <w:color w:val="auto"/>
              </w:rPr>
              <w:t>Interest expense</w:t>
            </w:r>
          </w:p>
        </w:tc>
        <w:tc>
          <w:tcPr>
            <w:tcW w:w="160" w:type="dxa"/>
            <w:vAlign w:val="bottom"/>
          </w:tcPr>
          <w:p>
            <w:pPr>
              <w:spacing w:after="0"/>
              <w:rPr>
                <w:sz w:val="22"/>
                <w:szCs w:val="22"/>
                <w:color w:val="auto"/>
              </w:rPr>
            </w:pPr>
          </w:p>
        </w:tc>
        <w:tc>
          <w:tcPr>
            <w:tcW w:w="2540" w:type="dxa"/>
            <w:vAlign w:val="bottom"/>
          </w:tcPr>
          <w:p>
            <w:pPr>
              <w:jc w:val="right"/>
              <w:spacing w:after="0"/>
              <w:rPr>
                <w:sz w:val="20"/>
                <w:szCs w:val="20"/>
                <w:color w:val="auto"/>
              </w:rPr>
            </w:pPr>
            <w:r>
              <w:rPr>
                <w:rFonts w:ascii="Arial" w:cs="Arial" w:eastAsia="Arial" w:hAnsi="Arial"/>
                <w:sz w:val="20"/>
                <w:szCs w:val="20"/>
                <w:color w:val="auto"/>
              </w:rPr>
              <w:t>24,134</w:t>
            </w:r>
          </w:p>
        </w:tc>
        <w:tc>
          <w:tcPr>
            <w:tcW w:w="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2300" w:type="dxa"/>
            <w:vAlign w:val="bottom"/>
          </w:tcPr>
          <w:p>
            <w:pPr>
              <w:jc w:val="right"/>
              <w:spacing w:after="0"/>
              <w:rPr>
                <w:sz w:val="20"/>
                <w:szCs w:val="20"/>
                <w:color w:val="auto"/>
              </w:rPr>
            </w:pPr>
            <w:r>
              <w:rPr>
                <w:rFonts w:ascii="Arial" w:cs="Arial" w:eastAsia="Arial" w:hAnsi="Arial"/>
                <w:sz w:val="20"/>
                <w:szCs w:val="20"/>
                <w:color w:val="auto"/>
              </w:rPr>
              <w:t>1,684</w:t>
            </w:r>
          </w:p>
        </w:tc>
        <w:tc>
          <w:tcPr>
            <w:tcW w:w="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120" w:type="dxa"/>
            <w:vAlign w:val="bottom"/>
          </w:tcPr>
          <w:p>
            <w:pPr>
              <w:jc w:val="right"/>
              <w:spacing w:after="0"/>
              <w:rPr>
                <w:sz w:val="20"/>
                <w:szCs w:val="20"/>
                <w:color w:val="auto"/>
              </w:rPr>
            </w:pPr>
            <w:r>
              <w:rPr>
                <w:rFonts w:ascii="Arial" w:cs="Arial" w:eastAsia="Arial" w:hAnsi="Arial"/>
                <w:sz w:val="20"/>
                <w:szCs w:val="20"/>
                <w:color w:val="auto"/>
              </w:rPr>
              <w:t>25,818</w:t>
            </w:r>
          </w:p>
        </w:tc>
        <w:tc>
          <w:tcPr>
            <w:tcW w:w="0" w:type="dxa"/>
            <w:vAlign w:val="bottom"/>
          </w:tcPr>
          <w:p>
            <w:pPr>
              <w:spacing w:after="0"/>
              <w:rPr>
                <w:sz w:val="1"/>
                <w:szCs w:val="1"/>
                <w:color w:val="auto"/>
              </w:rPr>
            </w:pPr>
          </w:p>
        </w:tc>
      </w:tr>
    </w:tbl>
    <w:p>
      <w:pPr>
        <w:spacing w:after="0" w:line="311" w:lineRule="exact"/>
        <w:rPr>
          <w:sz w:val="20"/>
          <w:szCs w:val="20"/>
          <w:color w:val="auto"/>
        </w:rPr>
      </w:pPr>
    </w:p>
    <w:p>
      <w:pPr>
        <w:ind w:left="300" w:hanging="292"/>
        <w:spacing w:after="0"/>
        <w:tabs>
          <w:tab w:leader="none" w:pos="300" w:val="left"/>
        </w:tabs>
        <w:numPr>
          <w:ilvl w:val="0"/>
          <w:numId w:val="22"/>
        </w:numPr>
        <w:rPr>
          <w:rFonts w:ascii="Arial" w:cs="Arial" w:eastAsia="Arial" w:hAnsi="Arial"/>
          <w:sz w:val="20"/>
          <w:szCs w:val="20"/>
          <w:color w:val="auto"/>
        </w:rPr>
      </w:pPr>
      <w:r>
        <w:rPr>
          <w:rFonts w:ascii="Arial" w:cs="Arial" w:eastAsia="Arial" w:hAnsi="Arial"/>
          <w:sz w:val="20"/>
          <w:szCs w:val="20"/>
          <w:color w:val="auto"/>
        </w:rPr>
        <w:t>Includes 45X benefits realized.</w:t>
      </w:r>
    </w:p>
    <w:p>
      <w:pPr>
        <w:spacing w:after="0" w:line="31" w:lineRule="exact"/>
        <w:rPr>
          <w:rFonts w:ascii="Arial" w:cs="Arial" w:eastAsia="Arial" w:hAnsi="Arial"/>
          <w:sz w:val="20"/>
          <w:szCs w:val="20"/>
          <w:color w:val="auto"/>
        </w:rPr>
      </w:pPr>
    </w:p>
    <w:p>
      <w:pPr>
        <w:jc w:val="both"/>
        <w:ind w:left="340" w:hanging="332"/>
        <w:spacing w:after="0" w:line="267" w:lineRule="auto"/>
        <w:tabs>
          <w:tab w:leader="none" w:pos="330" w:val="left"/>
        </w:tabs>
        <w:numPr>
          <w:ilvl w:val="0"/>
          <w:numId w:val="22"/>
        </w:numPr>
        <w:rPr>
          <w:rFonts w:ascii="Arial" w:cs="Arial" w:eastAsia="Arial" w:hAnsi="Arial"/>
          <w:sz w:val="20"/>
          <w:szCs w:val="20"/>
          <w:color w:val="auto"/>
        </w:rPr>
      </w:pPr>
      <w:r>
        <w:rPr>
          <w:rFonts w:ascii="Arial" w:cs="Arial" w:eastAsia="Arial" w:hAnsi="Arial"/>
          <w:sz w:val="20"/>
          <w:szCs w:val="20"/>
          <w:color w:val="auto"/>
        </w:rPr>
        <w:t>Other is primarily comprised of outbound freight and certain overhead costs. Outbound freight for the three months ended September 30, 2025 and 2024 for Array Legacy Operations was $12.0 million and $5.7 million, respectively. Outbound freight for the nine months ended September 30, 2025 and 2024 for Array Legacy Operations was $31.8 million and $16.4 million, respectively.</w:t>
      </w:r>
    </w:p>
    <w:p>
      <w:pPr>
        <w:spacing w:after="0" w:line="185" w:lineRule="exact"/>
        <w:rPr>
          <w:sz w:val="20"/>
          <w:szCs w:val="20"/>
          <w:color w:val="auto"/>
        </w:rPr>
      </w:pPr>
    </w:p>
    <w:p>
      <w:pPr>
        <w:ind w:left="500" w:hanging="492"/>
        <w:spacing w:after="0"/>
        <w:tabs>
          <w:tab w:leader="none" w:pos="500" w:val="left"/>
        </w:tabs>
        <w:numPr>
          <w:ilvl w:val="0"/>
          <w:numId w:val="23"/>
        </w:numPr>
        <w:rPr>
          <w:rFonts w:ascii="Arial" w:cs="Arial" w:eastAsia="Arial" w:hAnsi="Arial"/>
          <w:sz w:val="20"/>
          <w:szCs w:val="20"/>
          <w:b w:val="1"/>
          <w:bCs w:val="1"/>
          <w:color w:val="auto"/>
        </w:rPr>
      </w:pPr>
      <w:r>
        <w:rPr>
          <w:rFonts w:ascii="Arial" w:cs="Arial" w:eastAsia="Arial" w:hAnsi="Arial"/>
          <w:sz w:val="20"/>
          <w:szCs w:val="20"/>
          <w:b w:val="1"/>
          <w:bCs w:val="1"/>
          <w:color w:val="auto"/>
        </w:rPr>
        <w:t>Related Party Transactions</w:t>
      </w:r>
    </w:p>
    <w:p>
      <w:pPr>
        <w:spacing w:after="0" w:line="258" w:lineRule="exact"/>
        <w:rPr>
          <w:sz w:val="20"/>
          <w:szCs w:val="20"/>
          <w:color w:val="auto"/>
        </w:rPr>
      </w:pPr>
    </w:p>
    <w:p>
      <w:pPr>
        <w:jc w:val="both"/>
        <w:spacing w:after="0" w:line="265" w:lineRule="auto"/>
        <w:rPr>
          <w:sz w:val="20"/>
          <w:szCs w:val="20"/>
          <w:color w:val="auto"/>
        </w:rPr>
      </w:pPr>
      <w:r>
        <w:rPr>
          <w:rFonts w:ascii="Arial" w:cs="Arial" w:eastAsia="Arial" w:hAnsi="Arial"/>
          <w:sz w:val="20"/>
          <w:szCs w:val="20"/>
          <w:color w:val="auto"/>
        </w:rPr>
        <w:t>In connection with the acquisition of APA, the Company entered into lease agreements with related parties owned by certain members of APA's management team, which currently govern the occupation and use of two manufacturing facilities and three warehouses in Ohio. Each of the leases expires in 2030, with two five-year renewal options. The Company makes monthly lease payments based on APA's actual rent expense. In addition, the Company is responsible for the actual insurance costs, tenant improvements required to conduct operations, and real estate taxes.</w:t>
      </w:r>
    </w:p>
    <w:p>
      <w:pPr>
        <w:spacing w:after="0" w:line="202" w:lineRule="exact"/>
        <w:rPr>
          <w:sz w:val="20"/>
          <w:szCs w:val="20"/>
          <w:color w:val="auto"/>
        </w:rPr>
      </w:pPr>
    </w:p>
    <w:p>
      <w:pPr>
        <w:jc w:val="both"/>
        <w:spacing w:after="0" w:line="276" w:lineRule="auto"/>
        <w:rPr>
          <w:sz w:val="20"/>
          <w:szCs w:val="20"/>
          <w:color w:val="auto"/>
        </w:rPr>
      </w:pPr>
      <w:r>
        <w:rPr>
          <w:rFonts w:ascii="Arial" w:cs="Arial" w:eastAsia="Arial" w:hAnsi="Arial"/>
          <w:sz w:val="20"/>
          <w:szCs w:val="20"/>
          <w:color w:val="auto"/>
        </w:rPr>
        <w:t>Expenses related to these operating lease agreements are allocated based on usage to Cost of product and service revenue and General and administrative expenses in the accompanying condensed Consolidated statements of operations. Total costs related to these operating lease agreements were $0.4 million for the three and nine months ended September 30, 2025.</w:t>
      </w:r>
    </w:p>
    <w:p>
      <w:pPr>
        <w:sectPr>
          <w:pgSz w:w="11900" w:h="16838" w:orient="portrait"/>
          <w:cols w:equalWidth="0" w:num="1">
            <w:col w:w="11240"/>
          </w:cols>
          <w:pgMar w:left="320" w:top="156" w:right="339" w:bottom="350" w:gutter="0" w:footer="0" w:header="0"/>
        </w:sectPr>
      </w:pPr>
    </w:p>
    <w:bookmarkStart w:id="42" w:name="page43"/>
    <w:bookmarkEnd w:id="42"/>
    <w:p>
      <w:pPr>
        <w:jc w:val="center"/>
        <w:spacing w:after="0"/>
        <w:rPr>
          <w:sz w:val="20"/>
          <w:szCs w:val="20"/>
          <w:color w:val="auto"/>
        </w:rPr>
      </w:pPr>
      <w:r>
        <w:rPr>
          <w:rFonts w:ascii="Arial" w:cs="Arial" w:eastAsia="Arial" w:hAnsi="Arial"/>
          <w:sz w:val="19"/>
          <w:szCs w:val="19"/>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76835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266" w:right="1440" w:bottom="1440" w:gutter="0" w:footer="0" w:header="0"/>
        </w:sectPr>
      </w:pPr>
    </w:p>
    <w:bookmarkStart w:id="43" w:name="page44"/>
    <w:bookmarkEnd w:id="43"/>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261"/>
        </w:trPr>
        <w:tc>
          <w:tcPr>
            <w:tcW w:w="9160" w:type="dxa"/>
            <w:vAlign w:val="bottom"/>
          </w:tcPr>
          <w:p>
            <w:pPr>
              <w:spacing w:after="0"/>
              <w:rPr>
                <w:sz w:val="20"/>
                <w:szCs w:val="20"/>
                <w:color w:val="auto"/>
              </w:rPr>
            </w:pPr>
            <w:r>
              <w:rPr>
                <w:rFonts w:ascii="Arial" w:cs="Arial" w:eastAsia="Arial" w:hAnsi="Arial"/>
                <w:sz w:val="20"/>
                <w:szCs w:val="20"/>
                <w:color w:val="auto"/>
              </w:rPr>
              <w:t>Future minimum operating lease payments as of September 30, 2025, are as follows (in thousands):</w:t>
            </w:r>
          </w:p>
        </w:tc>
        <w:tc>
          <w:tcPr>
            <w:tcW w:w="160" w:type="dxa"/>
            <w:vAlign w:val="bottom"/>
          </w:tcPr>
          <w:p>
            <w:pPr>
              <w:spacing w:after="0"/>
              <w:rPr>
                <w:sz w:val="22"/>
                <w:szCs w:val="22"/>
                <w:color w:val="auto"/>
              </w:rPr>
            </w:pPr>
          </w:p>
        </w:tc>
        <w:tc>
          <w:tcPr>
            <w:tcW w:w="1920" w:type="dxa"/>
            <w:vAlign w:val="bottom"/>
          </w:tcPr>
          <w:p>
            <w:pPr>
              <w:spacing w:after="0"/>
              <w:rPr>
                <w:sz w:val="22"/>
                <w:szCs w:val="22"/>
                <w:color w:val="auto"/>
              </w:rPr>
            </w:pPr>
          </w:p>
        </w:tc>
      </w:tr>
      <w:tr>
        <w:trPr>
          <w:trHeight w:val="273"/>
        </w:trPr>
        <w:tc>
          <w:tcPr>
            <w:tcW w:w="916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920" w:type="dxa"/>
            <w:vAlign w:val="bottom"/>
            <w:tcBorders>
              <w:bottom w:val="single" w:sz="8" w:color="auto"/>
            </w:tcBorders>
          </w:tcPr>
          <w:p>
            <w:pPr>
              <w:jc w:val="right"/>
              <w:ind w:right="101"/>
              <w:spacing w:after="0"/>
              <w:rPr>
                <w:sz w:val="20"/>
                <w:szCs w:val="20"/>
                <w:color w:val="auto"/>
              </w:rPr>
            </w:pPr>
            <w:r>
              <w:rPr>
                <w:rFonts w:ascii="Arial" w:cs="Arial" w:eastAsia="Arial" w:hAnsi="Arial"/>
                <w:sz w:val="20"/>
                <w:szCs w:val="20"/>
                <w:b w:val="1"/>
                <w:bCs w:val="1"/>
                <w:color w:val="auto"/>
              </w:rPr>
              <w:t>Operating Leases</w:t>
            </w:r>
          </w:p>
        </w:tc>
      </w:tr>
      <w:tr>
        <w:trPr>
          <w:trHeight w:val="250"/>
        </w:trPr>
        <w:tc>
          <w:tcPr>
            <w:tcW w:w="9160" w:type="dxa"/>
            <w:vAlign w:val="bottom"/>
            <w:shd w:val="clear" w:color="auto" w:fill="CCEEFF"/>
          </w:tcPr>
          <w:p>
            <w:pPr>
              <w:ind w:left="20"/>
              <w:spacing w:after="0"/>
              <w:rPr>
                <w:sz w:val="20"/>
                <w:szCs w:val="20"/>
                <w:color w:val="auto"/>
              </w:rPr>
            </w:pPr>
            <w:r>
              <w:rPr>
                <w:rFonts w:ascii="Arial" w:cs="Arial" w:eastAsia="Arial" w:hAnsi="Arial"/>
                <w:sz w:val="20"/>
                <w:szCs w:val="20"/>
                <w:color w:val="auto"/>
              </w:rPr>
              <w:t>2025</w:t>
            </w:r>
          </w:p>
        </w:tc>
        <w:tc>
          <w:tcPr>
            <w:tcW w:w="160" w:type="dxa"/>
            <w:vAlign w:val="bottom"/>
            <w:shd w:val="clear" w:color="auto" w:fill="CCEEFF"/>
          </w:tcPr>
          <w:p>
            <w:pPr>
              <w:jc w:val="right"/>
              <w:spacing w:after="0"/>
              <w:rPr>
                <w:sz w:val="20"/>
                <w:szCs w:val="20"/>
                <w:color w:val="auto"/>
              </w:rPr>
            </w:pPr>
            <w:r>
              <w:rPr>
                <w:rFonts w:ascii="Arial" w:cs="Arial" w:eastAsia="Arial" w:hAnsi="Arial"/>
                <w:sz w:val="20"/>
                <w:szCs w:val="20"/>
                <w:color w:val="auto"/>
                <w:w w:val="89"/>
              </w:rPr>
              <w:t>$</w:t>
            </w:r>
          </w:p>
        </w:tc>
        <w:tc>
          <w:tcPr>
            <w:tcW w:w="19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926</w:t>
            </w:r>
          </w:p>
        </w:tc>
      </w:tr>
      <w:tr>
        <w:trPr>
          <w:trHeight w:val="257"/>
        </w:trPr>
        <w:tc>
          <w:tcPr>
            <w:tcW w:w="9160" w:type="dxa"/>
            <w:vAlign w:val="bottom"/>
          </w:tcPr>
          <w:p>
            <w:pPr>
              <w:ind w:left="20"/>
              <w:spacing w:after="0"/>
              <w:rPr>
                <w:sz w:val="20"/>
                <w:szCs w:val="20"/>
                <w:color w:val="auto"/>
              </w:rPr>
            </w:pPr>
            <w:r>
              <w:rPr>
                <w:rFonts w:ascii="Arial" w:cs="Arial" w:eastAsia="Arial" w:hAnsi="Arial"/>
                <w:sz w:val="20"/>
                <w:szCs w:val="20"/>
                <w:color w:val="auto"/>
              </w:rPr>
              <w:t>2026</w:t>
            </w:r>
          </w:p>
        </w:tc>
        <w:tc>
          <w:tcPr>
            <w:tcW w:w="160" w:type="dxa"/>
            <w:vAlign w:val="bottom"/>
          </w:tcPr>
          <w:p>
            <w:pPr>
              <w:spacing w:after="0"/>
              <w:rPr>
                <w:sz w:val="22"/>
                <w:szCs w:val="22"/>
                <w:color w:val="auto"/>
              </w:rPr>
            </w:pPr>
          </w:p>
        </w:tc>
        <w:tc>
          <w:tcPr>
            <w:tcW w:w="1920" w:type="dxa"/>
            <w:vAlign w:val="bottom"/>
          </w:tcPr>
          <w:p>
            <w:pPr>
              <w:jc w:val="right"/>
              <w:spacing w:after="0"/>
              <w:rPr>
                <w:sz w:val="20"/>
                <w:szCs w:val="20"/>
                <w:color w:val="auto"/>
              </w:rPr>
            </w:pPr>
            <w:r>
              <w:rPr>
                <w:rFonts w:ascii="Arial" w:cs="Arial" w:eastAsia="Arial" w:hAnsi="Arial"/>
                <w:sz w:val="20"/>
                <w:szCs w:val="20"/>
                <w:color w:val="auto"/>
              </w:rPr>
              <w:t>2,451</w:t>
            </w:r>
          </w:p>
        </w:tc>
      </w:tr>
      <w:tr>
        <w:trPr>
          <w:trHeight w:val="257"/>
        </w:trPr>
        <w:tc>
          <w:tcPr>
            <w:tcW w:w="9160" w:type="dxa"/>
            <w:vAlign w:val="bottom"/>
            <w:shd w:val="clear" w:color="auto" w:fill="CCEEFF"/>
          </w:tcPr>
          <w:p>
            <w:pPr>
              <w:ind w:left="20"/>
              <w:spacing w:after="0"/>
              <w:rPr>
                <w:sz w:val="20"/>
                <w:szCs w:val="20"/>
                <w:color w:val="auto"/>
              </w:rPr>
            </w:pPr>
            <w:r>
              <w:rPr>
                <w:rFonts w:ascii="Arial" w:cs="Arial" w:eastAsia="Arial" w:hAnsi="Arial"/>
                <w:sz w:val="20"/>
                <w:szCs w:val="20"/>
                <w:color w:val="auto"/>
              </w:rPr>
              <w:t>2027</w:t>
            </w:r>
          </w:p>
        </w:tc>
        <w:tc>
          <w:tcPr>
            <w:tcW w:w="160" w:type="dxa"/>
            <w:vAlign w:val="bottom"/>
            <w:shd w:val="clear" w:color="auto" w:fill="CCEEFF"/>
          </w:tcPr>
          <w:p>
            <w:pPr>
              <w:spacing w:after="0"/>
              <w:rPr>
                <w:sz w:val="22"/>
                <w:szCs w:val="22"/>
                <w:color w:val="auto"/>
              </w:rPr>
            </w:pPr>
          </w:p>
        </w:tc>
        <w:tc>
          <w:tcPr>
            <w:tcW w:w="19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2,531</w:t>
            </w:r>
          </w:p>
        </w:tc>
      </w:tr>
      <w:tr>
        <w:trPr>
          <w:trHeight w:val="256"/>
        </w:trPr>
        <w:tc>
          <w:tcPr>
            <w:tcW w:w="9160" w:type="dxa"/>
            <w:vAlign w:val="bottom"/>
          </w:tcPr>
          <w:p>
            <w:pPr>
              <w:ind w:left="20"/>
              <w:spacing w:after="0"/>
              <w:rPr>
                <w:sz w:val="20"/>
                <w:szCs w:val="20"/>
                <w:color w:val="auto"/>
              </w:rPr>
            </w:pPr>
            <w:r>
              <w:rPr>
                <w:rFonts w:ascii="Arial" w:cs="Arial" w:eastAsia="Arial" w:hAnsi="Arial"/>
                <w:sz w:val="20"/>
                <w:szCs w:val="20"/>
                <w:color w:val="auto"/>
              </w:rPr>
              <w:t>2028</w:t>
            </w:r>
          </w:p>
        </w:tc>
        <w:tc>
          <w:tcPr>
            <w:tcW w:w="160" w:type="dxa"/>
            <w:vAlign w:val="bottom"/>
          </w:tcPr>
          <w:p>
            <w:pPr>
              <w:spacing w:after="0"/>
              <w:rPr>
                <w:sz w:val="22"/>
                <w:szCs w:val="22"/>
                <w:color w:val="auto"/>
              </w:rPr>
            </w:pPr>
          </w:p>
        </w:tc>
        <w:tc>
          <w:tcPr>
            <w:tcW w:w="1920" w:type="dxa"/>
            <w:vAlign w:val="bottom"/>
          </w:tcPr>
          <w:p>
            <w:pPr>
              <w:jc w:val="right"/>
              <w:spacing w:after="0"/>
              <w:rPr>
                <w:sz w:val="20"/>
                <w:szCs w:val="20"/>
                <w:color w:val="auto"/>
              </w:rPr>
            </w:pPr>
            <w:r>
              <w:rPr>
                <w:rFonts w:ascii="Arial" w:cs="Arial" w:eastAsia="Arial" w:hAnsi="Arial"/>
                <w:sz w:val="20"/>
                <w:szCs w:val="20"/>
                <w:color w:val="auto"/>
              </w:rPr>
              <w:t>2,601</w:t>
            </w:r>
          </w:p>
        </w:tc>
      </w:tr>
      <w:tr>
        <w:trPr>
          <w:trHeight w:val="257"/>
        </w:trPr>
        <w:tc>
          <w:tcPr>
            <w:tcW w:w="9160" w:type="dxa"/>
            <w:vAlign w:val="bottom"/>
            <w:shd w:val="clear" w:color="auto" w:fill="CCEEFF"/>
          </w:tcPr>
          <w:p>
            <w:pPr>
              <w:ind w:left="20"/>
              <w:spacing w:after="0"/>
              <w:rPr>
                <w:sz w:val="20"/>
                <w:szCs w:val="20"/>
                <w:color w:val="auto"/>
              </w:rPr>
            </w:pPr>
            <w:r>
              <w:rPr>
                <w:rFonts w:ascii="Arial" w:cs="Arial" w:eastAsia="Arial" w:hAnsi="Arial"/>
                <w:sz w:val="20"/>
                <w:szCs w:val="20"/>
                <w:color w:val="auto"/>
              </w:rPr>
              <w:t>2029</w:t>
            </w:r>
          </w:p>
        </w:tc>
        <w:tc>
          <w:tcPr>
            <w:tcW w:w="160" w:type="dxa"/>
            <w:vAlign w:val="bottom"/>
            <w:shd w:val="clear" w:color="auto" w:fill="CCEEFF"/>
          </w:tcPr>
          <w:p>
            <w:pPr>
              <w:spacing w:after="0"/>
              <w:rPr>
                <w:sz w:val="22"/>
                <w:szCs w:val="22"/>
                <w:color w:val="auto"/>
              </w:rPr>
            </w:pPr>
          </w:p>
        </w:tc>
        <w:tc>
          <w:tcPr>
            <w:tcW w:w="19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2,679</w:t>
            </w:r>
          </w:p>
        </w:tc>
      </w:tr>
      <w:tr>
        <w:trPr>
          <w:trHeight w:val="257"/>
        </w:trPr>
        <w:tc>
          <w:tcPr>
            <w:tcW w:w="9160" w:type="dxa"/>
            <w:vAlign w:val="bottom"/>
            <w:tcBorders>
              <w:bottom w:val="single" w:sz="8" w:color="CCEEFF"/>
            </w:tcBorders>
          </w:tcPr>
          <w:p>
            <w:pPr>
              <w:ind w:left="20"/>
              <w:spacing w:after="0"/>
              <w:rPr>
                <w:sz w:val="20"/>
                <w:szCs w:val="20"/>
                <w:color w:val="auto"/>
              </w:rPr>
            </w:pPr>
            <w:r>
              <w:rPr>
                <w:rFonts w:ascii="Arial" w:cs="Arial" w:eastAsia="Arial" w:hAnsi="Arial"/>
                <w:sz w:val="20"/>
                <w:szCs w:val="20"/>
                <w:color w:val="auto"/>
              </w:rPr>
              <w:t>Thereafter</w:t>
            </w:r>
          </w:p>
        </w:tc>
        <w:tc>
          <w:tcPr>
            <w:tcW w:w="160" w:type="dxa"/>
            <w:vAlign w:val="bottom"/>
            <w:tcBorders>
              <w:bottom w:val="single" w:sz="8" w:color="auto"/>
            </w:tcBorders>
          </w:tcPr>
          <w:p>
            <w:pPr>
              <w:spacing w:after="0"/>
              <w:rPr>
                <w:sz w:val="22"/>
                <w:szCs w:val="22"/>
                <w:color w:val="auto"/>
              </w:rPr>
            </w:pPr>
          </w:p>
        </w:tc>
        <w:tc>
          <w:tcPr>
            <w:tcW w:w="19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33,898</w:t>
            </w:r>
          </w:p>
        </w:tc>
      </w:tr>
      <w:tr>
        <w:trPr>
          <w:trHeight w:val="250"/>
        </w:trPr>
        <w:tc>
          <w:tcPr>
            <w:tcW w:w="9160" w:type="dxa"/>
            <w:vAlign w:val="bottom"/>
            <w:shd w:val="clear" w:color="auto" w:fill="CCEEFF"/>
          </w:tcPr>
          <w:p>
            <w:pPr>
              <w:ind w:left="20"/>
              <w:spacing w:after="0"/>
              <w:rPr>
                <w:sz w:val="20"/>
                <w:szCs w:val="20"/>
                <w:color w:val="auto"/>
              </w:rPr>
            </w:pPr>
            <w:r>
              <w:rPr>
                <w:rFonts w:ascii="Arial" w:cs="Arial" w:eastAsia="Arial" w:hAnsi="Arial"/>
                <w:sz w:val="20"/>
                <w:szCs w:val="20"/>
                <w:color w:val="auto"/>
              </w:rPr>
              <w:t>Total lease payments</w:t>
            </w:r>
          </w:p>
        </w:tc>
        <w:tc>
          <w:tcPr>
            <w:tcW w:w="160" w:type="dxa"/>
            <w:vAlign w:val="bottom"/>
            <w:shd w:val="clear" w:color="auto" w:fill="CCEEFF"/>
          </w:tcPr>
          <w:p>
            <w:pPr>
              <w:spacing w:after="0"/>
              <w:rPr>
                <w:sz w:val="21"/>
                <w:szCs w:val="21"/>
                <w:color w:val="auto"/>
              </w:rPr>
            </w:pPr>
          </w:p>
        </w:tc>
        <w:tc>
          <w:tcPr>
            <w:tcW w:w="19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45,086</w:t>
            </w:r>
          </w:p>
        </w:tc>
      </w:tr>
      <w:tr>
        <w:trPr>
          <w:trHeight w:val="257"/>
        </w:trPr>
        <w:tc>
          <w:tcPr>
            <w:tcW w:w="9160" w:type="dxa"/>
            <w:vAlign w:val="bottom"/>
            <w:tcBorders>
              <w:bottom w:val="single" w:sz="8" w:color="CCEEFF"/>
            </w:tcBorders>
          </w:tcPr>
          <w:p>
            <w:pPr>
              <w:ind w:left="20"/>
              <w:spacing w:after="0"/>
              <w:rPr>
                <w:sz w:val="20"/>
                <w:szCs w:val="20"/>
                <w:color w:val="auto"/>
              </w:rPr>
            </w:pPr>
            <w:r>
              <w:rPr>
                <w:rFonts w:ascii="Arial" w:cs="Arial" w:eastAsia="Arial" w:hAnsi="Arial"/>
                <w:sz w:val="20"/>
                <w:szCs w:val="20"/>
                <w:color w:val="auto"/>
              </w:rPr>
              <w:t>Less: Imputed lease interest</w:t>
            </w:r>
          </w:p>
        </w:tc>
        <w:tc>
          <w:tcPr>
            <w:tcW w:w="160" w:type="dxa"/>
            <w:vAlign w:val="bottom"/>
            <w:tcBorders>
              <w:bottom w:val="single" w:sz="8" w:color="auto"/>
            </w:tcBorders>
          </w:tcPr>
          <w:p>
            <w:pPr>
              <w:spacing w:after="0"/>
              <w:rPr>
                <w:sz w:val="22"/>
                <w:szCs w:val="22"/>
                <w:color w:val="auto"/>
              </w:rPr>
            </w:pPr>
          </w:p>
        </w:tc>
        <w:tc>
          <w:tcPr>
            <w:tcW w:w="19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(18,427)</w:t>
            </w:r>
          </w:p>
        </w:tc>
      </w:tr>
      <w:tr>
        <w:trPr>
          <w:trHeight w:val="275"/>
        </w:trPr>
        <w:tc>
          <w:tcPr>
            <w:tcW w:w="9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20"/>
                <w:szCs w:val="20"/>
                <w:color w:val="auto"/>
              </w:rPr>
              <w:t>Total lease liabilities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w w:val="89"/>
              </w:rPr>
              <w:t>$</w:t>
            </w:r>
          </w:p>
        </w:tc>
        <w:tc>
          <w:tcPr>
            <w:tcW w:w="1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26,659</w:t>
            </w:r>
          </w:p>
        </w:tc>
      </w:tr>
      <w:tr>
        <w:trPr>
          <w:trHeight w:val="20"/>
        </w:trPr>
        <w:tc>
          <w:tcPr>
            <w:tcW w:w="91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920" w:type="dxa"/>
            <w:vAlign w:val="bottom"/>
            <w:tcBorders>
              <w:top w:val="single" w:sz="8" w:color="CCEEFF"/>
              <w:bottom w:val="single" w:sz="8" w:color="auto"/>
            </w:tcBorders>
          </w:tcPr>
          <w:p>
            <w:pPr>
              <w:spacing w:after="0" w:line="20" w:lineRule="exact"/>
              <w:rPr>
                <w:sz w:val="1"/>
                <w:szCs w:val="1"/>
                <w:color w:val="auto"/>
              </w:rPr>
            </w:pPr>
          </w:p>
        </w:tc>
      </w:tr>
    </w:tbl>
    <w:p>
      <w:pPr>
        <w:spacing w:after="0" w:line="314" w:lineRule="exact"/>
        <w:rPr>
          <w:sz w:val="20"/>
          <w:szCs w:val="20"/>
          <w:color w:val="auto"/>
        </w:rPr>
      </w:pPr>
    </w:p>
    <w:p>
      <w:pPr>
        <w:spacing w:after="0"/>
        <w:tabs>
          <w:tab w:leader="none" w:pos="480" w:val="left"/>
        </w:tabs>
        <w:rPr>
          <w:sz w:val="20"/>
          <w:szCs w:val="20"/>
          <w:color w:val="auto"/>
        </w:rPr>
      </w:pPr>
      <w:r>
        <w:rPr>
          <w:rFonts w:ascii="Arial" w:cs="Arial" w:eastAsia="Arial" w:hAnsi="Arial"/>
          <w:sz w:val="20"/>
          <w:szCs w:val="20"/>
          <w:b w:val="1"/>
          <w:bCs w:val="1"/>
          <w:color w:val="auto"/>
        </w:rPr>
        <w:t>18.</w:t>
      </w:r>
      <w:r>
        <w:rPr>
          <w:sz w:val="20"/>
          <w:szCs w:val="20"/>
          <w:color w:val="auto"/>
        </w:rPr>
        <w:tab/>
      </w:r>
      <w:r>
        <w:rPr>
          <w:rFonts w:ascii="Arial" w:cs="Arial" w:eastAsia="Arial" w:hAnsi="Arial"/>
          <w:sz w:val="19"/>
          <w:szCs w:val="19"/>
          <w:b w:val="1"/>
          <w:bCs w:val="1"/>
          <w:color w:val="auto"/>
        </w:rPr>
        <w:t>Subsequent Events</w:t>
      </w:r>
    </w:p>
    <w:p>
      <w:pPr>
        <w:spacing w:after="0" w:line="245" w:lineRule="exact"/>
        <w:rPr>
          <w:sz w:val="20"/>
          <w:szCs w:val="20"/>
          <w:color w:val="auto"/>
        </w:rPr>
      </w:pPr>
    </w:p>
    <w:p>
      <w:pPr>
        <w:jc w:val="both"/>
        <w:spacing w:after="0" w:line="245" w:lineRule="auto"/>
        <w:rPr>
          <w:sz w:val="20"/>
          <w:szCs w:val="20"/>
          <w:color w:val="auto"/>
        </w:rPr>
      </w:pPr>
      <w:r>
        <w:rPr>
          <w:rFonts w:ascii="Arial" w:cs="Arial" w:eastAsia="Arial" w:hAnsi="Arial"/>
          <w:sz w:val="20"/>
          <w:szCs w:val="20"/>
          <w:color w:val="auto"/>
        </w:rPr>
        <w:t>In May 2024, the Company entered into a triple net lease (“NNN term lease”) with GDC Sunshine LLC (“Lessor”) for 13 1/2 years (162 full calendar months) for a new manufacturing and office facility in Bernaillo County, New Mexico. The NNN term lease agreement allows for an extension of one consecutive period of 10 years. The new facility that is mixed use and built for general purposes will be approximately 216,000 square feet when constructed.</w:t>
      </w:r>
    </w:p>
    <w:p>
      <w:pPr>
        <w:spacing w:after="0" w:line="208" w:lineRule="exact"/>
        <w:rPr>
          <w:sz w:val="20"/>
          <w:szCs w:val="20"/>
          <w:color w:val="auto"/>
        </w:rPr>
      </w:pPr>
    </w:p>
    <w:p>
      <w:pPr>
        <w:jc w:val="both"/>
        <w:spacing w:after="0" w:line="259" w:lineRule="auto"/>
        <w:rPr>
          <w:sz w:val="20"/>
          <w:szCs w:val="20"/>
          <w:color w:val="auto"/>
        </w:rPr>
      </w:pPr>
      <w:r>
        <w:rPr>
          <w:rFonts w:ascii="Arial" w:cs="Arial" w:eastAsia="Arial" w:hAnsi="Arial"/>
          <w:sz w:val="20"/>
          <w:szCs w:val="20"/>
          <w:color w:val="auto"/>
        </w:rPr>
        <w:t>The Company took control of the facility in the fourth quarter of 2025, at which point the NNN term lease commenced and will be accounted for as a finance lease. Future minimum lease payments under the NNN term lease, assuming the Company executes the renewal option, are estimated to be $105.0 million, payable over the expected lease term beginning with the commencement date.</w:t>
      </w:r>
    </w:p>
    <w:p>
      <w:pPr>
        <w:spacing w:after="0" w:line="209" w:lineRule="exact"/>
        <w:rPr>
          <w:sz w:val="20"/>
          <w:szCs w:val="20"/>
          <w:color w:val="auto"/>
        </w:rPr>
      </w:pPr>
    </w:p>
    <w:p>
      <w:pPr>
        <w:jc w:val="both"/>
        <w:spacing w:after="0" w:line="251" w:lineRule="auto"/>
        <w:rPr>
          <w:sz w:val="20"/>
          <w:szCs w:val="20"/>
          <w:color w:val="auto"/>
        </w:rPr>
      </w:pPr>
      <w:r>
        <w:rPr>
          <w:rFonts w:ascii="Arial" w:cs="Arial" w:eastAsia="Arial" w:hAnsi="Arial"/>
          <w:sz w:val="20"/>
          <w:szCs w:val="20"/>
          <w:color w:val="auto"/>
        </w:rPr>
        <w:t>In connection with this NNN term lease and the Company’s planned acquisition of machinery and equipment related to the new facility, the Lessor and the Company entered into a series of transactions with Bernalillo County (the “County”) related to a tax abatement plan. These transactions had no net impact to the consolidated financial statements of the Company. The tax abatement plan provides for the effective elimination of 75% of the real property taxes and 100% of the personal property taxes payable to the County by the Company and the Lessor during the term of the NNN term lease, and the abatement of 100% of the sales and use taxes that would be incurred by the Company and the Lessor related to the purchase and use of machinery and equipment.</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78105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4" w:name="page45"/>
    <w:bookmarkEnd w:id="44"/>
    <w:p>
      <w:pPr>
        <w:spacing w:after="0"/>
        <w:rPr>
          <w:sz w:val="20"/>
          <w:szCs w:val="20"/>
          <w:color w:val="auto"/>
        </w:rPr>
      </w:pPr>
      <w:r>
        <w:rPr>
          <w:rFonts w:ascii="Arial" w:cs="Arial" w:eastAsia="Arial" w:hAnsi="Arial"/>
          <w:sz w:val="20"/>
          <w:szCs w:val="20"/>
          <w:b w:val="1"/>
          <w:bCs w:val="1"/>
          <w:color w:val="auto"/>
        </w:rPr>
        <w:t>Item 2. Management’s Discussion and Analysis of Financial Condition and Results of Operations</w:t>
      </w:r>
    </w:p>
    <w:p>
      <w:pPr>
        <w:spacing w:after="0" w:line="245" w:lineRule="exact"/>
        <w:rPr>
          <w:sz w:val="20"/>
          <w:szCs w:val="20"/>
          <w:color w:val="auto"/>
        </w:rPr>
      </w:pPr>
    </w:p>
    <w:p>
      <w:pPr>
        <w:jc w:val="both"/>
        <w:spacing w:after="0" w:line="241" w:lineRule="auto"/>
        <w:rPr>
          <w:sz w:val="20"/>
          <w:szCs w:val="20"/>
          <w:color w:val="auto"/>
        </w:rPr>
      </w:pPr>
      <w:r>
        <w:rPr>
          <w:rFonts w:ascii="Arial" w:cs="Arial" w:eastAsia="Arial" w:hAnsi="Arial"/>
          <w:sz w:val="20"/>
          <w:szCs w:val="20"/>
          <w:i w:val="1"/>
          <w:iCs w:val="1"/>
          <w:color w:val="auto"/>
        </w:rPr>
        <w:t>The following discussion and analysis should be read in conjunction with our unaudited condensed consolidated financial statements and related notes and other financial information included in Part I, “Item 1. Financial Statements” of this Quarterly Report on Form 10-Q (this “Quarterly Report”), as well as our audited financial statements and notes thereto as of and for the year ended December 31, 2024, and the related Management’s Discussion and Analysis of Financial Condition and Results of Operations included in our Annual Report on Form 10-K for the year ended December 31, 2024 (“2024 Annual Report”). Each of the terms the “Company,” “Array,” “we,” or “us” as used herein refers collectively to Array Technologies, Inc. and its wholly owned subsidiaries, unless otherwise stated. In addition to historical financial information, the following discussion and analysis contains forward-looking statements that involve risks, uncertainties and assumptions. Our actual results and timing of selected events may differ materially from those anticipated in these forward-looking statements as a result of many factors, including those discussed under the sections captioned “Forward-Looking Statements” and “Risk Factors” in this Quarterly Report, our 2024 Annual Report, and our other documents on file with the U.S. Securities and Exchange Commission (the “SEC”).</w:t>
      </w:r>
    </w:p>
    <w:p>
      <w:pPr>
        <w:spacing w:after="0" w:line="22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CAUTIONARY NOTE REGARDING FORWARD-LOOKING STATEMENTS</w:t>
      </w:r>
    </w:p>
    <w:p>
      <w:pPr>
        <w:spacing w:after="0" w:line="123" w:lineRule="exact"/>
        <w:rPr>
          <w:sz w:val="20"/>
          <w:szCs w:val="20"/>
          <w:color w:val="auto"/>
        </w:rPr>
      </w:pPr>
    </w:p>
    <w:p>
      <w:pPr>
        <w:jc w:val="both"/>
        <w:spacing w:after="0" w:line="259" w:lineRule="auto"/>
        <w:rPr>
          <w:sz w:val="20"/>
          <w:szCs w:val="20"/>
          <w:color w:val="auto"/>
        </w:rPr>
      </w:pPr>
      <w:r>
        <w:rPr>
          <w:rFonts w:ascii="Arial" w:cs="Arial" w:eastAsia="Arial" w:hAnsi="Arial"/>
          <w:sz w:val="20"/>
          <w:szCs w:val="20"/>
          <w:color w:val="auto"/>
        </w:rPr>
        <w:t>This report contains forward-looking statements that are based on our management’s beliefs and assumptions and on information currently available to our management. Forward-looking statements include information concerning our possible or assumed future results of operations, business strategies, financing and investment plans, competitive position, industry and regulatory environment, including potential regulatory reform related to energy credits, uncertainty relating the implementation of tariffs and changes in trade policy, including the reduction or elimination of certain government incentives, ability to provide 100% domestic content trackers, expectations regarding the macroeconomic environment and geopolitical developments, including the effects of tariffs, potential growth opportunities and the effects of competition. Forward-looking statements include statements that are not historical facts and can be identified by terms such as “anticipate,” “believe,” “could,” “estimate,” “expect,” “intend,” “may,” “plan,” “potential,” “predict,” “project,” “seek,” “should,” “will,” “would,” “designed to” or similar expressions and the negatives of those terms.</w:t>
      </w:r>
    </w:p>
    <w:p>
      <w:pPr>
        <w:spacing w:after="0" w:line="7" w:lineRule="exact"/>
        <w:rPr>
          <w:sz w:val="20"/>
          <w:szCs w:val="20"/>
          <w:color w:val="auto"/>
        </w:rPr>
      </w:pPr>
    </w:p>
    <w:p>
      <w:pPr>
        <w:jc w:val="both"/>
        <w:spacing w:after="0" w:line="273" w:lineRule="auto"/>
        <w:rPr>
          <w:sz w:val="20"/>
          <w:szCs w:val="20"/>
          <w:color w:val="auto"/>
        </w:rPr>
      </w:pPr>
      <w:r>
        <w:rPr>
          <w:rFonts w:ascii="Arial" w:cs="Arial" w:eastAsia="Arial" w:hAnsi="Arial"/>
          <w:sz w:val="19"/>
          <w:szCs w:val="19"/>
          <w:color w:val="auto"/>
        </w:rPr>
        <w:t>Our actual results and the timing of events could materially differ from those anticipated in such forward-looking statements as a result of certain risks, uncertainties and other factors, including without limitation: changes in growth or the rate of growth in demand for solar energy projects; factors outside of our control affecting the variability and demand for solar energy, including but not limited to, the retail price of electricity, availability of in-demand components like high voltage breakers, various policies related to the permitting and interconnection costs of solar plants, and the availability of incentives for solar energy and solar energy production systems, which makes it difficult to predict our future prospects; competitive pressures within our industry; competition from conventional and renewable energy sources; a loss of one or more of our significant customers, their inability to perform under their contracts, or their default in payment; a drop in the price of electricity derived from the utility grid or from alternative energy sources; fluctuations in our results of operations across fiscal periods, which could make our future performance difficult to predict and could cause our results of operations for a particular period to fall below expectations; any increase in interest rates, or a reduction in the availability of tax equity or project debt capital in the global financial markets, which could make it difficult for customers to finance the cost of a solar energy system and reduce the demand for our products; existing electric utility industry policies and regulations, and any subsequent changes or new related policies and regulations, including as a result of the OBBB (as defined below), which may present technical, regulatory and economic barriers to the purchase and use of solar energy systems and may significantly reduce demand for our products or harm our ability to compete; the interruption of the flow of materials from international vendors, which could disrupt our supply chain, including as a result of the imposition of new and/or additional duties, tariffs and other charges or restrictions on imports and exports; changes in the global trade environment, including the imposition of import tariffs or other import restrictions; geopolitical, macroeconomic</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17" w:right="339" w:bottom="1440" w:gutter="0" w:footer="0" w:header="0"/>
        </w:sectPr>
      </w:pPr>
    </w:p>
    <w:bookmarkStart w:id="45" w:name="page46"/>
    <w:bookmarkEnd w:id="45"/>
    <w:p>
      <w:pPr>
        <w:jc w:val="both"/>
        <w:spacing w:after="0" w:line="259" w:lineRule="auto"/>
        <w:rPr>
          <w:sz w:val="20"/>
          <w:szCs w:val="20"/>
          <w:color w:val="auto"/>
        </w:rPr>
      </w:pPr>
      <w:r>
        <w:rPr>
          <w:rFonts w:ascii="Arial" w:cs="Arial" w:eastAsia="Arial" w:hAnsi="Arial"/>
          <w:sz w:val="20"/>
          <w:szCs w:val="20"/>
          <w:color w:val="auto"/>
        </w:rPr>
        <w:t>and other market conditions unrelated to our operating performance including but not limited to a pandemic, the Ukraine-Russia war, attacks on shipping in the Red Sea, conflict in the Middle East, inflation and interest rates; our ability to convert our orders in backlog into revenue; the reduction, elimination or expiration, or our failure to optimize the benefits of government incentives for, or regulations mandating the use of, renewable energy and solar energy, particularly in relation to our competitors, which could reduce demand for solar energy systems; failure to, or incurrence of significant costs in order to, obtain, maintain, protect, defend or enforce, our intellectual property and other proprietary right; delays in construction projects and any failure to manage our inventory; significant changes in the cost of raw materials; disruptions to transportation and logistics, including increases in shipping costs; defects or performance problems in our products, which could result in loss of customers, reputational damage and decreased revenue; delays, disruptions or quality control problems in our product development operations; our ability to retain our key personnel or failure to attract additional qualified personnel; additional business, financial, regulatory and competitive risks due to our continued planned expansion into new markets; cybersecurity or other data incidents, including unauthorized disclosure of personal or sensitive data or theft of confidential information; a failure to maintain an effective system of integrated internal controls over financial reporting, which may impair our ability to report our financial results accurately; our substantial indebtedness, risks related to actual or threatened public health epidemics, pandemics, outbreaks or crises; changes to laws and regulations, including changes to tax laws and regulations, that are applied adversely to us or our customers, including our ability to optimize those changes brought about by the passage of the Inflation Reduction Act (“IRA”), the One Big Beautiful Bill Act (“OBBB”), or any amendment or repeal thereof; our ability to successfully integrate APA (defined below) into our existing operations and realize the anticipated benefits or synergies of the acquisition; and other factors described in more detail in the section captioned “Risk Factors” in this Quarterly Report, our 2024 Annual Report, and our other documents on file with the SEC.</w:t>
      </w:r>
    </w:p>
    <w:p>
      <w:pPr>
        <w:spacing w:after="0" w:line="234" w:lineRule="exact"/>
        <w:rPr>
          <w:sz w:val="20"/>
          <w:szCs w:val="20"/>
          <w:color w:val="auto"/>
        </w:rPr>
      </w:pPr>
    </w:p>
    <w:p>
      <w:pPr>
        <w:jc w:val="both"/>
        <w:spacing w:after="0" w:line="269" w:lineRule="auto"/>
        <w:rPr>
          <w:sz w:val="20"/>
          <w:szCs w:val="20"/>
          <w:color w:val="auto"/>
        </w:rPr>
      </w:pPr>
      <w:r>
        <w:rPr>
          <w:rFonts w:ascii="Arial" w:cs="Arial" w:eastAsia="Arial" w:hAnsi="Arial"/>
          <w:sz w:val="20"/>
          <w:szCs w:val="20"/>
          <w:color w:val="auto"/>
        </w:rPr>
        <w:t>Given these uncertainties, you should not place undue reliance on forward-looking statements. Also, forward-looking statements represent our management’s beliefs and assumptions only as of the date of this report. You should read this report with the understanding that our actual future results may be materially different from what we expect.</w:t>
      </w:r>
    </w:p>
    <w:p>
      <w:pPr>
        <w:spacing w:after="0" w:line="212" w:lineRule="exact"/>
        <w:rPr>
          <w:sz w:val="20"/>
          <w:szCs w:val="20"/>
          <w:color w:val="auto"/>
        </w:rPr>
      </w:pPr>
    </w:p>
    <w:p>
      <w:pPr>
        <w:jc w:val="both"/>
        <w:spacing w:after="0" w:line="269" w:lineRule="auto"/>
        <w:rPr>
          <w:sz w:val="20"/>
          <w:szCs w:val="20"/>
          <w:color w:val="auto"/>
        </w:rPr>
      </w:pPr>
      <w:r>
        <w:rPr>
          <w:rFonts w:ascii="Arial" w:cs="Arial" w:eastAsia="Arial" w:hAnsi="Arial"/>
          <w:sz w:val="20"/>
          <w:szCs w:val="20"/>
          <w:color w:val="auto"/>
        </w:rPr>
        <w:t>Except as required by law, we assume no obligation to update these forward-looking statements, or to update the reasons actual results could differ materially from those anticipated in these forward-looking statements, even if new information becomes available in the future.</w:t>
      </w:r>
    </w:p>
    <w:p>
      <w:pPr>
        <w:spacing w:after="0" w:line="21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Overview</w:t>
      </w:r>
    </w:p>
    <w:p>
      <w:pPr>
        <w:spacing w:after="0" w:line="123" w:lineRule="exact"/>
        <w:rPr>
          <w:sz w:val="20"/>
          <w:szCs w:val="20"/>
          <w:color w:val="auto"/>
        </w:rPr>
      </w:pPr>
    </w:p>
    <w:p>
      <w:pPr>
        <w:jc w:val="both"/>
        <w:spacing w:after="0" w:line="269" w:lineRule="auto"/>
        <w:rPr>
          <w:sz w:val="20"/>
          <w:szCs w:val="20"/>
          <w:color w:val="auto"/>
        </w:rPr>
      </w:pPr>
      <w:r>
        <w:rPr>
          <w:rFonts w:ascii="Arial" w:cs="Arial" w:eastAsia="Arial" w:hAnsi="Arial"/>
          <w:sz w:val="20"/>
          <w:szCs w:val="20"/>
          <w:color w:val="auto"/>
        </w:rPr>
        <w:t>We are a leading global provider of solar tracking technology and fixed-tilt systems to utility-scale and distributed generation customers who construct, develop, and operate solar PV sites. With solutions engineered to withstand harsh weather conditions, Array’s high-quality solar trackers, fixed-tilt systems, software platforms, foundation solutions, and field services combine to optimize energy production and deliver value to our customers for the entire lifecycle of a project.</w:t>
      </w:r>
    </w:p>
    <w:p>
      <w:pPr>
        <w:spacing w:after="0" w:line="197" w:lineRule="exact"/>
        <w:rPr>
          <w:sz w:val="20"/>
          <w:szCs w:val="20"/>
          <w:color w:val="auto"/>
        </w:rPr>
      </w:pPr>
    </w:p>
    <w:p>
      <w:pPr>
        <w:jc w:val="both"/>
        <w:spacing w:after="0" w:line="265" w:lineRule="auto"/>
        <w:rPr>
          <w:sz w:val="20"/>
          <w:szCs w:val="20"/>
          <w:color w:val="auto"/>
        </w:rPr>
      </w:pPr>
      <w:r>
        <w:rPr>
          <w:rFonts w:ascii="Arial" w:cs="Arial" w:eastAsia="Arial" w:hAnsi="Arial"/>
          <w:sz w:val="20"/>
          <w:szCs w:val="20"/>
          <w:color w:val="auto"/>
        </w:rPr>
        <w:t>Trackers move solar panels throughout the day to maintain an optimal orientation to the sun, which significantly increases energy production. Solar energy projects that use trackers typically generate more energy and deliver a lower Levelized Cost of Energy than projects that use “fixed tilt” mounting systems, which do not move. Hybrid sites utilizing trackers and fixed-tilt can be utilized to optimize productivity based on the topography, geography, and environment. The vast majority of ground mounted solar systems in the U.S. use trackers.</w:t>
      </w:r>
    </w:p>
    <w:p>
      <w:pPr>
        <w:spacing w:after="0" w:line="215" w:lineRule="exact"/>
        <w:rPr>
          <w:sz w:val="20"/>
          <w:szCs w:val="20"/>
          <w:color w:val="auto"/>
        </w:rPr>
      </w:pPr>
    </w:p>
    <w:p>
      <w:pPr>
        <w:jc w:val="both"/>
        <w:spacing w:after="0" w:line="286" w:lineRule="auto"/>
        <w:rPr>
          <w:sz w:val="20"/>
          <w:szCs w:val="20"/>
          <w:color w:val="auto"/>
        </w:rPr>
      </w:pPr>
      <w:r>
        <w:rPr>
          <w:rFonts w:ascii="Arial" w:cs="Arial" w:eastAsia="Arial" w:hAnsi="Arial"/>
          <w:sz w:val="20"/>
          <w:szCs w:val="20"/>
          <w:color w:val="auto"/>
        </w:rPr>
        <w:t>Our flagship tracker, DuraTrack®, uses a patented design that allows one motor to drive multiple rows of solar panels through articulated driveline joints. To avoid infringing on our U.S. patent, our competitors must use</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19" w:right="339" w:bottom="1440" w:gutter="0" w:footer="0" w:header="0"/>
        </w:sectPr>
      </w:pPr>
    </w:p>
    <w:bookmarkStart w:id="46" w:name="page47"/>
    <w:bookmarkEnd w:id="46"/>
    <w:p>
      <w:pPr>
        <w:jc w:val="both"/>
        <w:spacing w:after="0" w:line="265" w:lineRule="auto"/>
        <w:rPr>
          <w:sz w:val="20"/>
          <w:szCs w:val="20"/>
          <w:color w:val="auto"/>
        </w:rPr>
      </w:pPr>
      <w:r>
        <w:rPr>
          <w:rFonts w:ascii="Arial" w:cs="Arial" w:eastAsia="Arial" w:hAnsi="Arial"/>
          <w:sz w:val="20"/>
          <w:szCs w:val="20"/>
          <w:color w:val="auto"/>
        </w:rPr>
        <w:t>designs that we believe are inherently less efficient and reliable. For example, our largest competitor’s design requires one motor for each row of solar panels. As a result, we believe our products have greater reliability, lower installation costs, reduced maintenance requirements and competitive manufacturing costs. Our core U.S. patent is on a linked-row, single-driving apparatus that rotates a plurality of tracker rows connected by an articulating drive shaft. This patent does not expire until February 5, 2030.</w:t>
      </w:r>
    </w:p>
    <w:p>
      <w:pPr>
        <w:spacing w:after="0" w:line="215" w:lineRule="exact"/>
        <w:rPr>
          <w:sz w:val="20"/>
          <w:szCs w:val="20"/>
          <w:color w:val="auto"/>
        </w:rPr>
      </w:pPr>
    </w:p>
    <w:p>
      <w:pPr>
        <w:jc w:val="both"/>
        <w:spacing w:after="0" w:line="269" w:lineRule="auto"/>
        <w:rPr>
          <w:sz w:val="20"/>
          <w:szCs w:val="20"/>
          <w:color w:val="auto"/>
        </w:rPr>
      </w:pPr>
      <w:r>
        <w:rPr>
          <w:rFonts w:ascii="Arial" w:cs="Arial" w:eastAsia="Arial" w:hAnsi="Arial"/>
          <w:sz w:val="20"/>
          <w:szCs w:val="20"/>
          <w:color w:val="auto"/>
        </w:rPr>
        <w:t>With our acquisition of Soluciones Técnicas Integrales Norland, S.L.U. and its subsidiaries (collectively, “STI”) in January 2022, we added a dual-row tracker design to our product portfolio, the Array STI H250. This tracker uses one motor to drive two connected rows and is ideally suited for sites with irregular and highly angled boundaries or fragmented project areas.</w:t>
      </w:r>
    </w:p>
    <w:p>
      <w:pPr>
        <w:spacing w:after="0" w:line="212" w:lineRule="exact"/>
        <w:rPr>
          <w:sz w:val="20"/>
          <w:szCs w:val="20"/>
          <w:color w:val="auto"/>
        </w:rPr>
      </w:pPr>
    </w:p>
    <w:p>
      <w:pPr>
        <w:jc w:val="both"/>
        <w:spacing w:after="0" w:line="233" w:lineRule="auto"/>
        <w:rPr>
          <w:sz w:val="20"/>
          <w:szCs w:val="20"/>
          <w:color w:val="auto"/>
        </w:rPr>
      </w:pPr>
      <w:r>
        <w:rPr>
          <w:rFonts w:ascii="Arial" w:cs="Arial" w:eastAsia="Arial" w:hAnsi="Arial"/>
          <w:sz w:val="20"/>
          <w:szCs w:val="20"/>
          <w:color w:val="auto"/>
        </w:rPr>
        <w:t>Our third tracker product, OmniTrack</w:t>
      </w:r>
      <w:r>
        <w:rPr>
          <w:rFonts w:ascii="Arial" w:cs="Arial" w:eastAsia="Arial" w:hAnsi="Arial"/>
          <w:sz w:val="25"/>
          <w:szCs w:val="25"/>
          <w:color w:val="auto"/>
          <w:vertAlign w:val="superscript"/>
        </w:rPr>
        <w:t>®</w:t>
      </w:r>
      <w:r>
        <w:rPr>
          <w:rFonts w:ascii="Arial" w:cs="Arial" w:eastAsia="Arial" w:hAnsi="Arial"/>
          <w:sz w:val="20"/>
          <w:szCs w:val="20"/>
          <w:color w:val="auto"/>
        </w:rPr>
        <w:t>, which was introduced in September 2022, requires significantly less grading and civil works permitting prior to installation in addition to accommodating uneven terrain.</w:t>
      </w:r>
    </w:p>
    <w:p>
      <w:pPr>
        <w:spacing w:after="0" w:line="227" w:lineRule="exact"/>
        <w:rPr>
          <w:sz w:val="20"/>
          <w:szCs w:val="20"/>
          <w:color w:val="auto"/>
        </w:rPr>
      </w:pPr>
    </w:p>
    <w:p>
      <w:pPr>
        <w:jc w:val="both"/>
        <w:spacing w:after="0" w:line="268" w:lineRule="auto"/>
        <w:rPr>
          <w:sz w:val="20"/>
          <w:szCs w:val="20"/>
          <w:color w:val="auto"/>
        </w:rPr>
      </w:pPr>
      <w:r>
        <w:rPr>
          <w:rFonts w:ascii="Arial" w:cs="Arial" w:eastAsia="Arial" w:hAnsi="Arial"/>
          <w:sz w:val="20"/>
          <w:szCs w:val="20"/>
          <w:color w:val="auto"/>
        </w:rPr>
        <w:t>Our corporate headquarters are located in Albuquerque, New Mexico. We sell our products to engineering, procurement and construction firms (“EPCs”) that build solar energy projects and to large solar developers, independent power producers and utilities, often under master supply agreements or multi-year procurement contracts. During the nine months ended September 30, 2025, we derived 79% and 21% of our revenues from customers in the U.S. and the rest of the world, respectively. As of September 30, 2025, we had shipped approximately 95 gigawatts of trackers to customers worldwide.</w:t>
      </w:r>
    </w:p>
    <w:p>
      <w:pPr>
        <w:spacing w:after="0" w:line="19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Acquisition of APA Solar</w:t>
      </w:r>
    </w:p>
    <w:p>
      <w:pPr>
        <w:spacing w:after="0" w:line="123"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 xml:space="preserve">On August 14, 2025 (the “Closing Date”), our wholly owned subsidiary STINorland USA, Inc., a California corporation (“Buyer”), completed the acquisition of 100% of the issued and outstanding equity interests of APA Solar, LLC (“APA”, and such acquisition the “APA Acquisition”), pursuant to the terms of the equity purchase agreement, dated as of June 17, 2025, by and among the Company, Buyer, APA, SunHoldings, LLC, an Ohio limited liability company (“Seller”) and the guarantors party thereto (as amended, the “Purchase Agreement”). The cash paid as of the Closing Date was $ 159.9 million, net of $ 10.1 million in preliminary and customary purchase price adjustments, which includes $6.2 million to retire debt. For GAAP purposes, the aggregate cash consideration paid was approximately $166.1 million, subject to final post-closing settlement. The Purchase Agreement also includes an earnout provision estimated to have a fair value of approximately $20.0 million as of the Closing Date (the “Earnout Consideration”), which is included in the purchase consideration, under which the Seller may receive shares of Company common stock, or equivalent cash value at the Buyer’s discretion, based upon APA’s achievement of certain financial performance targets during the three-year period ending on September 30, 2028. As a result, the purchase consideration for the APA Acquisition totaled approximately $186.1 million. Subject to the terms and conditions set forth in the Purchase Agreement, the Company has also agreed to pay aggregate deferred purchase price consideration of approximately $40.0 million payable in three installments over a two-year period based on service within five business days after the first and second anniversaries from the Closing Date and as set forth in </w:t>
      </w:r>
      <w:r>
        <w:rPr>
          <w:rFonts w:ascii="Arial" w:cs="Arial" w:eastAsia="Arial" w:hAnsi="Arial"/>
          <w:sz w:val="20"/>
          <w:szCs w:val="20"/>
          <w:u w:val="single" w:color="auto"/>
          <w:color w:val="0000FF"/>
        </w:rPr>
        <w:t>Note 3 - Acquisition</w:t>
      </w:r>
      <w:r>
        <w:rPr>
          <w:rFonts w:ascii="Arial" w:cs="Arial" w:eastAsia="Arial" w:hAnsi="Arial"/>
          <w:sz w:val="20"/>
          <w:szCs w:val="20"/>
          <w:color w:val="auto"/>
        </w:rPr>
        <w:t xml:space="preserve"> (the “Deferred Consideration”). Each of the Earnout Consideration and Deferred Consideration are described in more detail below. The Company is currently finalizing the valuation of the acquired assets and liabilities and assessing the related accounting impacts.</w:t>
      </w:r>
    </w:p>
    <w:p>
      <w:pPr>
        <w:spacing w:after="0" w:line="220" w:lineRule="exact"/>
        <w:rPr>
          <w:sz w:val="20"/>
          <w:szCs w:val="20"/>
          <w:color w:val="auto"/>
        </w:rPr>
      </w:pPr>
    </w:p>
    <w:p>
      <w:pPr>
        <w:jc w:val="both"/>
        <w:spacing w:after="0" w:line="269" w:lineRule="auto"/>
        <w:rPr>
          <w:sz w:val="20"/>
          <w:szCs w:val="20"/>
          <w:color w:val="auto"/>
        </w:rPr>
      </w:pPr>
      <w:r>
        <w:rPr>
          <w:rFonts w:ascii="Arial" w:cs="Arial" w:eastAsia="Arial" w:hAnsi="Arial"/>
          <w:sz w:val="20"/>
          <w:szCs w:val="20"/>
          <w:color w:val="auto"/>
        </w:rPr>
        <w:t>In connection with the acquisition of APA, the Company entered into lease agreements with related parties owned by certain members of APA's management team, which currently govern the occupation and use of two manufacturing facilities and three warehouses in Ohio. Each of the leases expires in 2030, with two five-year renewal options. The Company makes monthly lease payments based on APA's actual rent expense. In</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19" w:right="339" w:bottom="1440" w:gutter="0" w:footer="0" w:header="0"/>
        </w:sectPr>
      </w:pPr>
    </w:p>
    <w:bookmarkStart w:id="47" w:name="page48"/>
    <w:bookmarkEnd w:id="47"/>
    <w:p>
      <w:pPr>
        <w:jc w:val="both"/>
        <w:spacing w:after="0" w:line="286" w:lineRule="auto"/>
        <w:rPr>
          <w:sz w:val="20"/>
          <w:szCs w:val="20"/>
          <w:color w:val="auto"/>
        </w:rPr>
      </w:pPr>
      <w:r>
        <w:rPr>
          <w:rFonts w:ascii="Arial" w:cs="Arial" w:eastAsia="Arial" w:hAnsi="Arial"/>
          <w:sz w:val="20"/>
          <w:szCs w:val="20"/>
          <w:color w:val="auto"/>
        </w:rPr>
        <w:t>addition, the Company is responsible for the actual insurance costs, tenant improvements required to conduct operations, and real estate taxes.</w:t>
      </w:r>
    </w:p>
    <w:p>
      <w:pPr>
        <w:spacing w:after="0" w:line="194" w:lineRule="exact"/>
        <w:rPr>
          <w:sz w:val="20"/>
          <w:szCs w:val="20"/>
          <w:color w:val="auto"/>
        </w:rPr>
      </w:pPr>
    </w:p>
    <w:p>
      <w:pPr>
        <w:jc w:val="both"/>
        <w:spacing w:after="0" w:line="269" w:lineRule="auto"/>
        <w:rPr>
          <w:sz w:val="20"/>
          <w:szCs w:val="20"/>
          <w:color w:val="auto"/>
        </w:rPr>
      </w:pPr>
      <w:r>
        <w:rPr>
          <w:rFonts w:ascii="Arial" w:cs="Arial" w:eastAsia="Arial" w:hAnsi="Arial"/>
          <w:sz w:val="20"/>
          <w:szCs w:val="20"/>
          <w:color w:val="auto"/>
        </w:rPr>
        <w:t>Expenses related to these operating lease agreements are allocated based on usage to Cost of product and service revenue and General and administrative expenses in the accompanying condensed Consolidated statements of operations. Total costs related to these operating lease agreements were $0.4 million for the three and nine months ended September 30, 2025.</w:t>
      </w:r>
    </w:p>
    <w:p>
      <w:pPr>
        <w:spacing w:after="0" w:line="212" w:lineRule="exact"/>
        <w:rPr>
          <w:sz w:val="20"/>
          <w:szCs w:val="20"/>
          <w:color w:val="auto"/>
        </w:rPr>
      </w:pPr>
    </w:p>
    <w:p>
      <w:pPr>
        <w:jc w:val="both"/>
        <w:spacing w:after="0" w:line="269" w:lineRule="auto"/>
        <w:rPr>
          <w:sz w:val="20"/>
          <w:szCs w:val="20"/>
          <w:color w:val="auto"/>
        </w:rPr>
      </w:pPr>
      <w:r>
        <w:rPr>
          <w:rFonts w:ascii="Arial" w:cs="Arial" w:eastAsia="Arial" w:hAnsi="Arial"/>
          <w:sz w:val="20"/>
          <w:szCs w:val="20"/>
          <w:color w:val="auto"/>
        </w:rPr>
        <w:t>APA designs, engineers, and manufactures solar racking, mounting and foundation systems, and the integration of such systems into our business model through the acquisition of APA expands our product portfolio to better serve the evolving needs of the solar industry and our customers.</w:t>
      </w:r>
    </w:p>
    <w:p>
      <w:pPr>
        <w:spacing w:after="0" w:line="21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2.875% Convertible Senior Notes due 2031</w:t>
      </w:r>
    </w:p>
    <w:p>
      <w:pPr>
        <w:spacing w:after="0" w:line="123" w:lineRule="exact"/>
        <w:rPr>
          <w:sz w:val="20"/>
          <w:szCs w:val="20"/>
          <w:color w:val="auto"/>
        </w:rPr>
      </w:pPr>
    </w:p>
    <w:p>
      <w:pPr>
        <w:jc w:val="both"/>
        <w:spacing w:after="0" w:line="269" w:lineRule="auto"/>
        <w:rPr>
          <w:sz w:val="20"/>
          <w:szCs w:val="20"/>
          <w:color w:val="auto"/>
        </w:rPr>
      </w:pPr>
      <w:r>
        <w:rPr>
          <w:rFonts w:ascii="Arial" w:cs="Arial" w:eastAsia="Arial" w:hAnsi="Arial"/>
          <w:sz w:val="20"/>
          <w:szCs w:val="20"/>
          <w:color w:val="auto"/>
        </w:rPr>
        <w:t>On June 27, 2025, we completed a private placement of $345 million in aggregate principal amount of 2.875% Convertible Senior Notes due 2031 (the “2031 Convertible Notes”), resulting in net proceeds of $334.6 million after deducting initial purchasers’ discounts and offering expenses. The 2031 Convertible Notes were issued pursuant to an indenture, dated June 27, 2025, between the Company and U.S. Bank Trust Company, National Association, as trustee.</w:t>
      </w:r>
    </w:p>
    <w:p>
      <w:pPr>
        <w:spacing w:after="0" w:line="197" w:lineRule="exact"/>
        <w:rPr>
          <w:sz w:val="20"/>
          <w:szCs w:val="20"/>
          <w:color w:val="auto"/>
        </w:rPr>
      </w:pPr>
    </w:p>
    <w:p>
      <w:pPr>
        <w:jc w:val="both"/>
        <w:spacing w:after="0" w:line="276" w:lineRule="auto"/>
        <w:rPr>
          <w:sz w:val="20"/>
          <w:szCs w:val="20"/>
          <w:color w:val="auto"/>
        </w:rPr>
      </w:pPr>
      <w:r>
        <w:rPr>
          <w:rFonts w:ascii="Arial" w:cs="Arial" w:eastAsia="Arial" w:hAnsi="Arial"/>
          <w:sz w:val="20"/>
          <w:szCs w:val="20"/>
          <w:color w:val="auto"/>
        </w:rPr>
        <w:t>The 2031 Convertible Notes are senior unsecured obligations of the Company and will mature on July 1, 2031, unless earlier converted redeemed or repurchased. Interest is payable semiannually in arrears at a rate of 2.875% per year on January 1 and July 1 of each year, beginning on January 1, 2026.</w:t>
      </w:r>
    </w:p>
    <w:p>
      <w:pPr>
        <w:spacing w:after="0" w:line="19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Research and Development</w:t>
      </w:r>
    </w:p>
    <w:p>
      <w:pPr>
        <w:spacing w:after="0" w:line="137" w:lineRule="exact"/>
        <w:rPr>
          <w:sz w:val="20"/>
          <w:szCs w:val="20"/>
          <w:color w:val="auto"/>
        </w:rPr>
      </w:pPr>
    </w:p>
    <w:p>
      <w:pPr>
        <w:jc w:val="both"/>
        <w:spacing w:after="0" w:line="261" w:lineRule="auto"/>
        <w:rPr>
          <w:sz w:val="20"/>
          <w:szCs w:val="20"/>
          <w:color w:val="auto"/>
        </w:rPr>
      </w:pPr>
      <w:r>
        <w:rPr>
          <w:rFonts w:ascii="Arial" w:cs="Arial" w:eastAsia="Arial" w:hAnsi="Arial"/>
          <w:sz w:val="20"/>
          <w:szCs w:val="20"/>
          <w:color w:val="auto"/>
        </w:rPr>
        <w:t>We incur research and development (“R&amp;D”) costs during our process of researching and developing new products and significant enhancements to existing products. R&amp;D costs are a subset of our total engineering spend and consist primarily of personnel-related costs associated with our team of internal engineers, third-party consultants, materials and overhead. We expense these costs as incurred prior to a respective product being ready for commercial production. Total engineering expense was $4.8 million and $ 4.4 million during the three months ended September 30, 2025 and 2024, respectively, of which $2.3 million and $1.6 million were related to R&amp;D activities performed by the Company during the same periods, respectively. Total engineering expense was $13.7 million and $12.7 million during the nine months ended September 30, 2025 and 2024, respectively, of which $7.2 million and $5.3 million were related to R&amp;D activities performed by the Company during the same periods, respectively.</w:t>
      </w:r>
    </w:p>
    <w:p>
      <w:pPr>
        <w:spacing w:after="0" w:line="21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Factors Affecting Results of Operations</w:t>
      </w:r>
    </w:p>
    <w:p>
      <w:pPr>
        <w:spacing w:after="0" w:line="123"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Project Timing</w:t>
      </w:r>
    </w:p>
    <w:p>
      <w:pPr>
        <w:spacing w:after="0" w:line="121" w:lineRule="exact"/>
        <w:rPr>
          <w:sz w:val="20"/>
          <w:szCs w:val="20"/>
          <w:color w:val="auto"/>
        </w:rPr>
      </w:pPr>
    </w:p>
    <w:p>
      <w:pPr>
        <w:jc w:val="both"/>
        <w:spacing w:after="0" w:line="269" w:lineRule="auto"/>
        <w:rPr>
          <w:sz w:val="20"/>
          <w:szCs w:val="20"/>
          <w:color w:val="auto"/>
        </w:rPr>
      </w:pPr>
      <w:r>
        <w:rPr>
          <w:rFonts w:ascii="Arial" w:cs="Arial" w:eastAsia="Arial" w:hAnsi="Arial"/>
          <w:sz w:val="20"/>
          <w:szCs w:val="20"/>
          <w:color w:val="auto"/>
        </w:rPr>
        <w:t>Because we recognize revenue on projects as legal title to equipment is transferred from us to the customer, any delays in large projects from one quarter to another for any reason may cause our results of operations for a particular period to fall below expectations and make the timing of revenue difficult to forecast. Our end-users’ ability to install solar energy systems can be affected by a number of factors including:</w:t>
      </w:r>
    </w:p>
    <w:p>
      <w:pPr>
        <w:spacing w:after="0" w:line="211" w:lineRule="exact"/>
        <w:rPr>
          <w:sz w:val="20"/>
          <w:szCs w:val="20"/>
          <w:color w:val="auto"/>
        </w:rPr>
      </w:pPr>
    </w:p>
    <w:p>
      <w:pPr>
        <w:jc w:val="both"/>
        <w:ind w:left="660" w:hanging="328"/>
        <w:spacing w:after="0" w:line="269" w:lineRule="auto"/>
        <w:tabs>
          <w:tab w:leader="none" w:pos="648" w:val="left"/>
        </w:tabs>
        <w:numPr>
          <w:ilvl w:val="0"/>
          <w:numId w:val="24"/>
        </w:numPr>
        <w:rPr>
          <w:rFonts w:ascii="Arial" w:cs="Arial" w:eastAsia="Arial" w:hAnsi="Arial"/>
          <w:sz w:val="20"/>
          <w:szCs w:val="20"/>
          <w:color w:val="auto"/>
        </w:rPr>
      </w:pPr>
      <w:r>
        <w:rPr>
          <w:rFonts w:ascii="Arial" w:cs="Arial" w:eastAsia="Arial" w:hAnsi="Arial"/>
          <w:sz w:val="20"/>
          <w:szCs w:val="20"/>
          <w:i w:val="1"/>
          <w:iCs w:val="1"/>
          <w:color w:val="auto"/>
        </w:rPr>
        <w:t>Weather</w:t>
      </w:r>
      <w:r>
        <w:rPr>
          <w:rFonts w:ascii="Arial" w:cs="Arial" w:eastAsia="Arial" w:hAnsi="Arial"/>
          <w:sz w:val="20"/>
          <w:szCs w:val="20"/>
          <w:color w:val="auto"/>
        </w:rPr>
        <w:t>. Inclement weather can affect our customers’ ability to install their systems, particularly in the northeastern U.S.,</w:t>
      </w:r>
      <w:r>
        <w:rPr>
          <w:rFonts w:ascii="Arial" w:cs="Arial" w:eastAsia="Arial" w:hAnsi="Arial"/>
          <w:sz w:val="20"/>
          <w:szCs w:val="20"/>
          <w:i w:val="1"/>
          <w:iCs w:val="1"/>
          <w:color w:val="auto"/>
        </w:rPr>
        <w:t xml:space="preserve"> </w:t>
      </w:r>
      <w:r>
        <w:rPr>
          <w:rFonts w:ascii="Arial" w:cs="Arial" w:eastAsia="Arial" w:hAnsi="Arial"/>
          <w:sz w:val="20"/>
          <w:szCs w:val="20"/>
          <w:color w:val="auto"/>
        </w:rPr>
        <w:t>Europe and Brazil. In addition, weather delays can adversely affect our logistics and operations by causing delays in the shipping and delivery of our materials.</w:t>
      </w:r>
    </w:p>
    <w:p>
      <w:pPr>
        <w:spacing w:after="0" w:line="63" w:lineRule="exact"/>
        <w:rPr>
          <w:rFonts w:ascii="Arial" w:cs="Arial" w:eastAsia="Arial" w:hAnsi="Arial"/>
          <w:sz w:val="20"/>
          <w:szCs w:val="20"/>
          <w:color w:val="auto"/>
        </w:rPr>
      </w:pPr>
    </w:p>
    <w:p>
      <w:pPr>
        <w:ind w:left="660" w:hanging="328"/>
        <w:spacing w:after="0" w:line="300" w:lineRule="auto"/>
        <w:tabs>
          <w:tab w:leader="none" w:pos="648" w:val="left"/>
        </w:tabs>
        <w:numPr>
          <w:ilvl w:val="0"/>
          <w:numId w:val="24"/>
        </w:numPr>
        <w:rPr>
          <w:rFonts w:ascii="Arial" w:cs="Arial" w:eastAsia="Arial" w:hAnsi="Arial"/>
          <w:sz w:val="20"/>
          <w:szCs w:val="20"/>
          <w:color w:val="auto"/>
        </w:rPr>
      </w:pPr>
      <w:r>
        <w:rPr>
          <w:rFonts w:ascii="Arial" w:cs="Arial" w:eastAsia="Arial" w:hAnsi="Arial"/>
          <w:sz w:val="20"/>
          <w:szCs w:val="20"/>
          <w:i w:val="1"/>
          <w:iCs w:val="1"/>
          <w:color w:val="auto"/>
        </w:rPr>
        <w:t>The U.S. interest rate environment</w:t>
      </w:r>
      <w:r>
        <w:rPr>
          <w:rFonts w:ascii="Arial" w:cs="Arial" w:eastAsia="Arial" w:hAnsi="Arial"/>
          <w:sz w:val="20"/>
          <w:szCs w:val="20"/>
          <w:color w:val="auto"/>
        </w:rPr>
        <w:t>. We have had customers delay planned installations or look to renegotiate power</w:t>
      </w:r>
      <w:r>
        <w:rPr>
          <w:rFonts w:ascii="Arial" w:cs="Arial" w:eastAsia="Arial" w:hAnsi="Arial"/>
          <w:sz w:val="20"/>
          <w:szCs w:val="20"/>
          <w:i w:val="1"/>
          <w:iCs w:val="1"/>
          <w:color w:val="auto"/>
        </w:rPr>
        <w:t xml:space="preserve"> </w:t>
      </w:r>
      <w:r>
        <w:rPr>
          <w:rFonts w:ascii="Arial" w:cs="Arial" w:eastAsia="Arial" w:hAnsi="Arial"/>
          <w:sz w:val="20"/>
          <w:szCs w:val="20"/>
          <w:color w:val="auto"/>
        </w:rPr>
        <w:t>purchase agreements to improve project returns based on various rate</w:t>
      </w:r>
    </w:p>
    <w:p>
      <w:pPr>
        <w:sectPr>
          <w:pgSz w:w="11900" w:h="16838" w:orient="portrait"/>
          <w:cols w:equalWidth="0" w:num="1">
            <w:col w:w="11240"/>
          </w:cols>
          <w:pgMar w:left="320" w:top="131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19" w:right="339" w:bottom="1440" w:gutter="0" w:footer="0" w:header="0"/>
          <w:type w:val="continuous"/>
        </w:sectPr>
      </w:pPr>
    </w:p>
    <w:bookmarkStart w:id="48" w:name="page49"/>
    <w:bookmarkEnd w:id="48"/>
    <w:p>
      <w:pPr>
        <w:jc w:val="both"/>
        <w:ind w:left="660"/>
        <w:spacing w:after="0" w:line="287" w:lineRule="auto"/>
        <w:rPr>
          <w:sz w:val="20"/>
          <w:szCs w:val="20"/>
          <w:color w:val="auto"/>
        </w:rPr>
      </w:pPr>
      <w:r>
        <w:rPr>
          <w:rFonts w:ascii="Arial" w:cs="Arial" w:eastAsia="Arial" w:hAnsi="Arial"/>
          <w:sz w:val="19"/>
          <w:szCs w:val="19"/>
          <w:color w:val="auto"/>
        </w:rPr>
        <w:t>environments. For example, in anticipation of interest rate reductions and more favorable project financing conditions later in 2024, some customers delayed installations. While the Federal Reserve began lowering interest rates in the second half of 2024, there are varying outlooks on whether additional rate cuts may occur. Customers must weigh this uncertainty in conjunction with other macroeconomic factors when assessing the returns and timing for relevant projects.</w:t>
      </w:r>
    </w:p>
    <w:p>
      <w:pPr>
        <w:spacing w:after="0" w:line="48" w:lineRule="exact"/>
        <w:rPr>
          <w:sz w:val="20"/>
          <w:szCs w:val="20"/>
          <w:color w:val="auto"/>
        </w:rPr>
      </w:pPr>
    </w:p>
    <w:p>
      <w:pPr>
        <w:jc w:val="both"/>
        <w:ind w:left="660" w:hanging="328"/>
        <w:spacing w:after="0" w:line="268" w:lineRule="auto"/>
        <w:tabs>
          <w:tab w:leader="none" w:pos="648" w:val="left"/>
        </w:tabs>
        <w:numPr>
          <w:ilvl w:val="0"/>
          <w:numId w:val="25"/>
        </w:numPr>
        <w:rPr>
          <w:rFonts w:ascii="Arial" w:cs="Arial" w:eastAsia="Arial" w:hAnsi="Arial"/>
          <w:sz w:val="20"/>
          <w:szCs w:val="20"/>
          <w:i w:val="1"/>
          <w:iCs w:val="1"/>
          <w:color w:val="auto"/>
        </w:rPr>
      </w:pPr>
      <w:r>
        <w:rPr>
          <w:rFonts w:ascii="Arial" w:cs="Arial" w:eastAsia="Arial" w:hAnsi="Arial"/>
          <w:sz w:val="20"/>
          <w:szCs w:val="20"/>
          <w:i w:val="1"/>
          <w:iCs w:val="1"/>
          <w:color w:val="auto"/>
        </w:rPr>
        <w:t>Availability of necessary equipment</w:t>
      </w:r>
      <w:r>
        <w:rPr>
          <w:rFonts w:ascii="Arial" w:cs="Arial" w:eastAsia="Arial" w:hAnsi="Arial"/>
          <w:sz w:val="20"/>
          <w:szCs w:val="20"/>
          <w:color w:val="auto"/>
        </w:rPr>
        <w:t>. We have a broad portfolio of customer relationships including presence with most</w:t>
      </w:r>
      <w:r>
        <w:rPr>
          <w:rFonts w:ascii="Arial" w:cs="Arial" w:eastAsia="Arial" w:hAnsi="Arial"/>
          <w:sz w:val="20"/>
          <w:szCs w:val="20"/>
          <w:i w:val="1"/>
          <w:iCs w:val="1"/>
          <w:color w:val="auto"/>
        </w:rPr>
        <w:t xml:space="preserve"> </w:t>
      </w:r>
      <w:r>
        <w:rPr>
          <w:rFonts w:ascii="Arial" w:cs="Arial" w:eastAsia="Arial" w:hAnsi="Arial"/>
          <w:sz w:val="20"/>
          <w:szCs w:val="20"/>
          <w:color w:val="auto"/>
        </w:rPr>
        <w:t>Tier 1 utilities in the U.S. Each utility has unique specifications for access to its grid, which is generally not consistent across the industry. As the supply of renewables projects has increased, shortages and long lead-times in the supply of switches, transformers and high voltage breakers used in the interconnection of utility scale solar power plants to the grid, has historically affected the timing and completion of these projects, including for some of our customers.</w:t>
      </w:r>
    </w:p>
    <w:p>
      <w:pPr>
        <w:spacing w:after="0" w:line="65" w:lineRule="exact"/>
        <w:rPr>
          <w:rFonts w:ascii="Arial" w:cs="Arial" w:eastAsia="Arial" w:hAnsi="Arial"/>
          <w:sz w:val="20"/>
          <w:szCs w:val="20"/>
          <w:i w:val="1"/>
          <w:iCs w:val="1"/>
          <w:color w:val="auto"/>
        </w:rPr>
      </w:pPr>
    </w:p>
    <w:p>
      <w:pPr>
        <w:jc w:val="both"/>
        <w:ind w:left="660" w:hanging="328"/>
        <w:spacing w:after="0" w:line="262" w:lineRule="auto"/>
        <w:tabs>
          <w:tab w:leader="none" w:pos="648" w:val="left"/>
        </w:tabs>
        <w:numPr>
          <w:ilvl w:val="0"/>
          <w:numId w:val="25"/>
        </w:numPr>
        <w:rPr>
          <w:rFonts w:ascii="Arial" w:cs="Arial" w:eastAsia="Arial" w:hAnsi="Arial"/>
          <w:sz w:val="20"/>
          <w:szCs w:val="20"/>
          <w:color w:val="auto"/>
        </w:rPr>
      </w:pPr>
      <w:r>
        <w:rPr>
          <w:rFonts w:ascii="Arial" w:cs="Arial" w:eastAsia="Arial" w:hAnsi="Arial"/>
          <w:sz w:val="20"/>
          <w:szCs w:val="20"/>
          <w:i w:val="1"/>
          <w:iCs w:val="1"/>
          <w:color w:val="auto"/>
        </w:rPr>
        <w:t xml:space="preserve">Macroeconomic factors. </w:t>
      </w:r>
      <w:r>
        <w:rPr>
          <w:rFonts w:ascii="Arial" w:cs="Arial" w:eastAsia="Arial" w:hAnsi="Arial"/>
          <w:sz w:val="20"/>
          <w:szCs w:val="20"/>
          <w:color w:val="auto"/>
        </w:rPr>
        <w:t>There has been a rapid depreciation of the Brazilian Real in conjunction with existing pricing</w:t>
      </w:r>
      <w:r>
        <w:rPr>
          <w:rFonts w:ascii="Arial" w:cs="Arial" w:eastAsia="Arial" w:hAnsi="Arial"/>
          <w:sz w:val="20"/>
          <w:szCs w:val="20"/>
          <w:i w:val="1"/>
          <w:iCs w:val="1"/>
          <w:color w:val="auto"/>
        </w:rPr>
        <w:t xml:space="preserve"> </w:t>
      </w:r>
      <w:r>
        <w:rPr>
          <w:rFonts w:ascii="Arial" w:cs="Arial" w:eastAsia="Arial" w:hAnsi="Arial"/>
          <w:sz w:val="20"/>
          <w:szCs w:val="20"/>
          <w:color w:val="auto"/>
        </w:rPr>
        <w:t>pressures on energy in the Brazilian market. Due to these dynamics, the economic cases for the power purchase agreements, or PPAs, for many solar projects have become less attractive for our customers. Many of the developers in Brazil of these projects continue to signal delays as they renegotiate the pricing of these PPAs. In addition, our results will also be impacted by tax incentives we can recognize, for example the Brazil value-added tax benefit, Imposto sobre Circulação de Mercadorias e Servicos (“ICMS”), which will be fully phased out in 2033. As a result, we are focused on reducing costs and better aligning our organization, including the size thereof, in Brazil with the current market conditions.</w:t>
      </w:r>
    </w:p>
    <w:p>
      <w:pPr>
        <w:spacing w:after="0" w:line="84" w:lineRule="exact"/>
        <w:rPr>
          <w:rFonts w:ascii="Arial" w:cs="Arial" w:eastAsia="Arial" w:hAnsi="Arial"/>
          <w:sz w:val="20"/>
          <w:szCs w:val="20"/>
          <w:color w:val="auto"/>
        </w:rPr>
      </w:pPr>
    </w:p>
    <w:p>
      <w:pPr>
        <w:jc w:val="both"/>
        <w:ind w:left="660"/>
        <w:spacing w:after="0" w:line="262" w:lineRule="auto"/>
        <w:rPr>
          <w:rFonts w:ascii="Arial" w:cs="Arial" w:eastAsia="Arial" w:hAnsi="Arial"/>
          <w:sz w:val="20"/>
          <w:szCs w:val="20"/>
          <w:color w:val="auto"/>
        </w:rPr>
      </w:pPr>
      <w:r>
        <w:rPr>
          <w:rFonts w:ascii="Arial" w:cs="Arial" w:eastAsia="Arial" w:hAnsi="Arial"/>
          <w:sz w:val="20"/>
          <w:szCs w:val="20"/>
          <w:color w:val="auto"/>
        </w:rPr>
        <w:t>It is uncertain what impact new or existing tariffs, trade restrictions or retaliatory actions may have on us, the solar industry and our customers. An escalation in trade tensions or the implementation of broader tariffs, trade restrictions or retaliatory measures on our products or components originating from countries outside the U.S. could adversely impact our ability to source necessary components, manufacture products at competitive cost, or sell our products at prices customers are willing to pay. Any such developments could materially and adversely affect our business operations, results of operations and cash flows.</w:t>
      </w:r>
    </w:p>
    <w:p>
      <w:pPr>
        <w:spacing w:after="0" w:line="86" w:lineRule="exact"/>
        <w:rPr>
          <w:rFonts w:ascii="Arial" w:cs="Arial" w:eastAsia="Arial" w:hAnsi="Arial"/>
          <w:sz w:val="20"/>
          <w:szCs w:val="20"/>
          <w:color w:val="auto"/>
        </w:rPr>
      </w:pPr>
    </w:p>
    <w:p>
      <w:pPr>
        <w:jc w:val="both"/>
        <w:ind w:left="660" w:hanging="328"/>
        <w:spacing w:after="0" w:line="269" w:lineRule="auto"/>
        <w:tabs>
          <w:tab w:leader="none" w:pos="648" w:val="left"/>
        </w:tabs>
        <w:numPr>
          <w:ilvl w:val="0"/>
          <w:numId w:val="25"/>
        </w:numPr>
        <w:rPr>
          <w:rFonts w:ascii="Arial" w:cs="Arial" w:eastAsia="Arial" w:hAnsi="Arial"/>
          <w:sz w:val="20"/>
          <w:szCs w:val="20"/>
          <w:color w:val="auto"/>
        </w:rPr>
      </w:pPr>
      <w:r>
        <w:rPr>
          <w:rFonts w:ascii="Arial" w:cs="Arial" w:eastAsia="Arial" w:hAnsi="Arial"/>
          <w:sz w:val="20"/>
          <w:szCs w:val="20"/>
          <w:i w:val="1"/>
          <w:iCs w:val="1"/>
          <w:color w:val="auto"/>
        </w:rPr>
        <w:t>Local permitting</w:t>
      </w:r>
      <w:r>
        <w:rPr>
          <w:rFonts w:ascii="Arial" w:cs="Arial" w:eastAsia="Arial" w:hAnsi="Arial"/>
          <w:sz w:val="20"/>
          <w:szCs w:val="20"/>
          <w:color w:val="auto"/>
        </w:rPr>
        <w:t>. If our customers cannot receive permitting for their projects, they are unable to begin and ultimately</w:t>
      </w:r>
      <w:r>
        <w:rPr>
          <w:rFonts w:ascii="Arial" w:cs="Arial" w:eastAsia="Arial" w:hAnsi="Arial"/>
          <w:sz w:val="20"/>
          <w:szCs w:val="20"/>
          <w:i w:val="1"/>
          <w:iCs w:val="1"/>
          <w:color w:val="auto"/>
        </w:rPr>
        <w:t xml:space="preserve"> </w:t>
      </w:r>
      <w:r>
        <w:rPr>
          <w:rFonts w:ascii="Arial" w:cs="Arial" w:eastAsia="Arial" w:hAnsi="Arial"/>
          <w:sz w:val="20"/>
          <w:szCs w:val="20"/>
          <w:color w:val="auto"/>
        </w:rPr>
        <w:t>complete them in a timely manner. A dramatic increase in solar and battery storage sites has increased the average permitting time in many geographies in which our customers operate.</w:t>
      </w:r>
    </w:p>
    <w:p>
      <w:pPr>
        <w:spacing w:after="0" w:line="212"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Impact of OBBB</w:t>
      </w:r>
    </w:p>
    <w:p>
      <w:pPr>
        <w:spacing w:after="0" w:line="121" w:lineRule="exact"/>
        <w:rPr>
          <w:sz w:val="20"/>
          <w:szCs w:val="20"/>
          <w:color w:val="auto"/>
        </w:rPr>
      </w:pPr>
    </w:p>
    <w:p>
      <w:pPr>
        <w:jc w:val="both"/>
        <w:spacing w:after="0" w:line="275" w:lineRule="auto"/>
        <w:rPr>
          <w:sz w:val="20"/>
          <w:szCs w:val="20"/>
          <w:color w:val="auto"/>
        </w:rPr>
      </w:pPr>
      <w:r>
        <w:rPr>
          <w:rFonts w:ascii="Arial" w:cs="Arial" w:eastAsia="Arial" w:hAnsi="Arial"/>
          <w:sz w:val="19"/>
          <w:szCs w:val="19"/>
          <w:color w:val="auto"/>
        </w:rPr>
        <w:t>While solar power is cost-competitive with conventional forms of generation in many U.S. states even without the ITC, we believe previous step-downs in the ITC in past years have influenced the timing and quantity of some customers’ orders. On July 4, 2025, President Trump signed into law the One Big Beautiful Bill Act (“OBBB”), which includes changes to the energy tax credits. Specifically, the solar ITC now terminates for facilities that are placed in service after December 31, 2027, but that termination does not apply if the taxpayer begins construction on the facility before July 4, 2026. In addition, the OBBB imposes new foreign entity of concern limitations on the ITC before it expires, which could impact the ability of solar facilities to claim the ITC. Specifically, taxpayers cannot claim the credit in taxable years beginning after enactment of the OBBB if they are prohibited foreign entities (which are generally entities that are formed in or controlled by covered nations, including China, Russia, Iran, and North Korea, as well as entities determined to be under effective control as a result of contracts entered into with such entities). The credit is also disallowed for solar facilities that begin construction after December 31, 2025 that receive material assistance from a prohibited foreign entity. On July 7, 2025, President Trump issued an executive order instructing the U.S. Department of Treasury to issue updated guidance, including on commencement of construction, within 45 days. On August 15, 2025, Treasury and the IRS issued Notice 2025-42 consistent with the executive order, which eliminates the 5% safe harbor for</w:t>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19" w:right="339" w:bottom="1440" w:gutter="0" w:footer="0" w:header="0"/>
        </w:sectPr>
      </w:pPr>
    </w:p>
    <w:bookmarkStart w:id="49" w:name="page50"/>
    <w:bookmarkEnd w:id="49"/>
    <w:p>
      <w:pPr>
        <w:jc w:val="both"/>
        <w:spacing w:after="0" w:line="276" w:lineRule="auto"/>
        <w:rPr>
          <w:sz w:val="20"/>
          <w:szCs w:val="20"/>
          <w:color w:val="auto"/>
        </w:rPr>
      </w:pPr>
      <w:r>
        <w:rPr>
          <w:rFonts w:ascii="Arial" w:cs="Arial" w:eastAsia="Arial" w:hAnsi="Arial"/>
          <w:sz w:val="20"/>
          <w:szCs w:val="20"/>
          <w:color w:val="auto"/>
        </w:rPr>
        <w:t>utility-scale solar projects and only allows the physical work test to determine when a project begins construction. If solar developers are unable to satisfy the physical work test, our business, financial condition, and results of operations could be adversely affected.</w:t>
      </w:r>
    </w:p>
    <w:p>
      <w:pPr>
        <w:spacing w:after="0" w:line="192" w:lineRule="exact"/>
        <w:rPr>
          <w:sz w:val="20"/>
          <w:szCs w:val="20"/>
          <w:color w:val="auto"/>
        </w:rPr>
      </w:pPr>
    </w:p>
    <w:p>
      <w:pPr>
        <w:jc w:val="both"/>
        <w:spacing w:after="0" w:line="276" w:lineRule="auto"/>
        <w:rPr>
          <w:sz w:val="20"/>
          <w:szCs w:val="20"/>
          <w:color w:val="auto"/>
        </w:rPr>
      </w:pPr>
      <w:r>
        <w:rPr>
          <w:rFonts w:ascii="Arial" w:cs="Arial" w:eastAsia="Arial" w:hAnsi="Arial"/>
          <w:sz w:val="20"/>
          <w:szCs w:val="20"/>
          <w:color w:val="auto"/>
        </w:rPr>
        <w:t>The OBBB also extended key provisions of the 2017 Tax Cuts and Jobs Act including, but not limited to, federal bonus depreciation and deductions for domestic research and development expenditures. The Company is currently evaluating the income tax impact of OBBB on the Company’s future consolidated financial statements.</w:t>
      </w:r>
    </w:p>
    <w:p>
      <w:pPr>
        <w:spacing w:after="0" w:line="192"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Section 45X Credit</w:t>
      </w:r>
    </w:p>
    <w:p>
      <w:pPr>
        <w:spacing w:after="0" w:line="121" w:lineRule="exact"/>
        <w:rPr>
          <w:sz w:val="20"/>
          <w:szCs w:val="20"/>
          <w:color w:val="auto"/>
        </w:rPr>
      </w:pPr>
    </w:p>
    <w:p>
      <w:pPr>
        <w:jc w:val="both"/>
        <w:spacing w:after="0" w:line="262" w:lineRule="auto"/>
        <w:rPr>
          <w:sz w:val="20"/>
          <w:szCs w:val="20"/>
          <w:color w:val="auto"/>
        </w:rPr>
      </w:pPr>
      <w:r>
        <w:rPr>
          <w:rFonts w:ascii="Arial" w:cs="Arial" w:eastAsia="Arial" w:hAnsi="Arial"/>
          <w:sz w:val="20"/>
          <w:szCs w:val="20"/>
          <w:color w:val="auto"/>
        </w:rPr>
        <w:t xml:space="preserve">The Section 45X manufacturing production tax credit applies to eligible components, including torque tube and structural fasteners. We have determined that the statutory definitions for these components (which are reiterated in final regulations) apply to our tracker components. Beginning in late 2023 and continuing through 2024 and into 2025, we have successfully negotiated, and we continue to successfully negotiate, agreements with key suppliers around sharing the economic benefits of section 45X credits associated with torque tube and structural fasteners. We continue to pursue additional agreements for splitting the economic benefits of section 45X with suppliers for parts we do not manufacture internally. In addition, during the second quarter of 2024, we concluded that certain parts manufactured by the Company qualify for the section 45X advanced production credits. Refer to </w:t>
      </w:r>
      <w:r>
        <w:rPr>
          <w:rFonts w:ascii="Arial" w:cs="Arial" w:eastAsia="Arial" w:hAnsi="Arial"/>
          <w:sz w:val="20"/>
          <w:szCs w:val="20"/>
          <w:u w:val="single" w:color="auto"/>
          <w:color w:val="0000FF"/>
        </w:rPr>
        <w:t>Note 2 – Summary of Significant Accounting Policies</w:t>
      </w:r>
      <w:r>
        <w:rPr>
          <w:rFonts w:ascii="Arial" w:cs="Arial" w:eastAsia="Arial" w:hAnsi="Arial"/>
          <w:sz w:val="20"/>
          <w:szCs w:val="20"/>
          <w:color w:val="auto"/>
        </w:rPr>
        <w:t xml:space="preserve"> in the accompanying notes to our condensed consolidated financial statements included in this Quarterly Report on Form 10-Q for a discussion on how we account for these incentives and amounts recognized for the periods presented. If these financial benefits vary significantly from our assumptions, our business, financial condition, and results of operations could be adversely affected.</w:t>
      </w:r>
    </w:p>
    <w:p>
      <w:pPr>
        <w:spacing w:after="0" w:line="195" w:lineRule="exact"/>
        <w:rPr>
          <w:sz w:val="20"/>
          <w:szCs w:val="20"/>
          <w:color w:val="auto"/>
        </w:rPr>
      </w:pPr>
    </w:p>
    <w:p>
      <w:pPr>
        <w:jc w:val="both"/>
        <w:spacing w:after="0" w:line="252" w:lineRule="auto"/>
        <w:rPr>
          <w:sz w:val="20"/>
          <w:szCs w:val="20"/>
          <w:color w:val="auto"/>
        </w:rPr>
      </w:pPr>
      <w:r>
        <w:rPr>
          <w:rFonts w:ascii="Arial" w:cs="Arial" w:eastAsia="Arial" w:hAnsi="Arial"/>
          <w:sz w:val="20"/>
          <w:szCs w:val="20"/>
          <w:color w:val="auto"/>
        </w:rPr>
        <w:t>The OBBB did not modify the phase-out of the section 45X credit or the definitions of eligible components relating to solar trackers; however, the OBBB did impose foreign entity of concern limitations on taxpayers claiming the section 45X credit. Specifically, taxpayers cannot claim the credit in taxable years beginning after enactment of the OBBB if they are prohibited foreign entities (which are generally entities that are formed in or controlled by covered nations, including China, Russia, Iran, and North Korea, as well as entities determined to be under effective control as a result of contracts entered into with such entities). The credit is also disallowed in taxable years beginning after enactment of the OBBB for eligible components that receive material assistance from a prohibited foreign entity. We are currently analyzing the impact of the foreign entity of concern limitations may have for credits claimed in 2026 and future years.</w:t>
      </w:r>
    </w:p>
    <w:p>
      <w:pPr>
        <w:spacing w:after="0" w:line="228"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Domestic Content Safe Harbor Guidance</w:t>
      </w:r>
    </w:p>
    <w:p>
      <w:pPr>
        <w:spacing w:after="0" w:line="121" w:lineRule="exact"/>
        <w:rPr>
          <w:sz w:val="20"/>
          <w:szCs w:val="20"/>
          <w:color w:val="auto"/>
        </w:rPr>
      </w:pPr>
    </w:p>
    <w:p>
      <w:pPr>
        <w:jc w:val="both"/>
        <w:spacing w:after="0" w:line="261" w:lineRule="auto"/>
        <w:rPr>
          <w:sz w:val="20"/>
          <w:szCs w:val="20"/>
          <w:color w:val="auto"/>
        </w:rPr>
      </w:pPr>
      <w:r>
        <w:rPr>
          <w:rFonts w:ascii="Arial" w:cs="Arial" w:eastAsia="Arial" w:hAnsi="Arial"/>
          <w:sz w:val="20"/>
          <w:szCs w:val="20"/>
          <w:color w:val="auto"/>
        </w:rPr>
        <w:t>The IRS issued Notice 2023-38 in May of 2023 setting forth guidance on the domestic content bonus tax credits under the IRA. Uncertainties still exist under this guidance, like whose costs would be used (the manufacturer’s cost, a vendor’s cost to acquire, etc.) and how to define manufactured product components associated with trackers. In May of 2024, the IRS issued Notice 2024-41 setting forth further guidance on the domestic content bonus tax credits, including a safe harbor method for calculating domestic content percentages. On January 16, 2025, the IRS released Notice 2025-08, modifying Notice 2023-38 and Notice 2024-41 as well as introducing an updated elective safe harbor method for use in lieu of provisions of the adjusted percentage rule provided in Notice 2023-38 for calculating the domestic content bonus credit amounts applicable for certain qualified facilities and energy projects. Notice 2024-41 and Notice 2025-08 and the updated definitions described therein have clarified some pre-existing uncertainty in the industry, but they have also introduced uncertainties of their own. These uncertainties have and could continue to cause our customers to delay projects as they navigate the existing guidance in qualifying for the tax credit and possibly wait for further clarity. If these financial benefits vary significantly from our assumptions, our business, financial condition, and results of operations could be adversely affected.</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78105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19" w:right="339" w:bottom="1440" w:gutter="0" w:footer="0" w:header="0"/>
        </w:sectPr>
      </w:pPr>
    </w:p>
    <w:bookmarkStart w:id="50" w:name="page51"/>
    <w:bookmarkEnd w:id="50"/>
    <w:p>
      <w:pPr>
        <w:spacing w:after="0" w:line="123" w:lineRule="exact"/>
        <w:rPr>
          <w:sz w:val="20"/>
          <w:szCs w:val="20"/>
          <w:color w:val="auto"/>
        </w:rPr>
      </w:pPr>
    </w:p>
    <w:p>
      <w:pPr>
        <w:jc w:val="both"/>
        <w:spacing w:after="0" w:line="265" w:lineRule="auto"/>
        <w:rPr>
          <w:sz w:val="20"/>
          <w:szCs w:val="20"/>
          <w:color w:val="auto"/>
        </w:rPr>
      </w:pPr>
      <w:r>
        <w:rPr>
          <w:rFonts w:ascii="Arial" w:cs="Arial" w:eastAsia="Arial" w:hAnsi="Arial"/>
          <w:sz w:val="20"/>
          <w:szCs w:val="20"/>
          <w:color w:val="auto"/>
        </w:rPr>
        <w:t>The OBBB increased the domestic content threshold for solar facilities that begin construction after June 16, 2025, to claim the domestic content bonus credit; however, the OBBB did not otherwise amend the requirements for claiming a domestic content bonus credit or the guidance previously issued by the government. It is possible, however, that the Trump Administration may seek to modify the domestic content guidance that was issued by the Biden Administration. We are currently evaluating the potential impact that the increased domestic content threshold may have on our business.</w:t>
      </w:r>
    </w:p>
    <w:p>
      <w:pPr>
        <w:spacing w:after="0" w:line="215"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Structured Cost Management</w:t>
      </w:r>
    </w:p>
    <w:p>
      <w:pPr>
        <w:spacing w:after="0" w:line="121" w:lineRule="exact"/>
        <w:rPr>
          <w:sz w:val="20"/>
          <w:szCs w:val="20"/>
          <w:color w:val="auto"/>
        </w:rPr>
      </w:pPr>
    </w:p>
    <w:p>
      <w:pPr>
        <w:jc w:val="both"/>
        <w:spacing w:after="0" w:line="265" w:lineRule="auto"/>
        <w:rPr>
          <w:sz w:val="20"/>
          <w:szCs w:val="20"/>
          <w:color w:val="auto"/>
        </w:rPr>
      </w:pPr>
      <w:r>
        <w:rPr>
          <w:rFonts w:ascii="Arial" w:cs="Arial" w:eastAsia="Arial" w:hAnsi="Arial"/>
          <w:sz w:val="20"/>
          <w:szCs w:val="20"/>
          <w:color w:val="auto"/>
        </w:rPr>
        <w:t>We actively manage the risk from certain types of customer contracts, including, for example, multi-year contracts that require fixed pricing or pricing tied to certain commodity indices. Depending on the totality of the circumstances and our ability to mitigate risk, we may or may not pursue such contractual arrangements. Where we decline, this may have the effect of driving certain customers or projects to our competitors. We believe this is the right way to manage a high-quality portfolio and drive consistent margins over time.</w:t>
      </w:r>
    </w:p>
    <w:p>
      <w:pPr>
        <w:spacing w:after="0" w:line="215"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Impact of the Ongoing Russian-Ukraine War</w:t>
      </w:r>
    </w:p>
    <w:p>
      <w:pPr>
        <w:spacing w:after="0" w:line="121" w:lineRule="exact"/>
        <w:rPr>
          <w:sz w:val="20"/>
          <w:szCs w:val="20"/>
          <w:color w:val="auto"/>
        </w:rPr>
      </w:pPr>
    </w:p>
    <w:p>
      <w:pPr>
        <w:jc w:val="both"/>
        <w:spacing w:after="0" w:line="269" w:lineRule="auto"/>
        <w:rPr>
          <w:sz w:val="20"/>
          <w:szCs w:val="20"/>
          <w:color w:val="auto"/>
        </w:rPr>
      </w:pPr>
      <w:r>
        <w:rPr>
          <w:rFonts w:ascii="Arial" w:cs="Arial" w:eastAsia="Arial" w:hAnsi="Arial"/>
          <w:sz w:val="20"/>
          <w:szCs w:val="20"/>
          <w:color w:val="auto"/>
        </w:rPr>
        <w:t>The ongoing Russian-Ukraine war has reduced the availability of material that can be sourced in Europe and, as a result, increased logistics costs for the procurement of certain inputs and materials used in our products. We do not know the ultimate severity or duration of the conflict, but we continue to monitor the situation and evaluate our procurement strategy and supply chain as to reduce any negative impact on our business, financial condition, and results of operations.</w:t>
      </w:r>
    </w:p>
    <w:p>
      <w:pPr>
        <w:spacing w:after="0" w:line="197"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Impact of Disruption of Key Shipping Lanes</w:t>
      </w:r>
    </w:p>
    <w:p>
      <w:pPr>
        <w:spacing w:after="0" w:line="135" w:lineRule="exact"/>
        <w:rPr>
          <w:sz w:val="20"/>
          <w:szCs w:val="20"/>
          <w:color w:val="auto"/>
        </w:rPr>
      </w:pPr>
    </w:p>
    <w:p>
      <w:pPr>
        <w:jc w:val="both"/>
        <w:spacing w:after="0" w:line="262" w:lineRule="auto"/>
        <w:rPr>
          <w:sz w:val="20"/>
          <w:szCs w:val="20"/>
          <w:color w:val="auto"/>
        </w:rPr>
      </w:pPr>
      <w:r>
        <w:rPr>
          <w:rFonts w:ascii="Arial" w:cs="Arial" w:eastAsia="Arial" w:hAnsi="Arial"/>
          <w:sz w:val="20"/>
          <w:szCs w:val="20"/>
          <w:color w:val="auto"/>
        </w:rPr>
        <w:t>The disruption of container shipping traffic through the Red Sea has created port congestion, especially in Asia, affecting transit times, capacity, and shipping costs for routes connecting the rest of the world with Asia. Many shipping companies have paused shipments through the Suez Canal and the Red Sea causing rerouting of commercial vessels. To address the challenges arising from prolonged transit times, we have increased our local sourcing efforts where feasible within certain regions. These measures aim to reduce delays to get the product to project sites on time. There is still uncertainty on how long these disruptions and the severity of their impact on our operations will last, but we continue to monitor the situation and evaluate our procurement and supply chain strategies, as to reduce any negative impact on our business, financial condition, and results of operations.</w:t>
      </w:r>
    </w:p>
    <w:p>
      <w:pPr>
        <w:spacing w:after="0" w:line="206"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Inflation</w:t>
      </w:r>
    </w:p>
    <w:p>
      <w:pPr>
        <w:spacing w:after="0" w:line="135" w:lineRule="exact"/>
        <w:rPr>
          <w:sz w:val="20"/>
          <w:szCs w:val="20"/>
          <w:color w:val="auto"/>
        </w:rPr>
      </w:pPr>
    </w:p>
    <w:p>
      <w:pPr>
        <w:jc w:val="both"/>
        <w:spacing w:after="0" w:line="269" w:lineRule="auto"/>
        <w:rPr>
          <w:sz w:val="20"/>
          <w:szCs w:val="20"/>
          <w:color w:val="auto"/>
        </w:rPr>
      </w:pPr>
      <w:r>
        <w:rPr>
          <w:rFonts w:ascii="Arial" w:cs="Arial" w:eastAsia="Arial" w:hAnsi="Arial"/>
          <w:sz w:val="20"/>
          <w:szCs w:val="20"/>
          <w:color w:val="auto"/>
        </w:rPr>
        <w:t>Inflationary pressures may continue to negatively impact our results of operations in the near-term. To mitigate the inflationary pressures on our business, despite our average selling price (“ASP”) decreasing due to the current deflationary environment for commodities like steel, we have continued to accelerate our productivity initiatives, expanded our supplier base, and continued to execute on our overhead cost containment practices.</w:t>
      </w:r>
    </w:p>
    <w:p>
      <w:pPr>
        <w:spacing w:after="0" w:line="197"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Impact of AD/CVD Petitions and Determinations</w:t>
      </w:r>
    </w:p>
    <w:p>
      <w:pPr>
        <w:spacing w:after="0" w:line="121" w:lineRule="exact"/>
        <w:rPr>
          <w:sz w:val="20"/>
          <w:szCs w:val="20"/>
          <w:color w:val="auto"/>
        </w:rPr>
      </w:pPr>
    </w:p>
    <w:p>
      <w:pPr>
        <w:jc w:val="both"/>
        <w:spacing w:after="0" w:line="282" w:lineRule="auto"/>
        <w:rPr>
          <w:sz w:val="20"/>
          <w:szCs w:val="20"/>
          <w:color w:val="auto"/>
        </w:rPr>
      </w:pPr>
      <w:r>
        <w:rPr>
          <w:rFonts w:ascii="Arial" w:cs="Arial" w:eastAsia="Arial" w:hAnsi="Arial"/>
          <w:sz w:val="19"/>
          <w:szCs w:val="19"/>
          <w:color w:val="auto"/>
        </w:rPr>
        <w:t>On August 18, 2023, the U.S. Department of Commerce issued final affirmative determinations of circumvention with respect to certain crystalline solar photovoltaic (“CSPV”) cells and modules produced in Cambodia, Malaysia, Thailand and Vietnam using parts and components from China. As a result, certain CSPV cells and modules from Cambodia, Malaysia, Thailand and Vietnam are now subject to antidumping and countervailing duty (“AD/CVD”) orders on CSPV cells and modules from China that have been in place since 2012. Subject to certain certification and utilization conditions, imports of CSPV cells and modules covered by the circumvention determinations that entered the U.S. during the two-year period prior to June 6, 2024 were</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1" w:name="page52"/>
    <w:bookmarkEnd w:id="51"/>
    <w:p>
      <w:pPr>
        <w:jc w:val="both"/>
        <w:spacing w:after="0" w:line="265" w:lineRule="auto"/>
        <w:rPr>
          <w:sz w:val="20"/>
          <w:szCs w:val="20"/>
          <w:color w:val="auto"/>
        </w:rPr>
      </w:pPr>
      <w:r>
        <w:rPr>
          <w:rFonts w:ascii="Arial" w:cs="Arial" w:eastAsia="Arial" w:hAnsi="Arial"/>
          <w:sz w:val="20"/>
          <w:szCs w:val="20"/>
          <w:color w:val="auto"/>
        </w:rPr>
        <w:t>not subject to AD/CVD cash deposit or duty requirements. Imports of CSPV cells and modules from the four Southeast Asian countries covered by the circumvention determination that entered the U.S. on or after June 6, 2024 are subject to AD/CVD cash deposit requirements of the China AD/CVD orders and, possibly, final AD/CVD duty liability. Cash deposit rates for CSPV modules covered by the China AD/CVD orders vary significantly depending on the producer and exporter of the modules and may amount to over 250% of the entered value of the imported merchandise.</w:t>
      </w:r>
    </w:p>
    <w:p>
      <w:pPr>
        <w:spacing w:after="0" w:line="215" w:lineRule="exact"/>
        <w:rPr>
          <w:sz w:val="20"/>
          <w:szCs w:val="20"/>
          <w:color w:val="auto"/>
        </w:rPr>
      </w:pPr>
    </w:p>
    <w:p>
      <w:pPr>
        <w:jc w:val="both"/>
        <w:spacing w:after="0" w:line="263" w:lineRule="auto"/>
        <w:rPr>
          <w:sz w:val="20"/>
          <w:szCs w:val="20"/>
          <w:color w:val="auto"/>
        </w:rPr>
      </w:pPr>
      <w:r>
        <w:rPr>
          <w:rFonts w:ascii="Arial" w:cs="Arial" w:eastAsia="Arial" w:hAnsi="Arial"/>
          <w:sz w:val="20"/>
          <w:szCs w:val="20"/>
          <w:color w:val="auto"/>
        </w:rPr>
        <w:t>On April 24, 2024, the American Alliance for Solar Manufacturing Trade Committee, an ad hoc coalition of domestic producers of CSPV cells and modules, filed a petition with the U.S. Department of Commerce (the “USDOC”) and the U.S. International Trade Commission (“USITC”) seeking the imposition of AD/CVD tariffs on imports of CSPV cells and modules from Cambodia, Malaysia, Thailand and Vietnam. On May 20, 2025 the USITC made a final determination that U.S. industry had been materially injured by imports from Malaysia and Vietnam and threatened by imports from Cambodia and Thailand. On June 9, 2025 the USDOC issued AD/CVD orders that took effect on June 16, 2025. The tariff rates under the final determination vary from below 1% to more than 3,400%, depending on the relevant company.</w:t>
      </w:r>
    </w:p>
    <w:p>
      <w:pPr>
        <w:spacing w:after="0" w:line="207" w:lineRule="exact"/>
        <w:rPr>
          <w:sz w:val="20"/>
          <w:szCs w:val="20"/>
          <w:color w:val="auto"/>
        </w:rPr>
      </w:pPr>
    </w:p>
    <w:p>
      <w:pPr>
        <w:jc w:val="both"/>
        <w:spacing w:after="0" w:line="265" w:lineRule="auto"/>
        <w:rPr>
          <w:sz w:val="20"/>
          <w:szCs w:val="20"/>
          <w:color w:val="auto"/>
        </w:rPr>
      </w:pPr>
      <w:r>
        <w:rPr>
          <w:rFonts w:ascii="Arial" w:cs="Arial" w:eastAsia="Arial" w:hAnsi="Arial"/>
          <w:sz w:val="20"/>
          <w:szCs w:val="20"/>
          <w:color w:val="auto"/>
        </w:rPr>
        <w:t>On July 17, 2025, the Alliance for American Solar Manufacturing and Trade, which consists of First Solar, Mission Solar Energy, and Qcells, filed another petition with the USDOC and USITC seeking the imposition of AD/CVD tariffs on imports of CSPV cells and modules from India, Indonesia, and Laos. The petition alleges margins of 213.96 percent for India, 89.65 percent for Indonesia, and 245.79 to 249.09 percent for Laos. The final determination by the DOC is expected to be made sometime in fall 2026.</w:t>
      </w:r>
    </w:p>
    <w:p>
      <w:pPr>
        <w:spacing w:after="0" w:line="215" w:lineRule="exact"/>
        <w:rPr>
          <w:sz w:val="20"/>
          <w:szCs w:val="20"/>
          <w:color w:val="auto"/>
        </w:rPr>
      </w:pPr>
    </w:p>
    <w:p>
      <w:pPr>
        <w:jc w:val="both"/>
        <w:spacing w:after="0" w:line="269" w:lineRule="auto"/>
        <w:rPr>
          <w:sz w:val="20"/>
          <w:szCs w:val="20"/>
          <w:color w:val="auto"/>
        </w:rPr>
      </w:pPr>
      <w:r>
        <w:rPr>
          <w:rFonts w:ascii="Arial" w:cs="Arial" w:eastAsia="Arial" w:hAnsi="Arial"/>
          <w:sz w:val="20"/>
          <w:szCs w:val="20"/>
          <w:color w:val="auto"/>
        </w:rPr>
        <w:t>While we do not sell solar modules, the degree of our exposure is dependent on, among other things, the impact of the AD/CVD orders on the projects that are also intended to use our products, with such impact being largely out of our control. We have seen a number of projects in our order book delayed as a result of the USDOC investigations, and effective enforcement of the AD/CVD orders could negatively impact our results of operations.</w:t>
      </w:r>
    </w:p>
    <w:p>
      <w:pPr>
        <w:spacing w:after="0" w:line="197"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U.S. Trade Policy and Executive Orders</w:t>
      </w:r>
    </w:p>
    <w:p>
      <w:pPr>
        <w:spacing w:after="0" w:line="121" w:lineRule="exact"/>
        <w:rPr>
          <w:sz w:val="20"/>
          <w:szCs w:val="20"/>
          <w:color w:val="auto"/>
        </w:rPr>
      </w:pPr>
    </w:p>
    <w:p>
      <w:pPr>
        <w:jc w:val="both"/>
        <w:spacing w:after="0" w:line="263" w:lineRule="auto"/>
        <w:rPr>
          <w:sz w:val="20"/>
          <w:szCs w:val="20"/>
          <w:color w:val="auto"/>
        </w:rPr>
      </w:pPr>
      <w:r>
        <w:rPr>
          <w:rFonts w:ascii="Arial" w:cs="Arial" w:eastAsia="Arial" w:hAnsi="Arial"/>
          <w:sz w:val="20"/>
          <w:szCs w:val="20"/>
          <w:color w:val="auto"/>
        </w:rPr>
        <w:t xml:space="preserve">On February 1, 2025, President Trump issued executive orders directing the U.S. to impose new tariffs on imports from Canada, Mexico, and China, to take effect on February 4, 2025, and on February 3, 2025, President Trump announced his intention to pause these tariffs on Canada and Mexico for a one-month period. The tariffs impose an additional 25% </w:t>
      </w:r>
      <w:r>
        <w:rPr>
          <w:rFonts w:ascii="Arial" w:cs="Arial" w:eastAsia="Arial" w:hAnsi="Arial"/>
          <w:sz w:val="20"/>
          <w:szCs w:val="20"/>
          <w:i w:val="1"/>
          <w:iCs w:val="1"/>
          <w:color w:val="auto"/>
        </w:rPr>
        <w:t>ad valorem</w:t>
      </w:r>
      <w:r>
        <w:rPr>
          <w:rFonts w:ascii="Arial" w:cs="Arial" w:eastAsia="Arial" w:hAnsi="Arial"/>
          <w:sz w:val="20"/>
          <w:szCs w:val="20"/>
          <w:color w:val="auto"/>
        </w:rPr>
        <w:t xml:space="preserve"> rate of duty on all imports from Canada and Mexico (other than imports of Canadian energy resources exports, which are subject to a 10% </w:t>
      </w:r>
      <w:r>
        <w:rPr>
          <w:rFonts w:ascii="Arial" w:cs="Arial" w:eastAsia="Arial" w:hAnsi="Arial"/>
          <w:sz w:val="20"/>
          <w:szCs w:val="20"/>
          <w:i w:val="1"/>
          <w:iCs w:val="1"/>
          <w:color w:val="auto"/>
        </w:rPr>
        <w:t xml:space="preserve">ad valorem </w:t>
      </w:r>
      <w:r>
        <w:rPr>
          <w:rFonts w:ascii="Arial" w:cs="Arial" w:eastAsia="Arial" w:hAnsi="Arial"/>
          <w:sz w:val="20"/>
          <w:szCs w:val="20"/>
          <w:color w:val="auto"/>
        </w:rPr>
        <w:t>rate of duty) and an additional 10%</w:t>
      </w:r>
      <w:r>
        <w:rPr>
          <w:rFonts w:ascii="Arial" w:cs="Arial" w:eastAsia="Arial" w:hAnsi="Arial"/>
          <w:sz w:val="20"/>
          <w:szCs w:val="20"/>
          <w:i w:val="1"/>
          <w:iCs w:val="1"/>
          <w:color w:val="auto"/>
        </w:rPr>
        <w:t xml:space="preserve"> ad valorem </w:t>
      </w:r>
      <w:r>
        <w:rPr>
          <w:rFonts w:ascii="Arial" w:cs="Arial" w:eastAsia="Arial" w:hAnsi="Arial"/>
          <w:sz w:val="20"/>
          <w:szCs w:val="20"/>
          <w:color w:val="auto"/>
        </w:rPr>
        <w:t>rate of duty on all imports from China. On March 3, 2025, the</w:t>
      </w:r>
      <w:r>
        <w:rPr>
          <w:rFonts w:ascii="Arial" w:cs="Arial" w:eastAsia="Arial" w:hAnsi="Arial"/>
          <w:sz w:val="20"/>
          <w:szCs w:val="20"/>
          <w:i w:val="1"/>
          <w:iCs w:val="1"/>
          <w:color w:val="auto"/>
        </w:rPr>
        <w:t xml:space="preserve"> </w:t>
      </w:r>
      <w:r>
        <w:rPr>
          <w:rFonts w:ascii="Arial" w:cs="Arial" w:eastAsia="Arial" w:hAnsi="Arial"/>
          <w:sz w:val="20"/>
          <w:szCs w:val="20"/>
          <w:color w:val="auto"/>
        </w:rPr>
        <w:t>announced 25% tariff on Canadian and Mexican goods took effect and the tariff on Chinese goods was doubled to 20%. On March 12, 2025 tariffs on steel and aluminum increased from 25% to 50% on all steel and aluminum coming from Canada. On April 2, 2025, President Trump introduced tariffs on most countries of a baseline rate of 10%, and individualized rates on some countries of up to 50%. On April 9, 2025, President Trump increased tariffs for Chinese goods to 125% and subsequently to 145%, while the tariffs announced on April 2, 2025, for all other countries, were reduced to a baseline rate of 10% for a period of 90 days. On July 7, 2025, President Trump extended the initial 90-day period for the 10% baseline rate until August 1, 2025 while also announcing increased tariffs for certain countries. These modifications were announced via an executive order on July 31, 2025 and became effective on August 7, 2025.</w:t>
      </w:r>
    </w:p>
    <w:p>
      <w:pPr>
        <w:spacing w:after="0" w:line="207" w:lineRule="exact"/>
        <w:rPr>
          <w:sz w:val="20"/>
          <w:szCs w:val="20"/>
          <w:color w:val="auto"/>
        </w:rPr>
      </w:pPr>
    </w:p>
    <w:p>
      <w:pPr>
        <w:jc w:val="both"/>
        <w:spacing w:after="0" w:line="269" w:lineRule="auto"/>
        <w:rPr>
          <w:sz w:val="20"/>
          <w:szCs w:val="20"/>
          <w:color w:val="auto"/>
        </w:rPr>
      </w:pPr>
      <w:r>
        <w:rPr>
          <w:rFonts w:ascii="Arial" w:cs="Arial" w:eastAsia="Arial" w:hAnsi="Arial"/>
          <w:sz w:val="20"/>
          <w:szCs w:val="20"/>
          <w:color w:val="auto"/>
        </w:rPr>
        <w:t>President Trump also launched a new Section 301 investigation into Brazil’s alleged unreasonable or discriminatory trade practices; initiated a new Section 232 investigation into imports of polysilicon and its derivatives; initiated a new Section 232 investigation into imports of unmanned aircraft systems and their parts and components; and announced a 50% tariff on imports of copper following the conclusion of a Section 232</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19" w:right="339" w:bottom="1440" w:gutter="0" w:footer="0" w:header="0"/>
        </w:sectPr>
      </w:pPr>
    </w:p>
    <w:bookmarkStart w:id="52" w:name="page53"/>
    <w:bookmarkEnd w:id="52"/>
    <w:p>
      <w:pPr>
        <w:jc w:val="both"/>
        <w:spacing w:after="0" w:line="276" w:lineRule="auto"/>
        <w:rPr>
          <w:sz w:val="20"/>
          <w:szCs w:val="20"/>
          <w:color w:val="auto"/>
        </w:rPr>
      </w:pPr>
      <w:r>
        <w:rPr>
          <w:rFonts w:ascii="Arial" w:cs="Arial" w:eastAsia="Arial" w:hAnsi="Arial"/>
          <w:sz w:val="20"/>
          <w:szCs w:val="20"/>
          <w:color w:val="auto"/>
        </w:rPr>
        <w:t>investigation, effective August 1, 2025. Finally, President Trump has most recently threatened to increase tariffs on imports from Canada to 35% and on imports from Mexico to 30%. Initially, Canada and Mexico were not subject to reciprocal tariffs as they were subject to earlier tariff actions.</w:t>
      </w:r>
    </w:p>
    <w:p>
      <w:pPr>
        <w:spacing w:after="0" w:line="192" w:lineRule="exact"/>
        <w:rPr>
          <w:sz w:val="20"/>
          <w:szCs w:val="20"/>
          <w:color w:val="auto"/>
        </w:rPr>
      </w:pPr>
    </w:p>
    <w:p>
      <w:pPr>
        <w:jc w:val="both"/>
        <w:spacing w:after="0" w:line="269" w:lineRule="auto"/>
        <w:rPr>
          <w:sz w:val="20"/>
          <w:szCs w:val="20"/>
          <w:color w:val="auto"/>
        </w:rPr>
      </w:pPr>
      <w:r>
        <w:rPr>
          <w:rFonts w:ascii="Arial" w:cs="Arial" w:eastAsia="Arial" w:hAnsi="Arial"/>
          <w:sz w:val="20"/>
          <w:szCs w:val="20"/>
          <w:color w:val="auto"/>
        </w:rPr>
        <w:t>We are continuing to evaluate the potential impact of the imposition of the announced tariffs, and any additional or retaliatory tariffs, to our business and financial condition. The actual impact of the new tariffs is subject to a number of factors, including the effective date and duration of such tariffs, changes in the amount, scope and nature of the tariffs in the future, any countermeasures that the target countries may take and any mitigating actions that may become available.</w:t>
      </w:r>
    </w:p>
    <w:p>
      <w:pPr>
        <w:spacing w:after="0" w:line="197"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Foreign Currency Translation</w:t>
      </w:r>
    </w:p>
    <w:p>
      <w:pPr>
        <w:spacing w:after="0" w:line="135" w:lineRule="exact"/>
        <w:rPr>
          <w:sz w:val="20"/>
          <w:szCs w:val="20"/>
          <w:color w:val="auto"/>
        </w:rPr>
      </w:pPr>
    </w:p>
    <w:p>
      <w:pPr>
        <w:jc w:val="both"/>
        <w:spacing w:after="0" w:line="262" w:lineRule="auto"/>
        <w:rPr>
          <w:sz w:val="20"/>
          <w:szCs w:val="20"/>
          <w:color w:val="auto"/>
        </w:rPr>
      </w:pPr>
      <w:r>
        <w:rPr>
          <w:rFonts w:ascii="Arial" w:cs="Arial" w:eastAsia="Arial" w:hAnsi="Arial"/>
          <w:sz w:val="20"/>
          <w:szCs w:val="20"/>
          <w:color w:val="auto"/>
        </w:rPr>
        <w:t>For non-U.S. subsidiaries that operate in a local currency environment, assets and liabilities are translated into U.S. dollars at period-end exchange rates. Income, expense, and cash flow items are translated at average exchange rates prevailing during the period. For non-U.S. subsidiaries that operate in a U.S. dollar functional currency, local currency inventories and property, plant and equipment are translated into U.S. dollars at rates prevailing when acquired, and all other assets and liabilities are translated at period-end exchange rates. Income and expense items are translated at average exchange rates prevailing during the period. Gains and losses which result from remeasurement are included in earnings.</w:t>
      </w:r>
    </w:p>
    <w:p>
      <w:pPr>
        <w:spacing w:after="0" w:line="22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Performance Measures</w:t>
      </w:r>
    </w:p>
    <w:p>
      <w:pPr>
        <w:spacing w:after="0" w:line="123" w:lineRule="exact"/>
        <w:rPr>
          <w:sz w:val="20"/>
          <w:szCs w:val="20"/>
          <w:color w:val="auto"/>
        </w:rPr>
      </w:pPr>
    </w:p>
    <w:p>
      <w:pPr>
        <w:jc w:val="both"/>
        <w:spacing w:after="0" w:line="265" w:lineRule="auto"/>
        <w:rPr>
          <w:sz w:val="20"/>
          <w:szCs w:val="20"/>
          <w:color w:val="auto"/>
        </w:rPr>
      </w:pPr>
      <w:r>
        <w:rPr>
          <w:rFonts w:ascii="Arial" w:cs="Arial" w:eastAsia="Arial" w:hAnsi="Arial"/>
          <w:sz w:val="20"/>
          <w:szCs w:val="20"/>
          <w:color w:val="auto"/>
        </w:rPr>
        <w:t>In managing our business and assessing financial performance, we supplement the information provided by the financial statements with other operating metrics. These operating metrics are utilized by our management to evaluate our business, measure our performance, identify trends affecting our business, and formulate projections. The primary operating metric we use to evaluate our sales performance and to track market acceptance of our products is megawatts (“MWs”) shipped and specifically the change in MWs shipped from period to period. MWs are measured for each individual project and are calculated based on the respective project’s expected megawatt output once installed and fully operational.</w:t>
      </w:r>
    </w:p>
    <w:p>
      <w:pPr>
        <w:spacing w:after="0" w:line="204" w:lineRule="exact"/>
        <w:rPr>
          <w:sz w:val="20"/>
          <w:szCs w:val="20"/>
          <w:color w:val="auto"/>
        </w:rPr>
      </w:pPr>
    </w:p>
    <w:p>
      <w:pPr>
        <w:jc w:val="both"/>
        <w:spacing w:after="0" w:line="269" w:lineRule="auto"/>
        <w:rPr>
          <w:sz w:val="20"/>
          <w:szCs w:val="20"/>
          <w:color w:val="auto"/>
        </w:rPr>
      </w:pPr>
      <w:r>
        <w:rPr>
          <w:rFonts w:ascii="Arial" w:cs="Arial" w:eastAsia="Arial" w:hAnsi="Arial"/>
          <w:sz w:val="20"/>
          <w:szCs w:val="20"/>
          <w:color w:val="auto"/>
        </w:rPr>
        <w:t>We also utilize metrics related to price and cost of goods sold per MW, including average selling price and cost per watt (“CPW”). ASP is calculated by dividing total applicable revenues by total applicable MWs, whereas CPW is calculated by dividing total applicable costs of goods sold by total applicable MWs. These metrics enable us to evaluate trends in pricing, manufacturing cost, and customer profitability.</w:t>
      </w:r>
    </w:p>
    <w:p>
      <w:pPr>
        <w:spacing w:after="0" w:line="19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Key Components of Our Results of Operations</w:t>
      </w:r>
    </w:p>
    <w:p>
      <w:pPr>
        <w:spacing w:after="0" w:line="137" w:lineRule="exact"/>
        <w:rPr>
          <w:sz w:val="20"/>
          <w:szCs w:val="20"/>
          <w:color w:val="auto"/>
        </w:rPr>
      </w:pPr>
    </w:p>
    <w:p>
      <w:pPr>
        <w:spacing w:after="0"/>
        <w:rPr>
          <w:sz w:val="20"/>
          <w:szCs w:val="20"/>
          <w:color w:val="auto"/>
        </w:rPr>
      </w:pPr>
      <w:r>
        <w:rPr>
          <w:rFonts w:ascii="Arial" w:cs="Arial" w:eastAsia="Arial" w:hAnsi="Arial"/>
          <w:sz w:val="20"/>
          <w:szCs w:val="20"/>
          <w:color w:val="auto"/>
        </w:rPr>
        <w:t>The following discussion describes certain line items in our condensed consolidated statements of operations.</w:t>
      </w:r>
    </w:p>
    <w:p>
      <w:pPr>
        <w:spacing w:after="0" w:line="256"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Revenue</w:t>
      </w:r>
    </w:p>
    <w:p>
      <w:pPr>
        <w:spacing w:after="0" w:line="121" w:lineRule="exact"/>
        <w:rPr>
          <w:sz w:val="20"/>
          <w:szCs w:val="20"/>
          <w:color w:val="auto"/>
        </w:rPr>
      </w:pPr>
    </w:p>
    <w:p>
      <w:pPr>
        <w:jc w:val="both"/>
        <w:spacing w:after="0" w:line="268" w:lineRule="auto"/>
        <w:rPr>
          <w:sz w:val="20"/>
          <w:szCs w:val="20"/>
          <w:color w:val="auto"/>
        </w:rPr>
      </w:pPr>
      <w:r>
        <w:rPr>
          <w:rFonts w:ascii="Arial" w:cs="Arial" w:eastAsia="Arial" w:hAnsi="Arial"/>
          <w:sz w:val="20"/>
          <w:szCs w:val="20"/>
          <w:color w:val="auto"/>
        </w:rPr>
        <w:t>We primarily generate revenue from the sale of solar tracking systems, fixed tilt systems, foundation solutions, parts, software, and services. Our customers include EPCs, utilities, solar developers, and independent power producers. For each individual solar project, we enter into a contract with our customers covering the price, specifications, delivery dates, and warranty for the products being purchased, among other things. Our contractual delivery period for the tracker system and parts can vary from days to several months. Contracts can range in value from hundreds of thousands to tens of millions of dollars.</w:t>
      </w:r>
    </w:p>
    <w:p>
      <w:pPr>
        <w:spacing w:after="0" w:line="201" w:lineRule="exact"/>
        <w:rPr>
          <w:sz w:val="20"/>
          <w:szCs w:val="20"/>
          <w:color w:val="auto"/>
        </w:rPr>
      </w:pPr>
    </w:p>
    <w:p>
      <w:pPr>
        <w:jc w:val="both"/>
        <w:spacing w:after="0" w:line="269" w:lineRule="auto"/>
        <w:rPr>
          <w:sz w:val="20"/>
          <w:szCs w:val="20"/>
          <w:color w:val="auto"/>
        </w:rPr>
      </w:pPr>
      <w:r>
        <w:rPr>
          <w:rFonts w:ascii="Arial" w:cs="Arial" w:eastAsia="Arial" w:hAnsi="Arial"/>
          <w:sz w:val="20"/>
          <w:szCs w:val="20"/>
          <w:color w:val="auto"/>
        </w:rPr>
        <w:t>Our revenue is affected by changes in the volume and ASPs of solar tracking systems purchased by our customers. The quarterly volume and ASP of our systems is driven by the supply of, and demand for, our products, changes in project mix between module type and wattage, geographic mix of our customers, strength</w:t>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78105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19" w:right="339" w:bottom="1440" w:gutter="0" w:footer="0" w:header="0"/>
        </w:sectPr>
      </w:pPr>
    </w:p>
    <w:bookmarkStart w:id="53" w:name="page54"/>
    <w:bookmarkEnd w:id="53"/>
    <w:p>
      <w:pPr>
        <w:spacing w:after="0"/>
        <w:rPr>
          <w:sz w:val="20"/>
          <w:szCs w:val="20"/>
          <w:color w:val="auto"/>
        </w:rPr>
      </w:pPr>
      <w:r>
        <w:rPr>
          <w:rFonts w:ascii="Arial" w:cs="Arial" w:eastAsia="Arial" w:hAnsi="Arial"/>
          <w:sz w:val="20"/>
          <w:szCs w:val="20"/>
          <w:color w:val="auto"/>
        </w:rPr>
        <w:t>of competitors’ product offerings, commodity prices and availability of government incentives to the end-users of our products.</w:t>
      </w:r>
    </w:p>
    <w:p>
      <w:pPr>
        <w:spacing w:after="0" w:line="256" w:lineRule="exact"/>
        <w:rPr>
          <w:sz w:val="20"/>
          <w:szCs w:val="20"/>
          <w:color w:val="auto"/>
        </w:rPr>
      </w:pPr>
    </w:p>
    <w:p>
      <w:pPr>
        <w:jc w:val="both"/>
        <w:spacing w:after="0" w:line="269" w:lineRule="auto"/>
        <w:rPr>
          <w:sz w:val="20"/>
          <w:szCs w:val="20"/>
          <w:color w:val="auto"/>
        </w:rPr>
      </w:pPr>
      <w:r>
        <w:rPr>
          <w:rFonts w:ascii="Arial" w:cs="Arial" w:eastAsia="Arial" w:hAnsi="Arial"/>
          <w:sz w:val="20"/>
          <w:szCs w:val="20"/>
          <w:color w:val="auto"/>
        </w:rPr>
        <w:t>Our revenue growth is dependent on continued growth in the size and number of solar energy projects installed each year, as well as our ability to maintain market share in each geography where we compete, expand our global footprint to new and evolving markets, grow our production capabilities to satisfy demand, and continue to develop and introduce new innovative products that integrate emerging technologies and the performance requirements of our customers.</w:t>
      </w:r>
    </w:p>
    <w:p>
      <w:pPr>
        <w:spacing w:after="0" w:line="211" w:lineRule="exact"/>
        <w:rPr>
          <w:sz w:val="20"/>
          <w:szCs w:val="20"/>
          <w:color w:val="auto"/>
        </w:rPr>
      </w:pPr>
    </w:p>
    <w:p>
      <w:pPr>
        <w:jc w:val="both"/>
        <w:spacing w:after="0" w:line="262" w:lineRule="auto"/>
        <w:rPr>
          <w:sz w:val="20"/>
          <w:szCs w:val="20"/>
          <w:color w:val="auto"/>
        </w:rPr>
      </w:pPr>
      <w:r>
        <w:rPr>
          <w:rFonts w:ascii="Arial" w:cs="Arial" w:eastAsia="Arial" w:hAnsi="Arial"/>
          <w:sz w:val="20"/>
          <w:szCs w:val="20"/>
          <w:color w:val="auto"/>
        </w:rPr>
        <w:t>A majority of our revenue is recognized over time as work progresses, and for single performance obligations, we use an input measure, the cost-to-cost method, to determine progress. We review and update the contract related estimates on an ongoing basis and recognize adjustments for any project specific facts and circumstances that could impact the measurement of the extent of progress, such as the total costs to complete the contracts, under the cumulative catch-up method. Due to the relatively short duration of our outstanding performance obligations, and our ability to estimate the remaining costs to be incurred, which are substantially all material costs covered under our material supply agreements with our suppliers, we have not recorded any material catch-up adjustments for the periods presented that would have impacted revenues or EPS related to revisions in our measurement of remaining progress of our performance obligations.</w:t>
      </w:r>
    </w:p>
    <w:p>
      <w:pPr>
        <w:spacing w:after="0" w:line="206"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Cost of Revenue and Gross Profit</w:t>
      </w:r>
    </w:p>
    <w:p>
      <w:pPr>
        <w:spacing w:after="0" w:line="135" w:lineRule="exact"/>
        <w:rPr>
          <w:sz w:val="20"/>
          <w:szCs w:val="20"/>
          <w:color w:val="auto"/>
        </w:rPr>
      </w:pPr>
    </w:p>
    <w:p>
      <w:pPr>
        <w:jc w:val="both"/>
        <w:spacing w:after="0" w:line="262" w:lineRule="auto"/>
        <w:rPr>
          <w:sz w:val="20"/>
          <w:szCs w:val="20"/>
          <w:color w:val="auto"/>
        </w:rPr>
      </w:pPr>
      <w:r>
        <w:rPr>
          <w:rFonts w:ascii="Arial" w:cs="Arial" w:eastAsia="Arial" w:hAnsi="Arial"/>
          <w:sz w:val="20"/>
          <w:szCs w:val="20"/>
          <w:color w:val="auto"/>
        </w:rPr>
        <w:t>Cost of product and service revenue consists primarily of product costs, including raw materials, purchased components, net of any incentives or rebates earned from our suppliers, salaries, wages and benefits of manufacturing personnel, freight, tariffs, customer support, product warranty, amortization of developed technology and backlog, and depreciation of manufacturing and testing equipment. Our product costs are affected by (i) the underlying cost of raw materials, including steel and aluminum, (ii) component costs, including electric motors and gearboxes, (iii) technological innovation, and (iv) economies of scale and improvements in production processes and automation. We may experience disruptions to our supply chain and increased material and freight costs. When possible, we modify our production schedules and processes to mitigate the impact of these disruptions and cost increases on our margins. We do not currently hedge against changes in the price of our raw materials.</w:t>
      </w:r>
    </w:p>
    <w:p>
      <w:pPr>
        <w:spacing w:after="0" w:line="206" w:lineRule="exact"/>
        <w:rPr>
          <w:sz w:val="20"/>
          <w:szCs w:val="20"/>
          <w:color w:val="auto"/>
        </w:rPr>
      </w:pPr>
    </w:p>
    <w:p>
      <w:pPr>
        <w:jc w:val="both"/>
        <w:spacing w:after="0" w:line="269" w:lineRule="auto"/>
        <w:rPr>
          <w:sz w:val="20"/>
          <w:szCs w:val="20"/>
          <w:color w:val="auto"/>
        </w:rPr>
      </w:pPr>
      <w:r>
        <w:rPr>
          <w:rFonts w:ascii="Arial" w:cs="Arial" w:eastAsia="Arial" w:hAnsi="Arial"/>
          <w:sz w:val="20"/>
          <w:szCs w:val="20"/>
          <w:color w:val="auto"/>
        </w:rPr>
        <w:t>Gross profit may vary from quarter to quarter and is primarily affected by our volume, ASPs, product costs, project mix, customer mix, geographical mix, commodity prices, logistics rates, warranty costs, and seasonality. Gross profit will also be impacted by tax incentives we can recognize, for example ICMS value added tax benefits in Brazil, which will be fully phased out in 2033.</w:t>
      </w:r>
    </w:p>
    <w:p>
      <w:pPr>
        <w:spacing w:after="0" w:line="211"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Operating Expenses</w:t>
      </w:r>
    </w:p>
    <w:p>
      <w:pPr>
        <w:spacing w:after="0" w:line="121" w:lineRule="exact"/>
        <w:rPr>
          <w:sz w:val="20"/>
          <w:szCs w:val="20"/>
          <w:color w:val="auto"/>
        </w:rPr>
      </w:pPr>
    </w:p>
    <w:p>
      <w:pPr>
        <w:jc w:val="both"/>
        <w:spacing w:after="0" w:line="265" w:lineRule="auto"/>
        <w:rPr>
          <w:sz w:val="20"/>
          <w:szCs w:val="20"/>
          <w:color w:val="auto"/>
        </w:rPr>
      </w:pPr>
      <w:r>
        <w:rPr>
          <w:rFonts w:ascii="Arial" w:cs="Arial" w:eastAsia="Arial" w:hAnsi="Arial"/>
          <w:sz w:val="20"/>
          <w:szCs w:val="20"/>
          <w:color w:val="auto"/>
        </w:rPr>
        <w:t>General and administrative expense consists primarily of salaries, benefits, and equity-based compensation related to our executive, sales, engineering, finance, human resources, information technology, and legal personnel, as well as travel, facility costs, marketing, provision for credit losses, professional fees, and third party services. The majority of our sales during the nine months ended September 30, 2025 and 2024, were in the U.S.; however, we also have a sales presence in Spain, Brazil, South Africa and Australia. We intend to continue to expand our sales presence and marketing efforts to additional countries.</w:t>
      </w:r>
    </w:p>
    <w:p>
      <w:pPr>
        <w:spacing w:after="0" w:line="215" w:lineRule="exact"/>
        <w:rPr>
          <w:sz w:val="20"/>
          <w:szCs w:val="20"/>
          <w:color w:val="auto"/>
        </w:rPr>
      </w:pPr>
    </w:p>
    <w:p>
      <w:pPr>
        <w:jc w:val="both"/>
        <w:spacing w:after="0" w:line="264" w:lineRule="auto"/>
        <w:rPr>
          <w:sz w:val="20"/>
          <w:szCs w:val="20"/>
          <w:color w:val="auto"/>
        </w:rPr>
      </w:pPr>
      <w:r>
        <w:rPr>
          <w:rFonts w:ascii="Arial" w:cs="Arial" w:eastAsia="Arial" w:hAnsi="Arial"/>
          <w:sz w:val="20"/>
          <w:szCs w:val="20"/>
          <w:color w:val="auto"/>
        </w:rPr>
        <w:t>Contingent consideration consists of the changes in fair value of the TRA entered into with a former indirect stockholder, concurrent with the acquisition of Array Technologies Patent Holdings Co., LLC by ATI Investment Parent, LLC, as well as the Earnout Consideration associated with the APA Purchase Agreement. The TRA liability and Earnout Consideration were recorded at fair value and subsequent changes in the fair values are</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78105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19" w:right="339" w:bottom="1440" w:gutter="0" w:footer="0" w:header="0"/>
        </w:sectPr>
      </w:pPr>
    </w:p>
    <w:bookmarkStart w:id="54" w:name="page55"/>
    <w:bookmarkEnd w:id="54"/>
    <w:p>
      <w:pPr>
        <w:jc w:val="both"/>
        <w:spacing w:after="0" w:line="286" w:lineRule="auto"/>
        <w:rPr>
          <w:sz w:val="20"/>
          <w:szCs w:val="20"/>
          <w:color w:val="auto"/>
        </w:rPr>
      </w:pPr>
      <w:r>
        <w:rPr>
          <w:rFonts w:ascii="Arial" w:cs="Arial" w:eastAsia="Arial" w:hAnsi="Arial"/>
          <w:sz w:val="20"/>
          <w:szCs w:val="20"/>
          <w:color w:val="auto"/>
        </w:rPr>
        <w:t xml:space="preserve">recognized in earnings. See </w:t>
      </w:r>
      <w:r>
        <w:rPr>
          <w:rFonts w:ascii="Arial" w:cs="Arial" w:eastAsia="Arial" w:hAnsi="Arial"/>
          <w:sz w:val="20"/>
          <w:szCs w:val="20"/>
          <w:u w:val="single" w:color="auto"/>
          <w:color w:val="0000FF"/>
        </w:rPr>
        <w:t>Note 12 – Commitments and Contingencies</w:t>
      </w:r>
      <w:r>
        <w:rPr>
          <w:rFonts w:ascii="Arial" w:cs="Arial" w:eastAsia="Arial" w:hAnsi="Arial"/>
          <w:sz w:val="20"/>
          <w:szCs w:val="20"/>
          <w:color w:val="auto"/>
        </w:rPr>
        <w:t xml:space="preserve"> for discussion and analysis of the TRA and Earnout Consideration.</w:t>
      </w:r>
    </w:p>
    <w:p>
      <w:pPr>
        <w:spacing w:after="0" w:line="194" w:lineRule="exact"/>
        <w:rPr>
          <w:sz w:val="20"/>
          <w:szCs w:val="20"/>
          <w:color w:val="auto"/>
        </w:rPr>
      </w:pPr>
    </w:p>
    <w:p>
      <w:pPr>
        <w:jc w:val="both"/>
        <w:spacing w:after="0" w:line="269" w:lineRule="auto"/>
        <w:rPr>
          <w:sz w:val="20"/>
          <w:szCs w:val="20"/>
          <w:color w:val="auto"/>
        </w:rPr>
      </w:pPr>
      <w:r>
        <w:rPr>
          <w:rFonts w:ascii="Arial" w:cs="Arial" w:eastAsia="Arial" w:hAnsi="Arial"/>
          <w:sz w:val="20"/>
          <w:szCs w:val="20"/>
          <w:color w:val="auto"/>
        </w:rPr>
        <w:t>Depreciation consists of costs associated with property, plant and equipment not used in manufacturing of our products. We expect that as we continue to grow both our revenue and our general and administrative personnel, we may require some additional property, plant and equipment to support this growth resulting in additional depreciation expense.</w:t>
      </w:r>
    </w:p>
    <w:p>
      <w:pPr>
        <w:spacing w:after="0" w:line="212" w:lineRule="exact"/>
        <w:rPr>
          <w:sz w:val="20"/>
          <w:szCs w:val="20"/>
          <w:color w:val="auto"/>
        </w:rPr>
      </w:pPr>
    </w:p>
    <w:p>
      <w:pPr>
        <w:jc w:val="both"/>
        <w:ind w:right="20"/>
        <w:spacing w:after="0" w:line="269" w:lineRule="auto"/>
        <w:rPr>
          <w:sz w:val="20"/>
          <w:szCs w:val="20"/>
          <w:color w:val="auto"/>
        </w:rPr>
      </w:pPr>
      <w:r>
        <w:rPr>
          <w:rFonts w:ascii="Arial" w:cs="Arial" w:eastAsia="Arial" w:hAnsi="Arial"/>
          <w:sz w:val="20"/>
          <w:szCs w:val="20"/>
          <w:color w:val="auto"/>
        </w:rPr>
        <w:t>Amortization consists of the expense recognized over the expected period of use of our Customer relationships, Trade name, and Computer software and other intangible assets. Amortization related to certain acquired intangible assets is recorded as Total cost of revenue under Amortization of developed technology and backlog.</w:t>
      </w:r>
    </w:p>
    <w:p>
      <w:pPr>
        <w:spacing w:after="0" w:line="212"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Non-Operating Expenses</w:t>
      </w:r>
    </w:p>
    <w:p>
      <w:pPr>
        <w:spacing w:after="0" w:line="121" w:lineRule="exact"/>
        <w:rPr>
          <w:sz w:val="20"/>
          <w:szCs w:val="20"/>
          <w:color w:val="auto"/>
        </w:rPr>
      </w:pPr>
    </w:p>
    <w:p>
      <w:pPr>
        <w:spacing w:after="0"/>
        <w:rPr>
          <w:sz w:val="20"/>
          <w:szCs w:val="20"/>
          <w:color w:val="auto"/>
        </w:rPr>
      </w:pPr>
      <w:r>
        <w:rPr>
          <w:rFonts w:ascii="Arial" w:cs="Arial" w:eastAsia="Arial" w:hAnsi="Arial"/>
          <w:sz w:val="20"/>
          <w:szCs w:val="20"/>
          <w:color w:val="auto"/>
        </w:rPr>
        <w:t>Interest income consists of interest earned on our cash and cash equivalents balance.</w:t>
      </w:r>
    </w:p>
    <w:p>
      <w:pPr>
        <w:spacing w:after="0" w:line="256" w:lineRule="exact"/>
        <w:rPr>
          <w:sz w:val="20"/>
          <w:szCs w:val="20"/>
          <w:color w:val="auto"/>
        </w:rPr>
      </w:pPr>
    </w:p>
    <w:p>
      <w:pPr>
        <w:jc w:val="both"/>
        <w:spacing w:after="0" w:line="268" w:lineRule="auto"/>
        <w:rPr>
          <w:sz w:val="20"/>
          <w:szCs w:val="20"/>
          <w:color w:val="auto"/>
        </w:rPr>
      </w:pPr>
      <w:r>
        <w:rPr>
          <w:rFonts w:ascii="Arial" w:cs="Arial" w:eastAsia="Arial" w:hAnsi="Arial"/>
          <w:sz w:val="20"/>
          <w:szCs w:val="20"/>
          <w:color w:val="auto"/>
        </w:rPr>
        <w:t>Interest expense consists of interest and other charges paid in connection with our senior secured credit facility (the “Senior Secured Credit Facility”), which included a $575 million term loan (the “Term Loan Facility”) and includes a $166 million revolving credit facility (the “Revolving Credit Facility”); the 1.00% Convertible Senior Notes due 2028 (the “2028 Convertible Notes” and, together with the 2031 Convertible Notes, the “Convertible Notes”); the 2031 Convertible Notes; and other debt held by our STI Operations (“Other Debt”).</w:t>
      </w:r>
    </w:p>
    <w:p>
      <w:pPr>
        <w:spacing w:after="0" w:line="201" w:lineRule="exact"/>
        <w:rPr>
          <w:sz w:val="20"/>
          <w:szCs w:val="20"/>
          <w:color w:val="auto"/>
        </w:rPr>
      </w:pPr>
    </w:p>
    <w:p>
      <w:pPr>
        <w:jc w:val="both"/>
        <w:spacing w:after="0" w:line="286" w:lineRule="auto"/>
        <w:rPr>
          <w:sz w:val="20"/>
          <w:szCs w:val="20"/>
          <w:color w:val="auto"/>
        </w:rPr>
      </w:pPr>
      <w:r>
        <w:rPr>
          <w:rFonts w:ascii="Arial" w:cs="Arial" w:eastAsia="Arial" w:hAnsi="Arial"/>
          <w:sz w:val="20"/>
          <w:szCs w:val="20"/>
          <w:color w:val="auto"/>
        </w:rPr>
        <w:t>Gain on extinguishment of debts, net consists of the difference between the cash paid and the carrying value of repurchased 2028 Convertible Notes and the fully repaid Term Loan Facility.</w:t>
      </w:r>
    </w:p>
    <w:p>
      <w:pPr>
        <w:spacing w:after="0" w:line="194" w:lineRule="exact"/>
        <w:rPr>
          <w:sz w:val="20"/>
          <w:szCs w:val="20"/>
          <w:color w:val="auto"/>
        </w:rPr>
      </w:pPr>
    </w:p>
    <w:p>
      <w:pPr>
        <w:jc w:val="both"/>
        <w:spacing w:after="0" w:line="286" w:lineRule="auto"/>
        <w:rPr>
          <w:sz w:val="20"/>
          <w:szCs w:val="20"/>
          <w:color w:val="auto"/>
        </w:rPr>
      </w:pPr>
      <w:r>
        <w:rPr>
          <w:rFonts w:ascii="Arial" w:cs="Arial" w:eastAsia="Arial" w:hAnsi="Arial"/>
          <w:sz w:val="20"/>
          <w:szCs w:val="20"/>
          <w:color w:val="auto"/>
        </w:rPr>
        <w:t>We are subject to U.S. federal, state and non-U.S. income taxes. As we expand into additional foreign markets, we may be subject to additional foreign tax.</w:t>
      </w:r>
    </w:p>
    <w:p>
      <w:pPr>
        <w:spacing w:after="0" w:line="181"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Reportable Segments</w:t>
      </w:r>
    </w:p>
    <w:p>
      <w:pPr>
        <w:spacing w:after="0" w:line="135" w:lineRule="exact"/>
        <w:rPr>
          <w:sz w:val="20"/>
          <w:szCs w:val="20"/>
          <w:color w:val="auto"/>
        </w:rPr>
      </w:pPr>
    </w:p>
    <w:p>
      <w:pPr>
        <w:jc w:val="both"/>
        <w:spacing w:after="0" w:line="269" w:lineRule="auto"/>
        <w:rPr>
          <w:sz w:val="20"/>
          <w:szCs w:val="20"/>
          <w:color w:val="auto"/>
        </w:rPr>
      </w:pPr>
      <w:r>
        <w:rPr>
          <w:rFonts w:ascii="Arial" w:cs="Arial" w:eastAsia="Arial" w:hAnsi="Arial"/>
          <w:sz w:val="20"/>
          <w:szCs w:val="20"/>
          <w:color w:val="auto"/>
        </w:rPr>
        <w:t xml:space="preserve">We began reporting our results of operations in two segments: the Array Legacy Operations segment and the acquired STI Operations segment. The segment amounts included in this </w:t>
      </w:r>
      <w:r>
        <w:rPr>
          <w:rFonts w:ascii="Arial" w:cs="Arial" w:eastAsia="Arial" w:hAnsi="Arial"/>
          <w:sz w:val="20"/>
          <w:szCs w:val="20"/>
          <w:u w:val="single" w:color="auto"/>
          <w:color w:val="0000FF"/>
        </w:rPr>
        <w:t>Item 2. Management’s Discussion and Analysis</w:t>
      </w:r>
      <w:r>
        <w:rPr>
          <w:rFonts w:ascii="Arial" w:cs="Arial" w:eastAsia="Arial" w:hAnsi="Arial"/>
          <w:sz w:val="20"/>
          <w:szCs w:val="20"/>
          <w:color w:val="auto"/>
        </w:rPr>
        <w:t xml:space="preserve"> are presented on a basis consistent with our internal management reporting. Additional information on our reportable segments is contained in </w:t>
      </w:r>
      <w:r>
        <w:rPr>
          <w:rFonts w:ascii="Arial" w:cs="Arial" w:eastAsia="Arial" w:hAnsi="Arial"/>
          <w:sz w:val="20"/>
          <w:szCs w:val="20"/>
          <w:u w:val="single" w:color="auto"/>
          <w:color w:val="0000FF"/>
        </w:rPr>
        <w:t>Note</w:t>
      </w:r>
      <w:r>
        <w:rPr>
          <w:rFonts w:ascii="Arial" w:cs="Arial" w:eastAsia="Arial" w:hAnsi="Arial"/>
          <w:sz w:val="20"/>
          <w:szCs w:val="20"/>
          <w:color w:val="auto"/>
        </w:rPr>
        <w:t xml:space="preserve"> </w:t>
      </w:r>
      <w:r>
        <w:rPr>
          <w:rFonts w:ascii="Arial" w:cs="Arial" w:eastAsia="Arial" w:hAnsi="Arial"/>
          <w:sz w:val="20"/>
          <w:szCs w:val="20"/>
          <w:u w:val="single" w:color="auto"/>
          <w:color w:val="0000FF"/>
        </w:rPr>
        <w:t>16 – Segment Reporting</w:t>
      </w:r>
      <w:r>
        <w:rPr>
          <w:rFonts w:ascii="Arial" w:cs="Arial" w:eastAsia="Arial" w:hAnsi="Arial"/>
          <w:sz w:val="20"/>
          <w:szCs w:val="20"/>
          <w:color w:val="0000FF"/>
        </w:rPr>
        <w:t xml:space="preserve"> </w:t>
      </w:r>
      <w:r>
        <w:rPr>
          <w:rFonts w:ascii="Arial" w:cs="Arial" w:eastAsia="Arial" w:hAnsi="Arial"/>
          <w:sz w:val="20"/>
          <w:szCs w:val="20"/>
          <w:color w:val="000000"/>
        </w:rPr>
        <w:t>in the accompanying notes to the condensed consolidated financial statements.</w:t>
      </w:r>
    </w:p>
    <w:p>
      <w:pPr>
        <w:spacing w:after="0" w:line="19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Results of Operations</w:t>
      </w:r>
    </w:p>
    <w:p>
      <w:pPr>
        <w:spacing w:after="0" w:line="123" w:lineRule="exact"/>
        <w:rPr>
          <w:sz w:val="20"/>
          <w:szCs w:val="20"/>
          <w:color w:val="auto"/>
        </w:rPr>
      </w:pPr>
    </w:p>
    <w:p>
      <w:pPr>
        <w:spacing w:after="0"/>
        <w:rPr>
          <w:sz w:val="20"/>
          <w:szCs w:val="20"/>
          <w:color w:val="auto"/>
        </w:rPr>
      </w:pPr>
      <w:r>
        <w:rPr>
          <w:rFonts w:ascii="Arial" w:cs="Arial" w:eastAsia="Arial" w:hAnsi="Arial"/>
          <w:sz w:val="20"/>
          <w:szCs w:val="20"/>
          <w:color w:val="auto"/>
        </w:rPr>
        <w:t>The following table sets forth our consolidated statement of operations (in thousands, except percentages):</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760" w:type="dxa"/>
            <w:vAlign w:val="bottom"/>
          </w:tcPr>
          <w:p>
            <w:pPr>
              <w:spacing w:after="0"/>
              <w:rPr>
                <w:sz w:val="19"/>
                <w:szCs w:val="19"/>
                <w:color w:val="auto"/>
              </w:rPr>
            </w:pPr>
          </w:p>
        </w:tc>
        <w:tc>
          <w:tcPr>
            <w:tcW w:w="2360" w:type="dxa"/>
            <w:vAlign w:val="bottom"/>
            <w:gridSpan w:val="5"/>
          </w:tcPr>
          <w:p>
            <w:pPr>
              <w:jc w:val="center"/>
              <w:ind w:right="80"/>
              <w:spacing w:after="0"/>
              <w:rPr>
                <w:sz w:val="20"/>
                <w:szCs w:val="20"/>
                <w:color w:val="auto"/>
              </w:rPr>
            </w:pPr>
            <w:r>
              <w:rPr>
                <w:rFonts w:ascii="Arial" w:cs="Arial" w:eastAsia="Arial" w:hAnsi="Arial"/>
                <w:sz w:val="20"/>
                <w:szCs w:val="20"/>
                <w:b w:val="1"/>
                <w:bCs w:val="1"/>
                <w:color w:val="auto"/>
                <w:w w:val="99"/>
              </w:rPr>
              <w:t>Three Months Ended</w:t>
            </w:r>
          </w:p>
        </w:tc>
        <w:tc>
          <w:tcPr>
            <w:tcW w:w="2400" w:type="dxa"/>
            <w:vAlign w:val="bottom"/>
            <w:gridSpan w:val="4"/>
            <w:vMerge w:val="restart"/>
          </w:tcPr>
          <w:p>
            <w:pPr>
              <w:ind w:left="220"/>
              <w:spacing w:after="0"/>
              <w:rPr>
                <w:sz w:val="20"/>
                <w:szCs w:val="20"/>
                <w:color w:val="auto"/>
              </w:rPr>
            </w:pPr>
            <w:r>
              <w:rPr>
                <w:rFonts w:ascii="Arial" w:cs="Arial" w:eastAsia="Arial" w:hAnsi="Arial"/>
                <w:sz w:val="20"/>
                <w:szCs w:val="20"/>
                <w:b w:val="1"/>
                <w:bCs w:val="1"/>
                <w:color w:val="auto"/>
              </w:rPr>
              <w:t>Increase/(Decrease)</w:t>
            </w:r>
          </w:p>
        </w:tc>
        <w:tc>
          <w:tcPr>
            <w:tcW w:w="2460" w:type="dxa"/>
            <w:vAlign w:val="bottom"/>
            <w:gridSpan w:val="5"/>
          </w:tcPr>
          <w:p>
            <w:pPr>
              <w:jc w:val="center"/>
              <w:ind w:right="60"/>
              <w:spacing w:after="0"/>
              <w:rPr>
                <w:sz w:val="20"/>
                <w:szCs w:val="20"/>
                <w:color w:val="auto"/>
              </w:rPr>
            </w:pPr>
            <w:r>
              <w:rPr>
                <w:rFonts w:ascii="Arial" w:cs="Arial" w:eastAsia="Arial" w:hAnsi="Arial"/>
                <w:sz w:val="20"/>
                <w:szCs w:val="20"/>
                <w:b w:val="1"/>
                <w:bCs w:val="1"/>
                <w:color w:val="auto"/>
                <w:w w:val="98"/>
              </w:rPr>
              <w:t>Nine Months Ended</w:t>
            </w:r>
          </w:p>
        </w:tc>
        <w:tc>
          <w:tcPr>
            <w:tcW w:w="160" w:type="dxa"/>
            <w:vAlign w:val="bottom"/>
          </w:tcPr>
          <w:p>
            <w:pPr>
              <w:spacing w:after="0"/>
              <w:rPr>
                <w:sz w:val="19"/>
                <w:szCs w:val="19"/>
                <w:color w:val="auto"/>
              </w:rPr>
            </w:pPr>
          </w:p>
        </w:tc>
        <w:tc>
          <w:tcPr>
            <w:tcW w:w="2100" w:type="dxa"/>
            <w:vAlign w:val="bottom"/>
            <w:gridSpan w:val="3"/>
            <w:vMerge w:val="restart"/>
          </w:tcPr>
          <w:p>
            <w:pPr>
              <w:jc w:val="right"/>
              <w:ind w:right="101"/>
              <w:spacing w:after="0"/>
              <w:rPr>
                <w:sz w:val="20"/>
                <w:szCs w:val="20"/>
                <w:color w:val="auto"/>
              </w:rPr>
            </w:pPr>
            <w:r>
              <w:rPr>
                <w:rFonts w:ascii="Arial" w:cs="Arial" w:eastAsia="Arial" w:hAnsi="Arial"/>
                <w:sz w:val="20"/>
                <w:szCs w:val="20"/>
                <w:b w:val="1"/>
                <w:bCs w:val="1"/>
                <w:color w:val="auto"/>
                <w:w w:val="99"/>
              </w:rPr>
              <w:t>Increase/(Decrease)</w:t>
            </w:r>
          </w:p>
        </w:tc>
        <w:tc>
          <w:tcPr>
            <w:tcW w:w="0" w:type="dxa"/>
            <w:vAlign w:val="bottom"/>
          </w:tcPr>
          <w:p>
            <w:pPr>
              <w:spacing w:after="0"/>
              <w:rPr>
                <w:sz w:val="1"/>
                <w:szCs w:val="1"/>
                <w:color w:val="auto"/>
              </w:rPr>
            </w:pPr>
          </w:p>
        </w:tc>
      </w:tr>
      <w:tr>
        <w:trPr>
          <w:trHeight w:val="257"/>
        </w:trPr>
        <w:tc>
          <w:tcPr>
            <w:tcW w:w="1760" w:type="dxa"/>
            <w:vAlign w:val="bottom"/>
          </w:tcPr>
          <w:p>
            <w:pPr>
              <w:spacing w:after="0"/>
              <w:rPr>
                <w:sz w:val="22"/>
                <w:szCs w:val="22"/>
                <w:color w:val="auto"/>
              </w:rPr>
            </w:pPr>
          </w:p>
        </w:tc>
        <w:tc>
          <w:tcPr>
            <w:tcW w:w="2360" w:type="dxa"/>
            <w:vAlign w:val="bottom"/>
            <w:gridSpan w:val="5"/>
          </w:tcPr>
          <w:p>
            <w:pPr>
              <w:jc w:val="center"/>
              <w:ind w:right="80"/>
              <w:spacing w:after="0"/>
              <w:rPr>
                <w:sz w:val="20"/>
                <w:szCs w:val="20"/>
                <w:color w:val="auto"/>
              </w:rPr>
            </w:pPr>
            <w:r>
              <w:rPr>
                <w:rFonts w:ascii="Arial" w:cs="Arial" w:eastAsia="Arial" w:hAnsi="Arial"/>
                <w:sz w:val="20"/>
                <w:szCs w:val="20"/>
                <w:b w:val="1"/>
                <w:bCs w:val="1"/>
                <w:color w:val="auto"/>
                <w:w w:val="99"/>
              </w:rPr>
              <w:t>September 30,</w:t>
            </w:r>
          </w:p>
        </w:tc>
        <w:tc>
          <w:tcPr>
            <w:tcW w:w="2400" w:type="dxa"/>
            <w:vAlign w:val="bottom"/>
            <w:gridSpan w:val="4"/>
            <w:vMerge w:val="continue"/>
          </w:tcPr>
          <w:p>
            <w:pPr>
              <w:spacing w:after="0"/>
              <w:rPr>
                <w:sz w:val="22"/>
                <w:szCs w:val="22"/>
                <w:color w:val="auto"/>
              </w:rPr>
            </w:pPr>
          </w:p>
        </w:tc>
        <w:tc>
          <w:tcPr>
            <w:tcW w:w="2460" w:type="dxa"/>
            <w:vAlign w:val="bottom"/>
            <w:gridSpan w:val="5"/>
          </w:tcPr>
          <w:p>
            <w:pPr>
              <w:jc w:val="center"/>
              <w:ind w:right="60"/>
              <w:spacing w:after="0"/>
              <w:rPr>
                <w:sz w:val="20"/>
                <w:szCs w:val="20"/>
                <w:color w:val="auto"/>
              </w:rPr>
            </w:pPr>
            <w:r>
              <w:rPr>
                <w:rFonts w:ascii="Arial" w:cs="Arial" w:eastAsia="Arial" w:hAnsi="Arial"/>
                <w:sz w:val="20"/>
                <w:szCs w:val="20"/>
                <w:b w:val="1"/>
                <w:bCs w:val="1"/>
                <w:color w:val="auto"/>
                <w:w w:val="99"/>
              </w:rPr>
              <w:t>September 30,</w:t>
            </w:r>
          </w:p>
        </w:tc>
        <w:tc>
          <w:tcPr>
            <w:tcW w:w="160" w:type="dxa"/>
            <w:vAlign w:val="bottom"/>
          </w:tcPr>
          <w:p>
            <w:pPr>
              <w:spacing w:after="0"/>
              <w:rPr>
                <w:sz w:val="22"/>
                <w:szCs w:val="22"/>
                <w:color w:val="auto"/>
              </w:rPr>
            </w:pPr>
          </w:p>
        </w:tc>
        <w:tc>
          <w:tcPr>
            <w:tcW w:w="2100" w:type="dxa"/>
            <w:vAlign w:val="bottom"/>
            <w:gridSpan w:val="3"/>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1760" w:type="dxa"/>
            <w:vAlign w:val="bottom"/>
          </w:tcPr>
          <w:p>
            <w:pPr>
              <w:spacing w:after="0"/>
              <w:rPr>
                <w:sz w:val="22"/>
                <w:szCs w:val="22"/>
                <w:color w:val="auto"/>
              </w:rPr>
            </w:pPr>
          </w:p>
        </w:tc>
        <w:tc>
          <w:tcPr>
            <w:tcW w:w="1080" w:type="dxa"/>
            <w:vAlign w:val="bottom"/>
            <w:tcBorders>
              <w:top w:val="single" w:sz="8" w:color="auto"/>
            </w:tcBorders>
          </w:tcPr>
          <w:p>
            <w:pPr>
              <w:jc w:val="right"/>
              <w:ind w:right="221"/>
              <w:spacing w:after="0"/>
              <w:rPr>
                <w:sz w:val="20"/>
                <w:szCs w:val="20"/>
                <w:color w:val="auto"/>
              </w:rPr>
            </w:pPr>
            <w:r>
              <w:rPr>
                <w:rFonts w:ascii="Arial" w:cs="Arial" w:eastAsia="Arial" w:hAnsi="Arial"/>
                <w:sz w:val="20"/>
                <w:szCs w:val="20"/>
                <w:b w:val="1"/>
                <w:bCs w:val="1"/>
                <w:color w:val="auto"/>
              </w:rPr>
              <w:t>2025</w:t>
            </w:r>
          </w:p>
        </w:tc>
        <w:tc>
          <w:tcPr>
            <w:tcW w:w="80" w:type="dxa"/>
            <w:vAlign w:val="bottom"/>
            <w:tcBorders>
              <w:top w:val="single" w:sz="8" w:color="auto"/>
            </w:tcBorders>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900" w:type="dxa"/>
            <w:vAlign w:val="bottom"/>
            <w:tcBorders>
              <w:top w:val="single" w:sz="8" w:color="auto"/>
            </w:tcBorders>
          </w:tcPr>
          <w:p>
            <w:pPr>
              <w:jc w:val="right"/>
              <w:ind w:right="241"/>
              <w:spacing w:after="0"/>
              <w:rPr>
                <w:sz w:val="20"/>
                <w:szCs w:val="20"/>
                <w:color w:val="auto"/>
              </w:rPr>
            </w:pPr>
            <w:r>
              <w:rPr>
                <w:rFonts w:ascii="Arial" w:cs="Arial" w:eastAsia="Arial" w:hAnsi="Arial"/>
                <w:sz w:val="20"/>
                <w:szCs w:val="20"/>
                <w:b w:val="1"/>
                <w:bCs w:val="1"/>
                <w:color w:val="auto"/>
              </w:rPr>
              <w:t>2024</w:t>
            </w:r>
          </w:p>
        </w:tc>
        <w:tc>
          <w:tcPr>
            <w:tcW w:w="80" w:type="dxa"/>
            <w:vAlign w:val="bottom"/>
          </w:tcPr>
          <w:p>
            <w:pPr>
              <w:spacing w:after="0"/>
              <w:rPr>
                <w:sz w:val="22"/>
                <w:szCs w:val="22"/>
                <w:color w:val="auto"/>
              </w:rPr>
            </w:pPr>
          </w:p>
        </w:tc>
        <w:tc>
          <w:tcPr>
            <w:tcW w:w="1160" w:type="dxa"/>
            <w:vAlign w:val="bottom"/>
            <w:tcBorders>
              <w:top w:val="single" w:sz="8" w:color="auto"/>
            </w:tcBorders>
          </w:tcPr>
          <w:p>
            <w:pPr>
              <w:jc w:val="right"/>
              <w:ind w:right="441"/>
              <w:spacing w:after="0"/>
              <w:rPr>
                <w:sz w:val="20"/>
                <w:szCs w:val="20"/>
                <w:color w:val="auto"/>
              </w:rPr>
            </w:pPr>
            <w:r>
              <w:rPr>
                <w:rFonts w:ascii="Arial" w:cs="Arial" w:eastAsia="Arial" w:hAnsi="Arial"/>
                <w:sz w:val="20"/>
                <w:szCs w:val="20"/>
                <w:b w:val="1"/>
                <w:bCs w:val="1"/>
                <w:color w:val="auto"/>
              </w:rPr>
              <w:t>$</w:t>
            </w:r>
          </w:p>
        </w:tc>
        <w:tc>
          <w:tcPr>
            <w:tcW w:w="1160" w:type="dxa"/>
            <w:vAlign w:val="bottom"/>
            <w:tcBorders>
              <w:top w:val="single" w:sz="8" w:color="auto"/>
            </w:tcBorders>
            <w:gridSpan w:val="2"/>
          </w:tcPr>
          <w:p>
            <w:pPr>
              <w:jc w:val="right"/>
              <w:ind w:right="361"/>
              <w:spacing w:after="0"/>
              <w:rPr>
                <w:sz w:val="20"/>
                <w:szCs w:val="20"/>
                <w:color w:val="auto"/>
              </w:rPr>
            </w:pPr>
            <w:r>
              <w:rPr>
                <w:rFonts w:ascii="Arial" w:cs="Arial" w:eastAsia="Arial" w:hAnsi="Arial"/>
                <w:sz w:val="20"/>
                <w:szCs w:val="20"/>
                <w:b w:val="1"/>
                <w:bCs w:val="1"/>
                <w:color w:val="auto"/>
              </w:rPr>
              <w:t>%</w:t>
            </w:r>
          </w:p>
        </w:tc>
        <w:tc>
          <w:tcPr>
            <w:tcW w:w="80" w:type="dxa"/>
            <w:vAlign w:val="bottom"/>
          </w:tcPr>
          <w:p>
            <w:pPr>
              <w:spacing w:after="0"/>
              <w:rPr>
                <w:sz w:val="22"/>
                <w:szCs w:val="22"/>
                <w:color w:val="auto"/>
              </w:rPr>
            </w:pPr>
          </w:p>
        </w:tc>
        <w:tc>
          <w:tcPr>
            <w:tcW w:w="1200" w:type="dxa"/>
            <w:vAlign w:val="bottom"/>
            <w:tcBorders>
              <w:top w:val="single" w:sz="8" w:color="auto"/>
            </w:tcBorders>
          </w:tcPr>
          <w:p>
            <w:pPr>
              <w:jc w:val="right"/>
              <w:ind w:right="281"/>
              <w:spacing w:after="0"/>
              <w:rPr>
                <w:sz w:val="20"/>
                <w:szCs w:val="20"/>
                <w:color w:val="auto"/>
              </w:rPr>
            </w:pPr>
            <w:r>
              <w:rPr>
                <w:rFonts w:ascii="Arial" w:cs="Arial" w:eastAsia="Arial" w:hAnsi="Arial"/>
                <w:sz w:val="20"/>
                <w:szCs w:val="20"/>
                <w:b w:val="1"/>
                <w:bCs w:val="1"/>
                <w:color w:val="auto"/>
              </w:rPr>
              <w:t>2025</w:t>
            </w:r>
          </w:p>
        </w:tc>
        <w:tc>
          <w:tcPr>
            <w:tcW w:w="80" w:type="dxa"/>
            <w:vAlign w:val="bottom"/>
            <w:tcBorders>
              <w:top w:val="single" w:sz="8" w:color="auto"/>
            </w:tcBorders>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880" w:type="dxa"/>
            <w:vAlign w:val="bottom"/>
            <w:tcBorders>
              <w:top w:val="single" w:sz="8" w:color="auto"/>
            </w:tcBorders>
          </w:tcPr>
          <w:p>
            <w:pPr>
              <w:jc w:val="right"/>
              <w:ind w:right="221"/>
              <w:spacing w:after="0"/>
              <w:rPr>
                <w:sz w:val="20"/>
                <w:szCs w:val="20"/>
                <w:color w:val="auto"/>
              </w:rPr>
            </w:pPr>
            <w:r>
              <w:rPr>
                <w:rFonts w:ascii="Arial" w:cs="Arial" w:eastAsia="Arial" w:hAnsi="Arial"/>
                <w:sz w:val="20"/>
                <w:szCs w:val="20"/>
                <w:b w:val="1"/>
                <w:bCs w:val="1"/>
                <w:color w:val="auto"/>
              </w:rPr>
              <w:t>2024</w:t>
            </w:r>
          </w:p>
        </w:tc>
        <w:tc>
          <w:tcPr>
            <w:tcW w:w="80" w:type="dxa"/>
            <w:vAlign w:val="bottom"/>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1040" w:type="dxa"/>
            <w:vAlign w:val="bottom"/>
            <w:tcBorders>
              <w:top w:val="single" w:sz="8" w:color="auto"/>
            </w:tcBorders>
          </w:tcPr>
          <w:p>
            <w:pPr>
              <w:jc w:val="right"/>
              <w:ind w:right="441"/>
              <w:spacing w:after="0"/>
              <w:rPr>
                <w:sz w:val="20"/>
                <w:szCs w:val="20"/>
                <w:color w:val="auto"/>
              </w:rPr>
            </w:pPr>
            <w:r>
              <w:rPr>
                <w:rFonts w:ascii="Arial" w:cs="Arial" w:eastAsia="Arial" w:hAnsi="Arial"/>
                <w:sz w:val="20"/>
                <w:szCs w:val="20"/>
                <w:b w:val="1"/>
                <w:bCs w:val="1"/>
                <w:color w:val="auto"/>
              </w:rPr>
              <w:t>$</w:t>
            </w:r>
          </w:p>
        </w:tc>
        <w:tc>
          <w:tcPr>
            <w:tcW w:w="1060" w:type="dxa"/>
            <w:vAlign w:val="bottom"/>
            <w:tcBorders>
              <w:top w:val="single" w:sz="8" w:color="auto"/>
            </w:tcBorders>
            <w:gridSpan w:val="2"/>
          </w:tcPr>
          <w:p>
            <w:pPr>
              <w:jc w:val="right"/>
              <w:ind w:right="301"/>
              <w:spacing w:after="0"/>
              <w:rPr>
                <w:sz w:val="20"/>
                <w:szCs w:val="20"/>
                <w:color w:val="auto"/>
              </w:rPr>
            </w:pPr>
            <w:r>
              <w:rPr>
                <w:rFonts w:ascii="Arial" w:cs="Arial" w:eastAsia="Arial" w:hAnsi="Arial"/>
                <w:sz w:val="20"/>
                <w:szCs w:val="20"/>
                <w:b w:val="1"/>
                <w:bCs w:val="1"/>
                <w:color w:val="auto"/>
              </w:rPr>
              <w:t>%</w:t>
            </w:r>
          </w:p>
        </w:tc>
        <w:tc>
          <w:tcPr>
            <w:tcW w:w="0" w:type="dxa"/>
            <w:vAlign w:val="bottom"/>
          </w:tcPr>
          <w:p>
            <w:pPr>
              <w:spacing w:after="0"/>
              <w:rPr>
                <w:sz w:val="1"/>
                <w:szCs w:val="1"/>
                <w:color w:val="auto"/>
              </w:rPr>
            </w:pPr>
          </w:p>
        </w:tc>
      </w:tr>
      <w:tr>
        <w:trPr>
          <w:trHeight w:val="250"/>
        </w:trPr>
        <w:tc>
          <w:tcPr>
            <w:tcW w:w="17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20"/>
                <w:szCs w:val="20"/>
                <w:color w:val="auto"/>
              </w:rPr>
              <w:t>Revenue</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  393,491</w:t>
            </w:r>
          </w:p>
        </w:tc>
        <w:tc>
          <w:tcPr>
            <w:tcW w:w="80" w:type="dxa"/>
            <w:vAlign w:val="bottom"/>
            <w:tcBorders>
              <w:top w:val="single" w:sz="8" w:color="CCEEFF"/>
            </w:tcBorders>
            <w:shd w:val="clear" w:color="auto" w:fill="CCEEFF"/>
          </w:tcPr>
          <w:p>
            <w:pPr>
              <w:spacing w:after="0"/>
              <w:rPr>
                <w:sz w:val="21"/>
                <w:szCs w:val="21"/>
                <w:color w:val="auto"/>
              </w:rPr>
            </w:pPr>
          </w:p>
        </w:tc>
        <w:tc>
          <w:tcPr>
            <w:tcW w:w="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90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20"/>
                <w:szCs w:val="20"/>
                <w:color w:val="auto"/>
              </w:rPr>
              <w:t>231,406</w:t>
            </w:r>
          </w:p>
        </w:tc>
        <w:tc>
          <w:tcPr>
            <w:tcW w:w="80" w:type="dxa"/>
            <w:vAlign w:val="bottom"/>
            <w:tcBorders>
              <w:top w:val="single" w:sz="8" w:color="CCEEFF"/>
            </w:tcBorders>
            <w:shd w:val="clear" w:color="auto" w:fill="CCEEFF"/>
          </w:tcPr>
          <w:p>
            <w:pPr>
              <w:spacing w:after="0"/>
              <w:rPr>
                <w:sz w:val="21"/>
                <w:szCs w:val="21"/>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  162,085</w:t>
            </w:r>
          </w:p>
        </w:tc>
        <w:tc>
          <w:tcPr>
            <w:tcW w:w="80" w:type="dxa"/>
            <w:vAlign w:val="bottom"/>
            <w:tcBorders>
              <w:top w:val="single" w:sz="8" w:color="CCEEFF"/>
            </w:tcBorders>
            <w:shd w:val="clear" w:color="auto" w:fill="CCEEFF"/>
          </w:tcPr>
          <w:p>
            <w:pPr>
              <w:spacing w:after="0"/>
              <w:rPr>
                <w:sz w:val="21"/>
                <w:szCs w:val="21"/>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70 %</w:t>
            </w:r>
          </w:p>
        </w:tc>
        <w:tc>
          <w:tcPr>
            <w:tcW w:w="80" w:type="dxa"/>
            <w:vAlign w:val="bottom"/>
            <w:tcBorders>
              <w:top w:val="single" w:sz="8" w:color="CCEEFF"/>
            </w:tcBorders>
            <w:shd w:val="clear" w:color="auto" w:fill="CCEEFF"/>
          </w:tcPr>
          <w:p>
            <w:pPr>
              <w:spacing w:after="0"/>
              <w:rPr>
                <w:sz w:val="21"/>
                <w:szCs w:val="21"/>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$ 1,058,097</w:t>
            </w:r>
          </w:p>
        </w:tc>
        <w:tc>
          <w:tcPr>
            <w:tcW w:w="80" w:type="dxa"/>
            <w:vAlign w:val="bottom"/>
            <w:tcBorders>
              <w:top w:val="single" w:sz="8" w:color="CCEEFF"/>
            </w:tcBorders>
            <w:shd w:val="clear" w:color="auto" w:fill="CCEEFF"/>
          </w:tcPr>
          <w:p>
            <w:pPr>
              <w:spacing w:after="0"/>
              <w:rPr>
                <w:sz w:val="21"/>
                <w:szCs w:val="21"/>
                <w:color w:val="auto"/>
              </w:rPr>
            </w:pPr>
          </w:p>
        </w:tc>
        <w:tc>
          <w:tcPr>
            <w:tcW w:w="22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20"/>
                <w:szCs w:val="20"/>
                <w:color w:val="auto"/>
                <w:w w:val="8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640,575</w:t>
            </w:r>
          </w:p>
        </w:tc>
        <w:tc>
          <w:tcPr>
            <w:tcW w:w="80" w:type="dxa"/>
            <w:vAlign w:val="bottom"/>
            <w:tcBorders>
              <w:top w:val="single" w:sz="8" w:color="CCEEFF"/>
            </w:tcBorders>
            <w:shd w:val="clear" w:color="auto" w:fill="CCEEFF"/>
          </w:tcPr>
          <w:p>
            <w:pPr>
              <w:spacing w:after="0"/>
              <w:rPr>
                <w:sz w:val="21"/>
                <w:szCs w:val="21"/>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417,522</w:t>
            </w:r>
          </w:p>
        </w:tc>
        <w:tc>
          <w:tcPr>
            <w:tcW w:w="80" w:type="dxa"/>
            <w:vAlign w:val="bottom"/>
            <w:tcBorders>
              <w:top w:val="single" w:sz="8" w:color="CCEEFF"/>
            </w:tcBorders>
            <w:shd w:val="clear" w:color="auto" w:fill="CCEEFF"/>
          </w:tcPr>
          <w:p>
            <w:pPr>
              <w:spacing w:after="0"/>
              <w:rPr>
                <w:sz w:val="21"/>
                <w:szCs w:val="21"/>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65 %</w:t>
            </w:r>
          </w:p>
        </w:tc>
        <w:tc>
          <w:tcPr>
            <w:tcW w:w="0" w:type="dxa"/>
            <w:vAlign w:val="bottom"/>
          </w:tcPr>
          <w:p>
            <w:pPr>
              <w:spacing w:after="0"/>
              <w:rPr>
                <w:sz w:val="1"/>
                <w:szCs w:val="1"/>
                <w:color w:val="auto"/>
              </w:rPr>
            </w:pPr>
          </w:p>
        </w:tc>
      </w:tr>
      <w:tr>
        <w:trPr>
          <w:trHeight w:val="256"/>
        </w:trPr>
        <w:tc>
          <w:tcPr>
            <w:tcW w:w="1760" w:type="dxa"/>
            <w:vAlign w:val="bottom"/>
          </w:tcPr>
          <w:p>
            <w:pPr>
              <w:ind w:left="20"/>
              <w:spacing w:after="0"/>
              <w:rPr>
                <w:sz w:val="20"/>
                <w:szCs w:val="20"/>
                <w:color w:val="auto"/>
              </w:rPr>
            </w:pPr>
            <w:r>
              <w:rPr>
                <w:rFonts w:ascii="Arial" w:cs="Arial" w:eastAsia="Arial" w:hAnsi="Arial"/>
                <w:sz w:val="20"/>
                <w:szCs w:val="20"/>
                <w:color w:val="auto"/>
              </w:rPr>
              <w:t>Cost of revenue</w:t>
            </w:r>
          </w:p>
        </w:tc>
        <w:tc>
          <w:tcPr>
            <w:tcW w:w="10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89"/>
        </w:trPr>
        <w:tc>
          <w:tcPr>
            <w:tcW w:w="1760" w:type="dxa"/>
            <w:vAlign w:val="bottom"/>
            <w:shd w:val="clear" w:color="auto" w:fill="CCEEFF"/>
          </w:tcPr>
          <w:p>
            <w:pPr>
              <w:ind w:left="240"/>
              <w:spacing w:after="0" w:line="189" w:lineRule="exact"/>
              <w:rPr>
                <w:sz w:val="20"/>
                <w:szCs w:val="20"/>
                <w:color w:val="auto"/>
              </w:rPr>
            </w:pPr>
            <w:r>
              <w:rPr>
                <w:rFonts w:ascii="Arial" w:cs="Arial" w:eastAsia="Arial" w:hAnsi="Arial"/>
                <w:sz w:val="20"/>
                <w:szCs w:val="20"/>
                <w:color w:val="auto"/>
              </w:rPr>
              <w:t>Cost of product</w:t>
            </w:r>
          </w:p>
        </w:tc>
        <w:tc>
          <w:tcPr>
            <w:tcW w:w="10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1760" w:type="dxa"/>
            <w:vAlign w:val="bottom"/>
            <w:shd w:val="clear" w:color="auto" w:fill="CCEEFF"/>
          </w:tcPr>
          <w:p>
            <w:pPr>
              <w:ind w:left="240"/>
              <w:spacing w:after="0" w:line="194" w:lineRule="exact"/>
              <w:rPr>
                <w:sz w:val="20"/>
                <w:szCs w:val="20"/>
                <w:color w:val="auto"/>
              </w:rPr>
            </w:pPr>
            <w:r>
              <w:rPr>
                <w:rFonts w:ascii="Arial" w:cs="Arial" w:eastAsia="Arial" w:hAnsi="Arial"/>
                <w:sz w:val="20"/>
                <w:szCs w:val="20"/>
                <w:color w:val="auto"/>
              </w:rPr>
              <w:t>and service</w:t>
            </w: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20"/>
                <w:szCs w:val="20"/>
                <w:color w:val="auto"/>
              </w:rPr>
              <w:t>283,386</w:t>
            </w: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00" w:type="dxa"/>
            <w:vAlign w:val="bottom"/>
            <w:vMerge w:val="restart"/>
            <w:shd w:val="clear" w:color="auto" w:fill="CCEEFF"/>
          </w:tcPr>
          <w:p>
            <w:pPr>
              <w:jc w:val="right"/>
              <w:ind w:right="1"/>
              <w:spacing w:after="0"/>
              <w:rPr>
                <w:sz w:val="20"/>
                <w:szCs w:val="20"/>
                <w:color w:val="auto"/>
              </w:rPr>
            </w:pPr>
            <w:r>
              <w:rPr>
                <w:rFonts w:ascii="Arial" w:cs="Arial" w:eastAsia="Arial" w:hAnsi="Arial"/>
                <w:sz w:val="20"/>
                <w:szCs w:val="20"/>
                <w:color w:val="auto"/>
              </w:rPr>
              <w:t>149,452</w:t>
            </w:r>
          </w:p>
        </w:tc>
        <w:tc>
          <w:tcPr>
            <w:tcW w:w="80" w:type="dxa"/>
            <w:vAlign w:val="bottom"/>
            <w:shd w:val="clear" w:color="auto" w:fill="CCEEFF"/>
          </w:tcPr>
          <w:p>
            <w:pPr>
              <w:spacing w:after="0"/>
              <w:rPr>
                <w:sz w:val="16"/>
                <w:szCs w:val="16"/>
                <w:color w:val="auto"/>
              </w:rPr>
            </w:pP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20"/>
                <w:szCs w:val="20"/>
                <w:color w:val="auto"/>
              </w:rPr>
              <w:t>133,934</w:t>
            </w:r>
          </w:p>
        </w:tc>
        <w:tc>
          <w:tcPr>
            <w:tcW w:w="1160" w:type="dxa"/>
            <w:vAlign w:val="bottom"/>
            <w:gridSpan w:val="2"/>
            <w:vMerge w:val="restart"/>
            <w:shd w:val="clear" w:color="auto" w:fill="CCEEFF"/>
          </w:tcPr>
          <w:p>
            <w:pPr>
              <w:jc w:val="right"/>
              <w:spacing w:after="0"/>
              <w:rPr>
                <w:sz w:val="20"/>
                <w:szCs w:val="20"/>
                <w:color w:val="auto"/>
              </w:rPr>
            </w:pPr>
            <w:r>
              <w:rPr>
                <w:rFonts w:ascii="Arial" w:cs="Arial" w:eastAsia="Arial" w:hAnsi="Arial"/>
                <w:sz w:val="20"/>
                <w:szCs w:val="20"/>
                <w:color w:val="auto"/>
              </w:rPr>
              <w:t>90 %</w:t>
            </w:r>
          </w:p>
        </w:tc>
        <w:tc>
          <w:tcPr>
            <w:tcW w:w="80" w:type="dxa"/>
            <w:vAlign w:val="bottom"/>
            <w:shd w:val="clear" w:color="auto" w:fill="CCEEFF"/>
          </w:tcPr>
          <w:p>
            <w:pPr>
              <w:spacing w:after="0"/>
              <w:rPr>
                <w:sz w:val="16"/>
                <w:szCs w:val="16"/>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20"/>
                <w:szCs w:val="20"/>
                <w:color w:val="auto"/>
              </w:rPr>
              <w:t>767,161</w:t>
            </w: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20"/>
                <w:szCs w:val="20"/>
                <w:color w:val="auto"/>
              </w:rPr>
              <w:t>410,299</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20"/>
                <w:szCs w:val="20"/>
                <w:color w:val="auto"/>
              </w:rPr>
              <w:t>356,862</w:t>
            </w:r>
          </w:p>
        </w:tc>
        <w:tc>
          <w:tcPr>
            <w:tcW w:w="1060" w:type="dxa"/>
            <w:vAlign w:val="bottom"/>
            <w:gridSpan w:val="2"/>
            <w:vMerge w:val="restart"/>
            <w:shd w:val="clear" w:color="auto" w:fill="CCEEFF"/>
          </w:tcPr>
          <w:p>
            <w:pPr>
              <w:jc w:val="right"/>
              <w:spacing w:after="0"/>
              <w:rPr>
                <w:sz w:val="20"/>
                <w:szCs w:val="20"/>
                <w:color w:val="auto"/>
              </w:rPr>
            </w:pPr>
            <w:r>
              <w:rPr>
                <w:rFonts w:ascii="Arial" w:cs="Arial" w:eastAsia="Arial" w:hAnsi="Arial"/>
                <w:sz w:val="20"/>
                <w:szCs w:val="20"/>
                <w:color w:val="auto"/>
              </w:rPr>
              <w:t>87 %</w:t>
            </w:r>
          </w:p>
        </w:tc>
        <w:tc>
          <w:tcPr>
            <w:tcW w:w="0" w:type="dxa"/>
            <w:vAlign w:val="bottom"/>
          </w:tcPr>
          <w:p>
            <w:pPr>
              <w:spacing w:after="0"/>
              <w:rPr>
                <w:sz w:val="1"/>
                <w:szCs w:val="1"/>
                <w:color w:val="auto"/>
              </w:rPr>
            </w:pPr>
          </w:p>
        </w:tc>
      </w:tr>
      <w:tr>
        <w:trPr>
          <w:trHeight w:val="265"/>
        </w:trPr>
        <w:tc>
          <w:tcPr>
            <w:tcW w:w="1760" w:type="dxa"/>
            <w:vAlign w:val="bottom"/>
            <w:shd w:val="clear" w:color="auto" w:fill="CCEEFF"/>
          </w:tcPr>
          <w:p>
            <w:pPr>
              <w:ind w:left="240"/>
              <w:spacing w:after="0"/>
              <w:rPr>
                <w:sz w:val="20"/>
                <w:szCs w:val="20"/>
                <w:color w:val="auto"/>
              </w:rPr>
            </w:pPr>
            <w:r>
              <w:rPr>
                <w:rFonts w:ascii="Arial" w:cs="Arial" w:eastAsia="Arial" w:hAnsi="Arial"/>
                <w:sz w:val="20"/>
                <w:szCs w:val="20"/>
                <w:color w:val="auto"/>
              </w:rPr>
              <w:t>revenue</w:t>
            </w:r>
          </w:p>
        </w:tc>
        <w:tc>
          <w:tcPr>
            <w:tcW w:w="1080" w:type="dxa"/>
            <w:vAlign w:val="bottom"/>
            <w:vMerge w:val="continue"/>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900" w:type="dxa"/>
            <w:vAlign w:val="bottom"/>
            <w:vMerge w:val="continue"/>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160" w:type="dxa"/>
            <w:vAlign w:val="bottom"/>
            <w:vMerge w:val="continue"/>
            <w:shd w:val="clear" w:color="auto" w:fill="CCEEFF"/>
          </w:tcPr>
          <w:p>
            <w:pPr>
              <w:spacing w:after="0"/>
              <w:rPr>
                <w:sz w:val="23"/>
                <w:szCs w:val="23"/>
                <w:color w:val="auto"/>
              </w:rPr>
            </w:pPr>
          </w:p>
        </w:tc>
        <w:tc>
          <w:tcPr>
            <w:tcW w:w="1160" w:type="dxa"/>
            <w:vAlign w:val="bottom"/>
            <w:gridSpan w:val="2"/>
            <w:vMerge w:val="continue"/>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200" w:type="dxa"/>
            <w:vAlign w:val="bottom"/>
            <w:vMerge w:val="continue"/>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880" w:type="dxa"/>
            <w:vAlign w:val="bottom"/>
            <w:vMerge w:val="continue"/>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40" w:type="dxa"/>
            <w:vAlign w:val="bottom"/>
            <w:vMerge w:val="continue"/>
            <w:shd w:val="clear" w:color="auto" w:fill="CCEEFF"/>
          </w:tcPr>
          <w:p>
            <w:pPr>
              <w:spacing w:after="0"/>
              <w:rPr>
                <w:sz w:val="23"/>
                <w:szCs w:val="23"/>
                <w:color w:val="auto"/>
              </w:rPr>
            </w:pPr>
          </w:p>
        </w:tc>
        <w:tc>
          <w:tcPr>
            <w:tcW w:w="1060" w:type="dxa"/>
            <w:vAlign w:val="bottom"/>
            <w:gridSpan w:val="2"/>
            <w:vMerge w:val="continue"/>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189"/>
        </w:trPr>
        <w:tc>
          <w:tcPr>
            <w:tcW w:w="1760" w:type="dxa"/>
            <w:vAlign w:val="bottom"/>
          </w:tcPr>
          <w:p>
            <w:pPr>
              <w:ind w:left="240"/>
              <w:spacing w:after="0" w:line="189" w:lineRule="exact"/>
              <w:rPr>
                <w:sz w:val="20"/>
                <w:szCs w:val="20"/>
                <w:color w:val="auto"/>
              </w:rPr>
            </w:pPr>
            <w:r>
              <w:rPr>
                <w:rFonts w:ascii="Arial" w:cs="Arial" w:eastAsia="Arial" w:hAnsi="Arial"/>
                <w:sz w:val="20"/>
                <w:szCs w:val="20"/>
                <w:color w:val="auto"/>
              </w:rPr>
              <w:t>Amortization of</w:t>
            </w:r>
          </w:p>
        </w:tc>
        <w:tc>
          <w:tcPr>
            <w:tcW w:w="10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1760" w:type="dxa"/>
            <w:vAlign w:val="bottom"/>
          </w:tcPr>
          <w:p>
            <w:pPr>
              <w:ind w:left="240"/>
              <w:spacing w:after="0" w:line="194" w:lineRule="exact"/>
              <w:rPr>
                <w:sz w:val="20"/>
                <w:szCs w:val="20"/>
                <w:color w:val="auto"/>
              </w:rPr>
            </w:pPr>
            <w:r>
              <w:rPr>
                <w:rFonts w:ascii="Arial" w:cs="Arial" w:eastAsia="Arial" w:hAnsi="Arial"/>
                <w:sz w:val="20"/>
                <w:szCs w:val="20"/>
                <w:color w:val="auto"/>
              </w:rPr>
              <w:t>developed</w:t>
            </w:r>
          </w:p>
        </w:tc>
        <w:tc>
          <w:tcPr>
            <w:tcW w:w="10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760" w:type="dxa"/>
            <w:vAlign w:val="bottom"/>
          </w:tcPr>
          <w:p>
            <w:pPr>
              <w:ind w:left="240"/>
              <w:spacing w:after="0" w:line="203" w:lineRule="exact"/>
              <w:rPr>
                <w:sz w:val="20"/>
                <w:szCs w:val="20"/>
                <w:color w:val="auto"/>
              </w:rPr>
            </w:pPr>
            <w:r>
              <w:rPr>
                <w:rFonts w:ascii="Arial" w:cs="Arial" w:eastAsia="Arial" w:hAnsi="Arial"/>
                <w:sz w:val="20"/>
                <w:szCs w:val="20"/>
                <w:color w:val="auto"/>
              </w:rPr>
              <w:t>technology and</w:t>
            </w:r>
          </w:p>
        </w:tc>
        <w:tc>
          <w:tcPr>
            <w:tcW w:w="1080" w:type="dxa"/>
            <w:vAlign w:val="bottom"/>
            <w:vMerge w:val="restart"/>
          </w:tcPr>
          <w:p>
            <w:pPr>
              <w:jc w:val="right"/>
              <w:spacing w:after="0"/>
              <w:rPr>
                <w:sz w:val="20"/>
                <w:szCs w:val="20"/>
                <w:color w:val="auto"/>
              </w:rPr>
            </w:pPr>
            <w:r>
              <w:rPr>
                <w:rFonts w:ascii="Arial" w:cs="Arial" w:eastAsia="Arial" w:hAnsi="Arial"/>
                <w:sz w:val="20"/>
                <w:szCs w:val="20"/>
                <w:color w:val="auto"/>
              </w:rPr>
              <w:t>4,434</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vMerge w:val="restart"/>
          </w:tcPr>
          <w:p>
            <w:pPr>
              <w:jc w:val="right"/>
              <w:ind w:right="1"/>
              <w:spacing w:after="0"/>
              <w:rPr>
                <w:sz w:val="20"/>
                <w:szCs w:val="20"/>
                <w:color w:val="auto"/>
              </w:rPr>
            </w:pPr>
            <w:r>
              <w:rPr>
                <w:rFonts w:ascii="Arial" w:cs="Arial" w:eastAsia="Arial" w:hAnsi="Arial"/>
                <w:sz w:val="20"/>
                <w:szCs w:val="20"/>
                <w:color w:val="auto"/>
              </w:rPr>
              <w:t>3,639</w:t>
            </w:r>
          </w:p>
        </w:tc>
        <w:tc>
          <w:tcPr>
            <w:tcW w:w="80" w:type="dxa"/>
            <w:vAlign w:val="bottom"/>
          </w:tcPr>
          <w:p>
            <w:pPr>
              <w:spacing w:after="0"/>
              <w:rPr>
                <w:sz w:val="17"/>
                <w:szCs w:val="17"/>
                <w:color w:val="auto"/>
              </w:rPr>
            </w:pPr>
          </w:p>
        </w:tc>
        <w:tc>
          <w:tcPr>
            <w:tcW w:w="1160" w:type="dxa"/>
            <w:vAlign w:val="bottom"/>
            <w:vMerge w:val="restart"/>
          </w:tcPr>
          <w:p>
            <w:pPr>
              <w:jc w:val="right"/>
              <w:spacing w:after="0"/>
              <w:rPr>
                <w:sz w:val="20"/>
                <w:szCs w:val="20"/>
                <w:color w:val="auto"/>
              </w:rPr>
            </w:pPr>
            <w:r>
              <w:rPr>
                <w:rFonts w:ascii="Arial" w:cs="Arial" w:eastAsia="Arial" w:hAnsi="Arial"/>
                <w:sz w:val="20"/>
                <w:szCs w:val="20"/>
                <w:color w:val="auto"/>
              </w:rPr>
              <w:t>795</w:t>
            </w:r>
          </w:p>
        </w:tc>
        <w:tc>
          <w:tcPr>
            <w:tcW w:w="1160" w:type="dxa"/>
            <w:vAlign w:val="bottom"/>
            <w:gridSpan w:val="2"/>
            <w:vMerge w:val="restart"/>
          </w:tcPr>
          <w:p>
            <w:pPr>
              <w:jc w:val="right"/>
              <w:spacing w:after="0"/>
              <w:rPr>
                <w:sz w:val="20"/>
                <w:szCs w:val="20"/>
                <w:color w:val="auto"/>
              </w:rPr>
            </w:pPr>
            <w:r>
              <w:rPr>
                <w:rFonts w:ascii="Arial" w:cs="Arial" w:eastAsia="Arial" w:hAnsi="Arial"/>
                <w:sz w:val="20"/>
                <w:szCs w:val="20"/>
                <w:color w:val="auto"/>
              </w:rPr>
              <w:t>22 %</w:t>
            </w:r>
          </w:p>
        </w:tc>
        <w:tc>
          <w:tcPr>
            <w:tcW w:w="80" w:type="dxa"/>
            <w:vAlign w:val="bottom"/>
          </w:tcPr>
          <w:p>
            <w:pPr>
              <w:spacing w:after="0"/>
              <w:rPr>
                <w:sz w:val="17"/>
                <w:szCs w:val="17"/>
                <w:color w:val="auto"/>
              </w:rPr>
            </w:pPr>
          </w:p>
        </w:tc>
        <w:tc>
          <w:tcPr>
            <w:tcW w:w="1200" w:type="dxa"/>
            <w:vAlign w:val="bottom"/>
            <w:vMerge w:val="restart"/>
          </w:tcPr>
          <w:p>
            <w:pPr>
              <w:jc w:val="right"/>
              <w:spacing w:after="0"/>
              <w:rPr>
                <w:sz w:val="20"/>
                <w:szCs w:val="20"/>
                <w:color w:val="auto"/>
              </w:rPr>
            </w:pPr>
            <w:r>
              <w:rPr>
                <w:rFonts w:ascii="Arial" w:cs="Arial" w:eastAsia="Arial" w:hAnsi="Arial"/>
                <w:sz w:val="20"/>
                <w:szCs w:val="20"/>
                <w:color w:val="auto"/>
              </w:rPr>
              <w:t>11,713</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vMerge w:val="restart"/>
          </w:tcPr>
          <w:p>
            <w:pPr>
              <w:jc w:val="right"/>
              <w:spacing w:after="0"/>
              <w:rPr>
                <w:sz w:val="20"/>
                <w:szCs w:val="20"/>
                <w:color w:val="auto"/>
              </w:rPr>
            </w:pPr>
            <w:r>
              <w:rPr>
                <w:rFonts w:ascii="Arial" w:cs="Arial" w:eastAsia="Arial" w:hAnsi="Arial"/>
                <w:sz w:val="20"/>
                <w:szCs w:val="20"/>
                <w:color w:val="auto"/>
              </w:rPr>
              <w:t>10,918</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vMerge w:val="restart"/>
          </w:tcPr>
          <w:p>
            <w:pPr>
              <w:jc w:val="right"/>
              <w:spacing w:after="0"/>
              <w:rPr>
                <w:sz w:val="20"/>
                <w:szCs w:val="20"/>
                <w:color w:val="auto"/>
              </w:rPr>
            </w:pPr>
            <w:r>
              <w:rPr>
                <w:rFonts w:ascii="Arial" w:cs="Arial" w:eastAsia="Arial" w:hAnsi="Arial"/>
                <w:sz w:val="20"/>
                <w:szCs w:val="20"/>
                <w:color w:val="auto"/>
              </w:rPr>
              <w:t>795</w:t>
            </w:r>
          </w:p>
        </w:tc>
        <w:tc>
          <w:tcPr>
            <w:tcW w:w="1060" w:type="dxa"/>
            <w:vAlign w:val="bottom"/>
            <w:gridSpan w:val="2"/>
            <w:vMerge w:val="restart"/>
          </w:tcPr>
          <w:p>
            <w:pPr>
              <w:jc w:val="right"/>
              <w:spacing w:after="0"/>
              <w:rPr>
                <w:sz w:val="20"/>
                <w:szCs w:val="20"/>
                <w:color w:val="auto"/>
              </w:rPr>
            </w:pPr>
            <w:r>
              <w:rPr>
                <w:rFonts w:ascii="Arial" w:cs="Arial" w:eastAsia="Arial" w:hAnsi="Arial"/>
                <w:sz w:val="20"/>
                <w:szCs w:val="20"/>
                <w:color w:val="auto"/>
              </w:rPr>
              <w:t>7 %</w:t>
            </w:r>
          </w:p>
        </w:tc>
        <w:tc>
          <w:tcPr>
            <w:tcW w:w="0" w:type="dxa"/>
            <w:vAlign w:val="bottom"/>
          </w:tcPr>
          <w:p>
            <w:pPr>
              <w:spacing w:after="0"/>
              <w:rPr>
                <w:sz w:val="1"/>
                <w:szCs w:val="1"/>
                <w:color w:val="auto"/>
              </w:rPr>
            </w:pPr>
          </w:p>
        </w:tc>
      </w:tr>
      <w:tr>
        <w:trPr>
          <w:trHeight w:val="263"/>
        </w:trPr>
        <w:tc>
          <w:tcPr>
            <w:tcW w:w="1760" w:type="dxa"/>
            <w:vAlign w:val="bottom"/>
          </w:tcPr>
          <w:p>
            <w:pPr>
              <w:ind w:left="240"/>
              <w:spacing w:after="0"/>
              <w:rPr>
                <w:sz w:val="20"/>
                <w:szCs w:val="20"/>
                <w:color w:val="auto"/>
              </w:rPr>
            </w:pPr>
            <w:r>
              <w:rPr>
                <w:rFonts w:ascii="Arial" w:cs="Arial" w:eastAsia="Arial" w:hAnsi="Arial"/>
                <w:sz w:val="20"/>
                <w:szCs w:val="20"/>
                <w:color w:val="auto"/>
              </w:rPr>
              <w:t>backlog</w:t>
            </w:r>
          </w:p>
        </w:tc>
        <w:tc>
          <w:tcPr>
            <w:tcW w:w="1080" w:type="dxa"/>
            <w:vAlign w:val="bottom"/>
            <w:tcBorders>
              <w:bottom w:val="single" w:sz="8" w:color="auto"/>
            </w:tcBorders>
            <w:vMerge w:val="continue"/>
          </w:tcPr>
          <w:p>
            <w:pPr>
              <w:spacing w:after="0"/>
              <w:rPr>
                <w:sz w:val="22"/>
                <w:szCs w:val="22"/>
                <w:color w:val="auto"/>
              </w:rPr>
            </w:pPr>
          </w:p>
        </w:tc>
        <w:tc>
          <w:tcPr>
            <w:tcW w:w="8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vMerge w:val="continue"/>
          </w:tcPr>
          <w:p>
            <w:pPr>
              <w:spacing w:after="0"/>
              <w:rPr>
                <w:sz w:val="22"/>
                <w:szCs w:val="22"/>
                <w:color w:val="auto"/>
              </w:rPr>
            </w:pPr>
          </w:p>
        </w:tc>
        <w:tc>
          <w:tcPr>
            <w:tcW w:w="80" w:type="dxa"/>
            <w:vAlign w:val="bottom"/>
          </w:tcPr>
          <w:p>
            <w:pPr>
              <w:spacing w:after="0"/>
              <w:rPr>
                <w:sz w:val="22"/>
                <w:szCs w:val="22"/>
                <w:color w:val="auto"/>
              </w:rPr>
            </w:pPr>
          </w:p>
        </w:tc>
        <w:tc>
          <w:tcPr>
            <w:tcW w:w="1160" w:type="dxa"/>
            <w:vAlign w:val="bottom"/>
            <w:tcBorders>
              <w:bottom w:val="single" w:sz="8" w:color="auto"/>
            </w:tcBorders>
            <w:vMerge w:val="continue"/>
          </w:tcPr>
          <w:p>
            <w:pPr>
              <w:spacing w:after="0"/>
              <w:rPr>
                <w:sz w:val="22"/>
                <w:szCs w:val="22"/>
                <w:color w:val="auto"/>
              </w:rPr>
            </w:pPr>
          </w:p>
        </w:tc>
        <w:tc>
          <w:tcPr>
            <w:tcW w:w="1160" w:type="dxa"/>
            <w:vAlign w:val="bottom"/>
            <w:gridSpan w:val="2"/>
            <w:vMerge w:val="continue"/>
          </w:tcPr>
          <w:p>
            <w:pPr>
              <w:spacing w:after="0"/>
              <w:rPr>
                <w:sz w:val="22"/>
                <w:szCs w:val="22"/>
                <w:color w:val="auto"/>
              </w:rPr>
            </w:pPr>
          </w:p>
        </w:tc>
        <w:tc>
          <w:tcPr>
            <w:tcW w:w="80" w:type="dxa"/>
            <w:vAlign w:val="bottom"/>
          </w:tcPr>
          <w:p>
            <w:pPr>
              <w:spacing w:after="0"/>
              <w:rPr>
                <w:sz w:val="22"/>
                <w:szCs w:val="22"/>
                <w:color w:val="auto"/>
              </w:rPr>
            </w:pPr>
          </w:p>
        </w:tc>
        <w:tc>
          <w:tcPr>
            <w:tcW w:w="1200" w:type="dxa"/>
            <w:vAlign w:val="bottom"/>
            <w:tcBorders>
              <w:bottom w:val="single" w:sz="8" w:color="auto"/>
            </w:tcBorders>
            <w:vMerge w:val="continue"/>
          </w:tcPr>
          <w:p>
            <w:pPr>
              <w:spacing w:after="0"/>
              <w:rPr>
                <w:sz w:val="22"/>
                <w:szCs w:val="22"/>
                <w:color w:val="auto"/>
              </w:rPr>
            </w:pPr>
          </w:p>
        </w:tc>
        <w:tc>
          <w:tcPr>
            <w:tcW w:w="8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vMerge w:val="continue"/>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vMerge w:val="continue"/>
          </w:tcPr>
          <w:p>
            <w:pPr>
              <w:spacing w:after="0"/>
              <w:rPr>
                <w:sz w:val="22"/>
                <w:szCs w:val="22"/>
                <w:color w:val="auto"/>
              </w:rPr>
            </w:pPr>
          </w:p>
        </w:tc>
        <w:tc>
          <w:tcPr>
            <w:tcW w:w="1060" w:type="dxa"/>
            <w:vAlign w:val="bottom"/>
            <w:gridSpan w:val="2"/>
            <w:vMerge w:val="continue"/>
          </w:tcPr>
          <w:p>
            <w:pPr>
              <w:spacing w:after="0"/>
              <w:rPr>
                <w:sz w:val="22"/>
                <w:szCs w:val="2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31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19" w:right="339" w:bottom="1440" w:gutter="0" w:footer="0" w:header="0"/>
          <w:type w:val="continuous"/>
        </w:sectPr>
      </w:pPr>
    </w:p>
    <w:bookmarkStart w:id="55" w:name="page56"/>
    <w:bookmarkEnd w:id="55"/>
    <w:tbl>
      <w:tblPr>
        <w:tblLayout w:type="fixed"/>
        <w:tblInd w:w="0" w:type="dxa"/>
        <w:tblCellMar>
          <w:top w:w="0" w:type="dxa"/>
          <w:left w:w="0" w:type="dxa"/>
          <w:bottom w:w="0" w:type="dxa"/>
          <w:right w:w="0" w:type="dxa"/>
        </w:tblCellMar>
      </w:tblPr>
      <w:tr>
        <w:trPr>
          <w:trHeight w:val="270"/>
        </w:trPr>
        <w:tc>
          <w:tcPr>
            <w:tcW w:w="19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20"/>
                <w:szCs w:val="20"/>
                <w:color w:val="auto"/>
                <w:w w:val="99"/>
              </w:rPr>
              <w:t>Total cost of revenue</w:t>
            </w:r>
          </w:p>
        </w:tc>
        <w:tc>
          <w:tcPr>
            <w:tcW w:w="180" w:type="dxa"/>
            <w:vAlign w:val="bottom"/>
            <w:tcBorders>
              <w:top w:val="single" w:sz="8" w:color="auto"/>
              <w:bottom w:val="single" w:sz="8" w:color="auto"/>
            </w:tcBorders>
            <w:shd w:val="clear" w:color="auto" w:fill="CCEEFF"/>
          </w:tcPr>
          <w:p>
            <w:pPr>
              <w:spacing w:after="0"/>
              <w:rPr>
                <w:sz w:val="23"/>
                <w:szCs w:val="23"/>
                <w:color w:val="auto"/>
              </w:rPr>
            </w:pPr>
          </w:p>
        </w:tc>
        <w:tc>
          <w:tcPr>
            <w:tcW w:w="920" w:type="dxa"/>
            <w:vAlign w:val="bottom"/>
            <w:tcBorders>
              <w:top w:val="single" w:sz="8" w:color="auto"/>
              <w:bottom w:val="single" w:sz="8" w:color="auto"/>
            </w:tcBorders>
            <w:shd w:val="clear" w:color="auto" w:fill="CCEEFF"/>
          </w:tcPr>
          <w:p>
            <w:pPr>
              <w:jc w:val="right"/>
              <w:ind w:right="41"/>
              <w:spacing w:after="0"/>
              <w:rPr>
                <w:sz w:val="20"/>
                <w:szCs w:val="20"/>
                <w:color w:val="auto"/>
              </w:rPr>
            </w:pPr>
            <w:r>
              <w:rPr>
                <w:rFonts w:ascii="Arial" w:cs="Arial" w:eastAsia="Arial" w:hAnsi="Arial"/>
                <w:sz w:val="20"/>
                <w:szCs w:val="20"/>
                <w:color w:val="auto"/>
              </w:rPr>
              <w:t>287,820</w:t>
            </w:r>
          </w:p>
        </w:tc>
        <w:tc>
          <w:tcPr>
            <w:tcW w:w="80" w:type="dxa"/>
            <w:vAlign w:val="bottom"/>
            <w:tcBorders>
              <w:top w:val="single" w:sz="8" w:color="CCEEFF"/>
            </w:tcBorders>
            <w:shd w:val="clear" w:color="auto" w:fill="CCEEFF"/>
          </w:tcPr>
          <w:p>
            <w:pPr>
              <w:spacing w:after="0"/>
              <w:rPr>
                <w:sz w:val="23"/>
                <w:szCs w:val="23"/>
                <w:color w:val="auto"/>
              </w:rPr>
            </w:pPr>
          </w:p>
        </w:tc>
        <w:tc>
          <w:tcPr>
            <w:tcW w:w="1140" w:type="dxa"/>
            <w:vAlign w:val="bottom"/>
            <w:tcBorders>
              <w:top w:val="single" w:sz="8" w:color="auto"/>
              <w:bottom w:val="single" w:sz="8" w:color="auto"/>
            </w:tcBorders>
            <w:shd w:val="clear" w:color="auto" w:fill="CCEEFF"/>
          </w:tcPr>
          <w:p>
            <w:pPr>
              <w:jc w:val="right"/>
              <w:ind w:right="21"/>
              <w:spacing w:after="0"/>
              <w:rPr>
                <w:sz w:val="20"/>
                <w:szCs w:val="20"/>
                <w:color w:val="auto"/>
              </w:rPr>
            </w:pPr>
            <w:r>
              <w:rPr>
                <w:rFonts w:ascii="Arial" w:cs="Arial" w:eastAsia="Arial" w:hAnsi="Arial"/>
                <w:sz w:val="20"/>
                <w:szCs w:val="20"/>
                <w:color w:val="auto"/>
              </w:rPr>
              <w:t>153,091</w:t>
            </w:r>
          </w:p>
        </w:tc>
        <w:tc>
          <w:tcPr>
            <w:tcW w:w="80" w:type="dxa"/>
            <w:vAlign w:val="bottom"/>
            <w:tcBorders>
              <w:top w:val="single" w:sz="8" w:color="CCEEFF"/>
            </w:tcBorders>
            <w:shd w:val="clear" w:color="auto" w:fill="CCEEFF"/>
          </w:tcPr>
          <w:p>
            <w:pPr>
              <w:spacing w:after="0"/>
              <w:rPr>
                <w:sz w:val="23"/>
                <w:szCs w:val="23"/>
                <w:color w:val="auto"/>
              </w:rPr>
            </w:pPr>
          </w:p>
        </w:tc>
        <w:tc>
          <w:tcPr>
            <w:tcW w:w="200" w:type="dxa"/>
            <w:vAlign w:val="bottom"/>
            <w:tcBorders>
              <w:top w:val="single" w:sz="8" w:color="auto"/>
              <w:bottom w:val="single" w:sz="8" w:color="auto"/>
            </w:tcBorders>
            <w:shd w:val="clear" w:color="auto" w:fill="CCEEFF"/>
          </w:tcPr>
          <w:p>
            <w:pPr>
              <w:spacing w:after="0"/>
              <w:rPr>
                <w:sz w:val="23"/>
                <w:szCs w:val="23"/>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134,729</w:t>
            </w:r>
          </w:p>
        </w:tc>
        <w:tc>
          <w:tcPr>
            <w:tcW w:w="120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rPr>
              <w:t>88 %</w:t>
            </w:r>
          </w:p>
        </w:tc>
        <w:tc>
          <w:tcPr>
            <w:tcW w:w="220" w:type="dxa"/>
            <w:vAlign w:val="bottom"/>
            <w:tcBorders>
              <w:top w:val="single" w:sz="8" w:color="auto"/>
              <w:bottom w:val="single" w:sz="8" w:color="auto"/>
            </w:tcBorders>
            <w:shd w:val="clear" w:color="auto" w:fill="CCEEFF"/>
          </w:tcPr>
          <w:p>
            <w:pPr>
              <w:spacing w:after="0"/>
              <w:rPr>
                <w:sz w:val="23"/>
                <w:szCs w:val="23"/>
                <w:color w:val="auto"/>
              </w:rPr>
            </w:pPr>
          </w:p>
        </w:tc>
        <w:tc>
          <w:tcPr>
            <w:tcW w:w="920" w:type="dxa"/>
            <w:vAlign w:val="bottom"/>
            <w:tcBorders>
              <w:top w:val="single" w:sz="8" w:color="auto"/>
              <w:bottom w:val="single" w:sz="8" w:color="auto"/>
            </w:tcBorders>
            <w:shd w:val="clear" w:color="auto" w:fill="CCEEFF"/>
          </w:tcPr>
          <w:p>
            <w:pPr>
              <w:jc w:val="right"/>
              <w:ind w:right="21"/>
              <w:spacing w:after="0"/>
              <w:rPr>
                <w:sz w:val="20"/>
                <w:szCs w:val="20"/>
                <w:color w:val="auto"/>
              </w:rPr>
            </w:pPr>
            <w:r>
              <w:rPr>
                <w:rFonts w:ascii="Arial" w:cs="Arial" w:eastAsia="Arial" w:hAnsi="Arial"/>
                <w:sz w:val="20"/>
                <w:szCs w:val="20"/>
                <w:color w:val="auto"/>
              </w:rPr>
              <w:t>778,874</w:t>
            </w:r>
          </w:p>
        </w:tc>
        <w:tc>
          <w:tcPr>
            <w:tcW w:w="80" w:type="dxa"/>
            <w:vAlign w:val="bottom"/>
            <w:tcBorders>
              <w:top w:val="single" w:sz="8" w:color="CCEEFF"/>
            </w:tcBorders>
            <w:shd w:val="clear" w:color="auto" w:fill="CCEEFF"/>
          </w:tcPr>
          <w:p>
            <w:pPr>
              <w:spacing w:after="0"/>
              <w:rPr>
                <w:sz w:val="23"/>
                <w:szCs w:val="23"/>
                <w:color w:val="auto"/>
              </w:rPr>
            </w:pPr>
          </w:p>
        </w:tc>
        <w:tc>
          <w:tcPr>
            <w:tcW w:w="1160" w:type="dxa"/>
            <w:vAlign w:val="bottom"/>
            <w:tcBorders>
              <w:top w:val="single" w:sz="8" w:color="auto"/>
              <w:bottom w:val="single" w:sz="8" w:color="auto"/>
            </w:tcBorders>
            <w:shd w:val="clear" w:color="auto" w:fill="CCEEFF"/>
          </w:tcPr>
          <w:p>
            <w:pPr>
              <w:jc w:val="right"/>
              <w:ind w:right="41"/>
              <w:spacing w:after="0"/>
              <w:rPr>
                <w:sz w:val="20"/>
                <w:szCs w:val="20"/>
                <w:color w:val="auto"/>
              </w:rPr>
            </w:pPr>
            <w:r>
              <w:rPr>
                <w:rFonts w:ascii="Arial" w:cs="Arial" w:eastAsia="Arial" w:hAnsi="Arial"/>
                <w:sz w:val="20"/>
                <w:szCs w:val="20"/>
                <w:color w:val="auto"/>
              </w:rPr>
              <w:t>421,217</w:t>
            </w:r>
          </w:p>
        </w:tc>
        <w:tc>
          <w:tcPr>
            <w:tcW w:w="80" w:type="dxa"/>
            <w:vAlign w:val="bottom"/>
            <w:tcBorders>
              <w:top w:val="single" w:sz="8" w:color="CCEEFF"/>
            </w:tcBorders>
            <w:shd w:val="clear" w:color="auto" w:fill="CCEEFF"/>
          </w:tcPr>
          <w:p>
            <w:pPr>
              <w:spacing w:after="0"/>
              <w:rPr>
                <w:sz w:val="23"/>
                <w:szCs w:val="23"/>
                <w:color w:val="auto"/>
              </w:rPr>
            </w:pPr>
          </w:p>
        </w:tc>
        <w:tc>
          <w:tcPr>
            <w:tcW w:w="180" w:type="dxa"/>
            <w:vAlign w:val="bottom"/>
            <w:tcBorders>
              <w:top w:val="single" w:sz="8" w:color="auto"/>
              <w:bottom w:val="single" w:sz="8" w:color="auto"/>
            </w:tcBorders>
            <w:shd w:val="clear" w:color="auto" w:fill="CCEEFF"/>
          </w:tcPr>
          <w:p>
            <w:pPr>
              <w:spacing w:after="0"/>
              <w:rPr>
                <w:sz w:val="23"/>
                <w:szCs w:val="23"/>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357,657</w:t>
            </w:r>
          </w:p>
        </w:tc>
        <w:tc>
          <w:tcPr>
            <w:tcW w:w="102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rPr>
              <w:t>85 %</w:t>
            </w:r>
          </w:p>
        </w:tc>
        <w:tc>
          <w:tcPr>
            <w:tcW w:w="0" w:type="dxa"/>
            <w:vAlign w:val="bottom"/>
          </w:tcPr>
          <w:p>
            <w:pPr>
              <w:spacing w:after="0"/>
              <w:rPr>
                <w:sz w:val="1"/>
                <w:szCs w:val="1"/>
                <w:color w:val="auto"/>
              </w:rPr>
            </w:pPr>
          </w:p>
        </w:tc>
      </w:tr>
      <w:tr>
        <w:trPr>
          <w:trHeight w:val="250"/>
        </w:trPr>
        <w:tc>
          <w:tcPr>
            <w:tcW w:w="1900" w:type="dxa"/>
            <w:vAlign w:val="bottom"/>
            <w:tcBorders>
              <w:bottom w:val="single" w:sz="8" w:color="CCEEFF"/>
            </w:tcBorders>
          </w:tcPr>
          <w:p>
            <w:pPr>
              <w:ind w:left="560"/>
              <w:spacing w:after="0"/>
              <w:rPr>
                <w:sz w:val="20"/>
                <w:szCs w:val="20"/>
                <w:color w:val="auto"/>
              </w:rPr>
            </w:pPr>
            <w:r>
              <w:rPr>
                <w:rFonts w:ascii="Arial" w:cs="Arial" w:eastAsia="Arial" w:hAnsi="Arial"/>
                <w:sz w:val="20"/>
                <w:szCs w:val="20"/>
                <w:color w:val="auto"/>
              </w:rPr>
              <w:t>Gross profit</w:t>
            </w:r>
          </w:p>
        </w:tc>
        <w:tc>
          <w:tcPr>
            <w:tcW w:w="18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1"/>
              <w:spacing w:after="0"/>
              <w:rPr>
                <w:sz w:val="20"/>
                <w:szCs w:val="20"/>
                <w:color w:val="auto"/>
              </w:rPr>
            </w:pPr>
            <w:r>
              <w:rPr>
                <w:rFonts w:ascii="Arial" w:cs="Arial" w:eastAsia="Arial" w:hAnsi="Arial"/>
                <w:sz w:val="20"/>
                <w:szCs w:val="20"/>
                <w:color w:val="auto"/>
              </w:rPr>
              <w:t>105,671</w:t>
            </w:r>
          </w:p>
        </w:tc>
        <w:tc>
          <w:tcPr>
            <w:tcW w:w="80" w:type="dxa"/>
            <w:vAlign w:val="bottom"/>
            <w:tcBorders>
              <w:bottom w:val="single" w:sz="8" w:color="CCEEFF"/>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78,315</w:t>
            </w:r>
          </w:p>
        </w:tc>
        <w:tc>
          <w:tcPr>
            <w:tcW w:w="8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27,356</w:t>
            </w:r>
          </w:p>
        </w:tc>
        <w:tc>
          <w:tcPr>
            <w:tcW w:w="1200" w:type="dxa"/>
            <w:vAlign w:val="bottom"/>
            <w:tcBorders>
              <w:bottom w:val="single" w:sz="8" w:color="CCEEFF"/>
            </w:tcBorders>
          </w:tcPr>
          <w:p>
            <w:pPr>
              <w:jc w:val="right"/>
              <w:spacing w:after="0"/>
              <w:rPr>
                <w:sz w:val="20"/>
                <w:szCs w:val="20"/>
                <w:color w:val="auto"/>
              </w:rPr>
            </w:pPr>
            <w:r>
              <w:rPr>
                <w:rFonts w:ascii="Arial" w:cs="Arial" w:eastAsia="Arial" w:hAnsi="Arial"/>
                <w:sz w:val="20"/>
                <w:szCs w:val="20"/>
                <w:color w:val="auto"/>
              </w:rPr>
              <w:t>35 %</w:t>
            </w:r>
          </w:p>
        </w:tc>
        <w:tc>
          <w:tcPr>
            <w:tcW w:w="22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279,223</w:t>
            </w:r>
          </w:p>
        </w:tc>
        <w:tc>
          <w:tcPr>
            <w:tcW w:w="80" w:type="dxa"/>
            <w:vAlign w:val="bottom"/>
            <w:tcBorders>
              <w:bottom w:val="single" w:sz="8" w:color="CCEEFF"/>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219,358</w:t>
            </w:r>
          </w:p>
        </w:tc>
        <w:tc>
          <w:tcPr>
            <w:tcW w:w="8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59,865</w:t>
            </w:r>
          </w:p>
        </w:tc>
        <w:tc>
          <w:tcPr>
            <w:tcW w:w="1020" w:type="dxa"/>
            <w:vAlign w:val="bottom"/>
            <w:tcBorders>
              <w:bottom w:val="single" w:sz="8" w:color="CCEEFF"/>
            </w:tcBorders>
          </w:tcPr>
          <w:p>
            <w:pPr>
              <w:jc w:val="right"/>
              <w:spacing w:after="0"/>
              <w:rPr>
                <w:sz w:val="20"/>
                <w:szCs w:val="20"/>
                <w:color w:val="auto"/>
              </w:rPr>
            </w:pPr>
            <w:r>
              <w:rPr>
                <w:rFonts w:ascii="Arial" w:cs="Arial" w:eastAsia="Arial" w:hAnsi="Arial"/>
                <w:sz w:val="20"/>
                <w:szCs w:val="20"/>
                <w:color w:val="auto"/>
              </w:rPr>
              <w:t>27 %</w:t>
            </w:r>
          </w:p>
        </w:tc>
        <w:tc>
          <w:tcPr>
            <w:tcW w:w="0" w:type="dxa"/>
            <w:vAlign w:val="bottom"/>
          </w:tcPr>
          <w:p>
            <w:pPr>
              <w:spacing w:after="0"/>
              <w:rPr>
                <w:sz w:val="1"/>
                <w:szCs w:val="1"/>
                <w:color w:val="auto"/>
              </w:rPr>
            </w:pPr>
          </w:p>
        </w:tc>
      </w:tr>
      <w:tr>
        <w:trPr>
          <w:trHeight w:val="250"/>
        </w:trPr>
        <w:tc>
          <w:tcPr>
            <w:tcW w:w="19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1900" w:type="dxa"/>
            <w:vAlign w:val="bottom"/>
          </w:tcPr>
          <w:p>
            <w:pPr>
              <w:ind w:left="20"/>
              <w:spacing w:after="0"/>
              <w:rPr>
                <w:sz w:val="20"/>
                <w:szCs w:val="20"/>
                <w:color w:val="auto"/>
              </w:rPr>
            </w:pPr>
            <w:r>
              <w:rPr>
                <w:rFonts w:ascii="Arial" w:cs="Arial" w:eastAsia="Arial" w:hAnsi="Arial"/>
                <w:sz w:val="20"/>
                <w:szCs w:val="20"/>
                <w:color w:val="auto"/>
              </w:rPr>
              <w:t>Operating expenses</w:t>
            </w:r>
          </w:p>
        </w:tc>
        <w:tc>
          <w:tcPr>
            <w:tcW w:w="1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4"/>
        </w:trPr>
        <w:tc>
          <w:tcPr>
            <w:tcW w:w="1900" w:type="dxa"/>
            <w:vAlign w:val="bottom"/>
            <w:shd w:val="clear" w:color="auto" w:fill="CCEEFF"/>
          </w:tcPr>
          <w:p>
            <w:pPr>
              <w:ind w:left="20"/>
              <w:spacing w:after="0" w:line="194" w:lineRule="exact"/>
              <w:rPr>
                <w:sz w:val="20"/>
                <w:szCs w:val="20"/>
                <w:color w:val="auto"/>
              </w:rPr>
            </w:pPr>
            <w:r>
              <w:rPr>
                <w:rFonts w:ascii="Arial" w:cs="Arial" w:eastAsia="Arial" w:hAnsi="Arial"/>
                <w:sz w:val="20"/>
                <w:szCs w:val="20"/>
                <w:color w:val="auto"/>
              </w:rPr>
              <w:t>General and</w:t>
            </w:r>
          </w:p>
        </w:tc>
        <w:tc>
          <w:tcPr>
            <w:tcW w:w="180" w:type="dxa"/>
            <w:vAlign w:val="bottom"/>
            <w:shd w:val="clear" w:color="auto" w:fill="CCEEFF"/>
          </w:tcPr>
          <w:p>
            <w:pPr>
              <w:spacing w:after="0"/>
              <w:rPr>
                <w:sz w:val="16"/>
                <w:szCs w:val="16"/>
                <w:color w:val="auto"/>
              </w:rPr>
            </w:pPr>
          </w:p>
        </w:tc>
        <w:tc>
          <w:tcPr>
            <w:tcW w:w="920" w:type="dxa"/>
            <w:vAlign w:val="bottom"/>
            <w:vMerge w:val="restart"/>
            <w:shd w:val="clear" w:color="auto" w:fill="CCEEFF"/>
          </w:tcPr>
          <w:p>
            <w:pPr>
              <w:jc w:val="right"/>
              <w:ind w:right="1"/>
              <w:spacing w:after="0"/>
              <w:rPr>
                <w:sz w:val="20"/>
                <w:szCs w:val="20"/>
                <w:color w:val="auto"/>
              </w:rPr>
            </w:pPr>
            <w:r>
              <w:rPr>
                <w:rFonts w:ascii="Arial" w:cs="Arial" w:eastAsia="Arial" w:hAnsi="Arial"/>
                <w:sz w:val="20"/>
                <w:szCs w:val="20"/>
                <w:color w:val="auto"/>
              </w:rPr>
              <w:t>52,248</w:t>
            </w:r>
          </w:p>
        </w:tc>
        <w:tc>
          <w:tcPr>
            <w:tcW w:w="80" w:type="dxa"/>
            <w:vAlign w:val="bottom"/>
            <w:shd w:val="clear" w:color="auto" w:fill="CCEEFF"/>
          </w:tcPr>
          <w:p>
            <w:pPr>
              <w:spacing w:after="0"/>
              <w:rPr>
                <w:sz w:val="16"/>
                <w:szCs w:val="16"/>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20"/>
                <w:szCs w:val="20"/>
                <w:color w:val="auto"/>
              </w:rPr>
              <w:t>40,149</w:t>
            </w: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20"/>
                <w:szCs w:val="20"/>
                <w:color w:val="auto"/>
              </w:rPr>
              <w:t>12,099</w:t>
            </w: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20"/>
                <w:szCs w:val="20"/>
                <w:color w:val="auto"/>
              </w:rPr>
              <w:t>30 %</w:t>
            </w:r>
          </w:p>
        </w:tc>
        <w:tc>
          <w:tcPr>
            <w:tcW w:w="220" w:type="dxa"/>
            <w:vAlign w:val="bottom"/>
            <w:shd w:val="clear" w:color="auto" w:fill="CCEEFF"/>
          </w:tcPr>
          <w:p>
            <w:pPr>
              <w:spacing w:after="0"/>
              <w:rPr>
                <w:sz w:val="16"/>
                <w:szCs w:val="16"/>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20"/>
                <w:szCs w:val="20"/>
                <w:color w:val="auto"/>
              </w:rPr>
              <w:t>141,147</w:t>
            </w:r>
          </w:p>
        </w:tc>
        <w:tc>
          <w:tcPr>
            <w:tcW w:w="80" w:type="dxa"/>
            <w:vAlign w:val="bottom"/>
            <w:shd w:val="clear" w:color="auto" w:fill="CCEEFF"/>
          </w:tcPr>
          <w:p>
            <w:pPr>
              <w:spacing w:after="0"/>
              <w:rPr>
                <w:sz w:val="16"/>
                <w:szCs w:val="16"/>
                <w:color w:val="auto"/>
              </w:rPr>
            </w:pP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20"/>
                <w:szCs w:val="20"/>
                <w:color w:val="auto"/>
              </w:rPr>
              <w:t>114,904</w:t>
            </w: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20"/>
                <w:szCs w:val="20"/>
                <w:color w:val="auto"/>
              </w:rPr>
              <w:t>26,243</w:t>
            </w: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20"/>
                <w:szCs w:val="20"/>
                <w:color w:val="auto"/>
              </w:rPr>
              <w:t>23 %</w:t>
            </w:r>
          </w:p>
        </w:tc>
        <w:tc>
          <w:tcPr>
            <w:tcW w:w="0" w:type="dxa"/>
            <w:vAlign w:val="bottom"/>
          </w:tcPr>
          <w:p>
            <w:pPr>
              <w:spacing w:after="0"/>
              <w:rPr>
                <w:sz w:val="1"/>
                <w:szCs w:val="1"/>
                <w:color w:val="auto"/>
              </w:rPr>
            </w:pPr>
          </w:p>
        </w:tc>
      </w:tr>
      <w:tr>
        <w:trPr>
          <w:trHeight w:val="251"/>
        </w:trPr>
        <w:tc>
          <w:tcPr>
            <w:tcW w:w="1900" w:type="dxa"/>
            <w:vAlign w:val="bottom"/>
            <w:shd w:val="clear" w:color="auto" w:fill="CCEEFF"/>
          </w:tcPr>
          <w:p>
            <w:pPr>
              <w:ind w:left="20"/>
              <w:spacing w:after="0"/>
              <w:rPr>
                <w:sz w:val="20"/>
                <w:szCs w:val="20"/>
                <w:color w:val="auto"/>
              </w:rPr>
            </w:pPr>
            <w:r>
              <w:rPr>
                <w:rFonts w:ascii="Arial" w:cs="Arial" w:eastAsia="Arial" w:hAnsi="Arial"/>
                <w:sz w:val="20"/>
                <w:szCs w:val="20"/>
                <w:color w:val="auto"/>
              </w:rPr>
              <w:t>administrative</w:t>
            </w:r>
          </w:p>
        </w:tc>
        <w:tc>
          <w:tcPr>
            <w:tcW w:w="180" w:type="dxa"/>
            <w:vAlign w:val="bottom"/>
            <w:shd w:val="clear" w:color="auto" w:fill="CCEEFF"/>
          </w:tcPr>
          <w:p>
            <w:pPr>
              <w:spacing w:after="0"/>
              <w:rPr>
                <w:sz w:val="21"/>
                <w:szCs w:val="21"/>
                <w:color w:val="auto"/>
              </w:rPr>
            </w:pPr>
          </w:p>
        </w:tc>
        <w:tc>
          <w:tcPr>
            <w:tcW w:w="920" w:type="dxa"/>
            <w:vAlign w:val="bottom"/>
            <w:vMerge w:val="continue"/>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140" w:type="dxa"/>
            <w:vAlign w:val="bottom"/>
            <w:vMerge w:val="continue"/>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40" w:type="dxa"/>
            <w:vAlign w:val="bottom"/>
            <w:vMerge w:val="continue"/>
            <w:shd w:val="clear" w:color="auto" w:fill="CCEEFF"/>
          </w:tcPr>
          <w:p>
            <w:pPr>
              <w:spacing w:after="0"/>
              <w:rPr>
                <w:sz w:val="21"/>
                <w:szCs w:val="21"/>
                <w:color w:val="auto"/>
              </w:rPr>
            </w:pPr>
          </w:p>
        </w:tc>
        <w:tc>
          <w:tcPr>
            <w:tcW w:w="1200" w:type="dxa"/>
            <w:vAlign w:val="bottom"/>
            <w:vMerge w:val="continue"/>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20" w:type="dxa"/>
            <w:vAlign w:val="bottom"/>
            <w:vMerge w:val="continue"/>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160" w:type="dxa"/>
            <w:vAlign w:val="bottom"/>
            <w:vMerge w:val="continue"/>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40" w:type="dxa"/>
            <w:vAlign w:val="bottom"/>
            <w:vMerge w:val="continue"/>
            <w:shd w:val="clear" w:color="auto" w:fill="CCEEFF"/>
          </w:tcPr>
          <w:p>
            <w:pPr>
              <w:spacing w:after="0"/>
              <w:rPr>
                <w:sz w:val="21"/>
                <w:szCs w:val="21"/>
                <w:color w:val="auto"/>
              </w:rPr>
            </w:pPr>
          </w:p>
        </w:tc>
        <w:tc>
          <w:tcPr>
            <w:tcW w:w="102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94"/>
        </w:trPr>
        <w:tc>
          <w:tcPr>
            <w:tcW w:w="1900" w:type="dxa"/>
            <w:vAlign w:val="bottom"/>
          </w:tcPr>
          <w:p>
            <w:pPr>
              <w:ind w:left="20"/>
              <w:spacing w:after="0" w:line="194" w:lineRule="exact"/>
              <w:rPr>
                <w:sz w:val="20"/>
                <w:szCs w:val="20"/>
                <w:color w:val="auto"/>
              </w:rPr>
            </w:pPr>
            <w:r>
              <w:rPr>
                <w:rFonts w:ascii="Arial" w:cs="Arial" w:eastAsia="Arial" w:hAnsi="Arial"/>
                <w:sz w:val="20"/>
                <w:szCs w:val="20"/>
                <w:color w:val="auto"/>
              </w:rPr>
              <w:t>Change in fair value</w:t>
            </w:r>
          </w:p>
        </w:tc>
        <w:tc>
          <w:tcPr>
            <w:tcW w:w="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1900" w:type="dxa"/>
            <w:vAlign w:val="bottom"/>
          </w:tcPr>
          <w:p>
            <w:pPr>
              <w:ind w:left="20"/>
              <w:spacing w:after="0" w:line="197" w:lineRule="exact"/>
              <w:rPr>
                <w:sz w:val="20"/>
                <w:szCs w:val="20"/>
                <w:color w:val="auto"/>
              </w:rPr>
            </w:pPr>
            <w:r>
              <w:rPr>
                <w:rFonts w:ascii="Arial" w:cs="Arial" w:eastAsia="Arial" w:hAnsi="Arial"/>
                <w:sz w:val="20"/>
                <w:szCs w:val="20"/>
                <w:color w:val="auto"/>
              </w:rPr>
              <w:t>of contingent</w:t>
            </w:r>
          </w:p>
        </w:tc>
        <w:tc>
          <w:tcPr>
            <w:tcW w:w="180" w:type="dxa"/>
            <w:vAlign w:val="bottom"/>
          </w:tcPr>
          <w:p>
            <w:pPr>
              <w:spacing w:after="0"/>
              <w:rPr>
                <w:sz w:val="17"/>
                <w:szCs w:val="17"/>
                <w:color w:val="auto"/>
              </w:rPr>
            </w:pPr>
          </w:p>
        </w:tc>
        <w:tc>
          <w:tcPr>
            <w:tcW w:w="920" w:type="dxa"/>
            <w:vAlign w:val="bottom"/>
            <w:vMerge w:val="restart"/>
          </w:tcPr>
          <w:p>
            <w:pPr>
              <w:jc w:val="right"/>
              <w:ind w:right="1"/>
              <w:spacing w:after="0"/>
              <w:rPr>
                <w:sz w:val="20"/>
                <w:szCs w:val="20"/>
                <w:color w:val="auto"/>
              </w:rPr>
            </w:pPr>
            <w:r>
              <w:rPr>
                <w:rFonts w:ascii="Arial" w:cs="Arial" w:eastAsia="Arial" w:hAnsi="Arial"/>
                <w:sz w:val="20"/>
                <w:szCs w:val="20"/>
                <w:color w:val="auto"/>
              </w:rPr>
              <w:t>1,014</w:t>
            </w:r>
          </w:p>
        </w:tc>
        <w:tc>
          <w:tcPr>
            <w:tcW w:w="80" w:type="dxa"/>
            <w:vAlign w:val="bottom"/>
          </w:tcPr>
          <w:p>
            <w:pPr>
              <w:spacing w:after="0"/>
              <w:rPr>
                <w:sz w:val="17"/>
                <w:szCs w:val="17"/>
                <w:color w:val="auto"/>
              </w:rPr>
            </w:pPr>
          </w:p>
        </w:tc>
        <w:tc>
          <w:tcPr>
            <w:tcW w:w="1140" w:type="dxa"/>
            <w:vAlign w:val="bottom"/>
            <w:vMerge w:val="restart"/>
          </w:tcPr>
          <w:p>
            <w:pPr>
              <w:jc w:val="right"/>
              <w:spacing w:after="0"/>
              <w:rPr>
                <w:sz w:val="20"/>
                <w:szCs w:val="20"/>
                <w:color w:val="auto"/>
              </w:rPr>
            </w:pPr>
            <w:r>
              <w:rPr>
                <w:rFonts w:ascii="Arial" w:cs="Arial" w:eastAsia="Arial" w:hAnsi="Arial"/>
                <w:sz w:val="20"/>
                <w:szCs w:val="20"/>
                <w:color w:val="auto"/>
              </w:rPr>
              <w:t>(39)</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vMerge w:val="restart"/>
          </w:tcPr>
          <w:p>
            <w:pPr>
              <w:jc w:val="right"/>
              <w:spacing w:after="0"/>
              <w:rPr>
                <w:sz w:val="20"/>
                <w:szCs w:val="20"/>
                <w:color w:val="auto"/>
              </w:rPr>
            </w:pPr>
            <w:r>
              <w:rPr>
                <w:rFonts w:ascii="Arial" w:cs="Arial" w:eastAsia="Arial" w:hAnsi="Arial"/>
                <w:sz w:val="20"/>
                <w:szCs w:val="20"/>
                <w:color w:val="auto"/>
              </w:rPr>
              <w:t>1,053</w:t>
            </w:r>
          </w:p>
        </w:tc>
        <w:tc>
          <w:tcPr>
            <w:tcW w:w="1200" w:type="dxa"/>
            <w:vAlign w:val="bottom"/>
            <w:vMerge w:val="restart"/>
          </w:tcPr>
          <w:p>
            <w:pPr>
              <w:jc w:val="right"/>
              <w:spacing w:after="0"/>
              <w:rPr>
                <w:sz w:val="20"/>
                <w:szCs w:val="20"/>
                <w:color w:val="auto"/>
              </w:rPr>
            </w:pPr>
            <w:r>
              <w:rPr>
                <w:rFonts w:ascii="Arial" w:cs="Arial" w:eastAsia="Arial" w:hAnsi="Arial"/>
                <w:sz w:val="20"/>
                <w:szCs w:val="20"/>
                <w:color w:val="auto"/>
              </w:rPr>
              <w:t>(2700)%</w:t>
            </w:r>
          </w:p>
        </w:tc>
        <w:tc>
          <w:tcPr>
            <w:tcW w:w="220" w:type="dxa"/>
            <w:vAlign w:val="bottom"/>
          </w:tcPr>
          <w:p>
            <w:pPr>
              <w:spacing w:after="0"/>
              <w:rPr>
                <w:sz w:val="17"/>
                <w:szCs w:val="17"/>
                <w:color w:val="auto"/>
              </w:rPr>
            </w:pPr>
          </w:p>
        </w:tc>
        <w:tc>
          <w:tcPr>
            <w:tcW w:w="920" w:type="dxa"/>
            <w:vAlign w:val="bottom"/>
            <w:vMerge w:val="restart"/>
          </w:tcPr>
          <w:p>
            <w:pPr>
              <w:jc w:val="right"/>
              <w:spacing w:after="0"/>
              <w:rPr>
                <w:sz w:val="20"/>
                <w:szCs w:val="20"/>
                <w:color w:val="auto"/>
              </w:rPr>
            </w:pPr>
            <w:r>
              <w:rPr>
                <w:rFonts w:ascii="Arial" w:cs="Arial" w:eastAsia="Arial" w:hAnsi="Arial"/>
                <w:sz w:val="20"/>
                <w:szCs w:val="20"/>
                <w:color w:val="auto"/>
              </w:rPr>
              <w:t>1,014</w:t>
            </w:r>
          </w:p>
        </w:tc>
        <w:tc>
          <w:tcPr>
            <w:tcW w:w="80" w:type="dxa"/>
            <w:vAlign w:val="bottom"/>
          </w:tcPr>
          <w:p>
            <w:pPr>
              <w:spacing w:after="0"/>
              <w:rPr>
                <w:sz w:val="17"/>
                <w:szCs w:val="17"/>
                <w:color w:val="auto"/>
              </w:rPr>
            </w:pPr>
          </w:p>
        </w:tc>
        <w:tc>
          <w:tcPr>
            <w:tcW w:w="1160" w:type="dxa"/>
            <w:vAlign w:val="bottom"/>
            <w:vMerge w:val="restart"/>
          </w:tcPr>
          <w:p>
            <w:pPr>
              <w:jc w:val="right"/>
              <w:spacing w:after="0"/>
              <w:rPr>
                <w:sz w:val="20"/>
                <w:szCs w:val="20"/>
                <w:color w:val="auto"/>
              </w:rPr>
            </w:pPr>
            <w:r>
              <w:rPr>
                <w:rFonts w:ascii="Arial" w:cs="Arial" w:eastAsia="Arial" w:hAnsi="Arial"/>
                <w:sz w:val="20"/>
                <w:szCs w:val="20"/>
                <w:color w:val="auto"/>
              </w:rPr>
              <w:t>(271)</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vMerge w:val="restart"/>
          </w:tcPr>
          <w:p>
            <w:pPr>
              <w:jc w:val="right"/>
              <w:spacing w:after="0"/>
              <w:rPr>
                <w:sz w:val="20"/>
                <w:szCs w:val="20"/>
                <w:color w:val="auto"/>
              </w:rPr>
            </w:pPr>
            <w:r>
              <w:rPr>
                <w:rFonts w:ascii="Arial" w:cs="Arial" w:eastAsia="Arial" w:hAnsi="Arial"/>
                <w:sz w:val="20"/>
                <w:szCs w:val="20"/>
                <w:color w:val="auto"/>
              </w:rPr>
              <w:t>1,285</w:t>
            </w:r>
          </w:p>
        </w:tc>
        <w:tc>
          <w:tcPr>
            <w:tcW w:w="1020" w:type="dxa"/>
            <w:vAlign w:val="bottom"/>
            <w:vMerge w:val="restart"/>
          </w:tcPr>
          <w:p>
            <w:pPr>
              <w:jc w:val="right"/>
              <w:spacing w:after="0"/>
              <w:rPr>
                <w:sz w:val="20"/>
                <w:szCs w:val="20"/>
                <w:color w:val="auto"/>
              </w:rPr>
            </w:pPr>
            <w:r>
              <w:rPr>
                <w:rFonts w:ascii="Arial" w:cs="Arial" w:eastAsia="Arial" w:hAnsi="Arial"/>
                <w:sz w:val="20"/>
                <w:szCs w:val="20"/>
                <w:color w:val="auto"/>
              </w:rPr>
              <w:t>474 %</w:t>
            </w:r>
          </w:p>
        </w:tc>
        <w:tc>
          <w:tcPr>
            <w:tcW w:w="0" w:type="dxa"/>
            <w:vAlign w:val="bottom"/>
          </w:tcPr>
          <w:p>
            <w:pPr>
              <w:spacing w:after="0"/>
              <w:rPr>
                <w:sz w:val="1"/>
                <w:szCs w:val="1"/>
                <w:color w:val="auto"/>
              </w:rPr>
            </w:pPr>
          </w:p>
        </w:tc>
      </w:tr>
      <w:tr>
        <w:trPr>
          <w:trHeight w:val="256"/>
        </w:trPr>
        <w:tc>
          <w:tcPr>
            <w:tcW w:w="1900" w:type="dxa"/>
            <w:vAlign w:val="bottom"/>
          </w:tcPr>
          <w:p>
            <w:pPr>
              <w:ind w:left="20"/>
              <w:spacing w:after="0"/>
              <w:rPr>
                <w:sz w:val="20"/>
                <w:szCs w:val="20"/>
                <w:color w:val="auto"/>
              </w:rPr>
            </w:pPr>
            <w:r>
              <w:rPr>
                <w:rFonts w:ascii="Arial" w:cs="Arial" w:eastAsia="Arial" w:hAnsi="Arial"/>
                <w:sz w:val="20"/>
                <w:szCs w:val="20"/>
                <w:color w:val="auto"/>
              </w:rPr>
              <w:t>consideration</w:t>
            </w:r>
          </w:p>
        </w:tc>
        <w:tc>
          <w:tcPr>
            <w:tcW w:w="180" w:type="dxa"/>
            <w:vAlign w:val="bottom"/>
          </w:tcPr>
          <w:p>
            <w:pPr>
              <w:spacing w:after="0"/>
              <w:rPr>
                <w:sz w:val="22"/>
                <w:szCs w:val="22"/>
                <w:color w:val="auto"/>
              </w:rPr>
            </w:pPr>
          </w:p>
        </w:tc>
        <w:tc>
          <w:tcPr>
            <w:tcW w:w="920" w:type="dxa"/>
            <w:vAlign w:val="bottom"/>
            <w:vMerge w:val="continue"/>
          </w:tcPr>
          <w:p>
            <w:pPr>
              <w:spacing w:after="0"/>
              <w:rPr>
                <w:sz w:val="22"/>
                <w:szCs w:val="22"/>
                <w:color w:val="auto"/>
              </w:rPr>
            </w:pPr>
          </w:p>
        </w:tc>
        <w:tc>
          <w:tcPr>
            <w:tcW w:w="80" w:type="dxa"/>
            <w:vAlign w:val="bottom"/>
          </w:tcPr>
          <w:p>
            <w:pPr>
              <w:spacing w:after="0"/>
              <w:rPr>
                <w:sz w:val="22"/>
                <w:szCs w:val="22"/>
                <w:color w:val="auto"/>
              </w:rPr>
            </w:pPr>
          </w:p>
        </w:tc>
        <w:tc>
          <w:tcPr>
            <w:tcW w:w="1140" w:type="dxa"/>
            <w:vAlign w:val="bottom"/>
            <w:vMerge w:val="continue"/>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40" w:type="dxa"/>
            <w:vAlign w:val="bottom"/>
            <w:vMerge w:val="continue"/>
          </w:tcPr>
          <w:p>
            <w:pPr>
              <w:spacing w:after="0"/>
              <w:rPr>
                <w:sz w:val="22"/>
                <w:szCs w:val="22"/>
                <w:color w:val="auto"/>
              </w:rPr>
            </w:pPr>
          </w:p>
        </w:tc>
        <w:tc>
          <w:tcPr>
            <w:tcW w:w="1200" w:type="dxa"/>
            <w:vAlign w:val="bottom"/>
            <w:vMerge w:val="continue"/>
          </w:tcPr>
          <w:p>
            <w:pPr>
              <w:spacing w:after="0"/>
              <w:rPr>
                <w:sz w:val="22"/>
                <w:szCs w:val="22"/>
                <w:color w:val="auto"/>
              </w:rPr>
            </w:pPr>
          </w:p>
        </w:tc>
        <w:tc>
          <w:tcPr>
            <w:tcW w:w="220" w:type="dxa"/>
            <w:vAlign w:val="bottom"/>
          </w:tcPr>
          <w:p>
            <w:pPr>
              <w:spacing w:after="0"/>
              <w:rPr>
                <w:sz w:val="22"/>
                <w:szCs w:val="22"/>
                <w:color w:val="auto"/>
              </w:rPr>
            </w:pPr>
          </w:p>
        </w:tc>
        <w:tc>
          <w:tcPr>
            <w:tcW w:w="920" w:type="dxa"/>
            <w:vAlign w:val="bottom"/>
            <w:vMerge w:val="continue"/>
          </w:tcPr>
          <w:p>
            <w:pPr>
              <w:spacing w:after="0"/>
              <w:rPr>
                <w:sz w:val="22"/>
                <w:szCs w:val="22"/>
                <w:color w:val="auto"/>
              </w:rPr>
            </w:pPr>
          </w:p>
        </w:tc>
        <w:tc>
          <w:tcPr>
            <w:tcW w:w="80" w:type="dxa"/>
            <w:vAlign w:val="bottom"/>
          </w:tcPr>
          <w:p>
            <w:pPr>
              <w:spacing w:after="0"/>
              <w:rPr>
                <w:sz w:val="22"/>
                <w:szCs w:val="22"/>
                <w:color w:val="auto"/>
              </w:rPr>
            </w:pPr>
          </w:p>
        </w:tc>
        <w:tc>
          <w:tcPr>
            <w:tcW w:w="1160" w:type="dxa"/>
            <w:vAlign w:val="bottom"/>
            <w:vMerge w:val="continue"/>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40" w:type="dxa"/>
            <w:vAlign w:val="bottom"/>
            <w:vMerge w:val="continue"/>
          </w:tcPr>
          <w:p>
            <w:pPr>
              <w:spacing w:after="0"/>
              <w:rPr>
                <w:sz w:val="22"/>
                <w:szCs w:val="22"/>
                <w:color w:val="auto"/>
              </w:rPr>
            </w:pPr>
          </w:p>
        </w:tc>
        <w:tc>
          <w:tcPr>
            <w:tcW w:w="102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194"/>
        </w:trPr>
        <w:tc>
          <w:tcPr>
            <w:tcW w:w="1900" w:type="dxa"/>
            <w:vAlign w:val="bottom"/>
            <w:shd w:val="clear" w:color="auto" w:fill="CCEEFF"/>
          </w:tcPr>
          <w:p>
            <w:pPr>
              <w:ind w:left="20"/>
              <w:spacing w:after="0" w:line="194" w:lineRule="exact"/>
              <w:rPr>
                <w:sz w:val="20"/>
                <w:szCs w:val="20"/>
                <w:color w:val="auto"/>
              </w:rPr>
            </w:pPr>
            <w:r>
              <w:rPr>
                <w:rFonts w:ascii="Arial" w:cs="Arial" w:eastAsia="Arial" w:hAnsi="Arial"/>
                <w:sz w:val="20"/>
                <w:szCs w:val="20"/>
                <w:color w:val="auto"/>
              </w:rPr>
              <w:t>Depreciation and</w:t>
            </w:r>
          </w:p>
        </w:tc>
        <w:tc>
          <w:tcPr>
            <w:tcW w:w="180" w:type="dxa"/>
            <w:vAlign w:val="bottom"/>
            <w:shd w:val="clear" w:color="auto" w:fill="CCEEFF"/>
          </w:tcPr>
          <w:p>
            <w:pPr>
              <w:spacing w:after="0"/>
              <w:rPr>
                <w:sz w:val="16"/>
                <w:szCs w:val="16"/>
                <w:color w:val="auto"/>
              </w:rPr>
            </w:pPr>
          </w:p>
        </w:tc>
        <w:tc>
          <w:tcPr>
            <w:tcW w:w="920" w:type="dxa"/>
            <w:vAlign w:val="bottom"/>
            <w:vMerge w:val="restart"/>
            <w:shd w:val="clear" w:color="auto" w:fill="CCEEFF"/>
          </w:tcPr>
          <w:p>
            <w:pPr>
              <w:jc w:val="right"/>
              <w:ind w:right="1"/>
              <w:spacing w:after="0"/>
              <w:rPr>
                <w:sz w:val="20"/>
                <w:szCs w:val="20"/>
                <w:color w:val="auto"/>
              </w:rPr>
            </w:pPr>
            <w:r>
              <w:rPr>
                <w:rFonts w:ascii="Arial" w:cs="Arial" w:eastAsia="Arial" w:hAnsi="Arial"/>
                <w:sz w:val="20"/>
                <w:szCs w:val="20"/>
                <w:color w:val="auto"/>
              </w:rPr>
              <w:t>6,958</w:t>
            </w:r>
          </w:p>
        </w:tc>
        <w:tc>
          <w:tcPr>
            <w:tcW w:w="80" w:type="dxa"/>
            <w:vAlign w:val="bottom"/>
            <w:shd w:val="clear" w:color="auto" w:fill="CCEEFF"/>
          </w:tcPr>
          <w:p>
            <w:pPr>
              <w:spacing w:after="0"/>
              <w:rPr>
                <w:sz w:val="16"/>
                <w:szCs w:val="16"/>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20"/>
                <w:szCs w:val="20"/>
                <w:color w:val="auto"/>
              </w:rPr>
              <w:t>8,880</w:t>
            </w: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20"/>
                <w:szCs w:val="20"/>
                <w:color w:val="auto"/>
              </w:rPr>
              <w:t>(1,922)</w:t>
            </w: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20"/>
                <w:szCs w:val="20"/>
                <w:color w:val="auto"/>
              </w:rPr>
              <w:t>(22)%</w:t>
            </w:r>
          </w:p>
        </w:tc>
        <w:tc>
          <w:tcPr>
            <w:tcW w:w="220" w:type="dxa"/>
            <w:vAlign w:val="bottom"/>
            <w:shd w:val="clear" w:color="auto" w:fill="CCEEFF"/>
          </w:tcPr>
          <w:p>
            <w:pPr>
              <w:spacing w:after="0"/>
              <w:rPr>
                <w:sz w:val="16"/>
                <w:szCs w:val="16"/>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20"/>
                <w:szCs w:val="20"/>
                <w:color w:val="auto"/>
              </w:rPr>
              <w:t>17,951</w:t>
            </w:r>
          </w:p>
        </w:tc>
        <w:tc>
          <w:tcPr>
            <w:tcW w:w="80" w:type="dxa"/>
            <w:vAlign w:val="bottom"/>
            <w:shd w:val="clear" w:color="auto" w:fill="CCEEFF"/>
          </w:tcPr>
          <w:p>
            <w:pPr>
              <w:spacing w:after="0"/>
              <w:rPr>
                <w:sz w:val="16"/>
                <w:szCs w:val="16"/>
                <w:color w:val="auto"/>
              </w:rPr>
            </w:pP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20"/>
                <w:szCs w:val="20"/>
                <w:color w:val="auto"/>
              </w:rPr>
              <w:t>27,384</w:t>
            </w: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20"/>
                <w:szCs w:val="20"/>
                <w:color w:val="auto"/>
              </w:rPr>
              <w:t>(9,433)</w:t>
            </w: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20"/>
                <w:szCs w:val="20"/>
                <w:color w:val="auto"/>
              </w:rPr>
              <w:t>(34)%</w:t>
            </w:r>
          </w:p>
        </w:tc>
        <w:tc>
          <w:tcPr>
            <w:tcW w:w="0" w:type="dxa"/>
            <w:vAlign w:val="bottom"/>
          </w:tcPr>
          <w:p>
            <w:pPr>
              <w:spacing w:after="0"/>
              <w:rPr>
                <w:sz w:val="1"/>
                <w:szCs w:val="1"/>
                <w:color w:val="auto"/>
              </w:rPr>
            </w:pPr>
          </w:p>
        </w:tc>
      </w:tr>
      <w:tr>
        <w:trPr>
          <w:trHeight w:val="251"/>
        </w:trPr>
        <w:tc>
          <w:tcPr>
            <w:tcW w:w="1900" w:type="dxa"/>
            <w:vAlign w:val="bottom"/>
            <w:shd w:val="clear" w:color="auto" w:fill="CCEEFF"/>
          </w:tcPr>
          <w:p>
            <w:pPr>
              <w:ind w:left="20"/>
              <w:spacing w:after="0"/>
              <w:rPr>
                <w:sz w:val="20"/>
                <w:szCs w:val="20"/>
                <w:color w:val="auto"/>
              </w:rPr>
            </w:pPr>
            <w:r>
              <w:rPr>
                <w:rFonts w:ascii="Arial" w:cs="Arial" w:eastAsia="Arial" w:hAnsi="Arial"/>
                <w:sz w:val="20"/>
                <w:szCs w:val="20"/>
                <w:color w:val="auto"/>
              </w:rPr>
              <w:t>amortization</w:t>
            </w:r>
          </w:p>
        </w:tc>
        <w:tc>
          <w:tcPr>
            <w:tcW w:w="180" w:type="dxa"/>
            <w:vAlign w:val="bottom"/>
            <w:shd w:val="clear" w:color="auto" w:fill="CCEEFF"/>
          </w:tcPr>
          <w:p>
            <w:pPr>
              <w:spacing w:after="0"/>
              <w:rPr>
                <w:sz w:val="21"/>
                <w:szCs w:val="21"/>
                <w:color w:val="auto"/>
              </w:rPr>
            </w:pPr>
          </w:p>
        </w:tc>
        <w:tc>
          <w:tcPr>
            <w:tcW w:w="920" w:type="dxa"/>
            <w:vAlign w:val="bottom"/>
            <w:vMerge w:val="continue"/>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140" w:type="dxa"/>
            <w:vAlign w:val="bottom"/>
            <w:vMerge w:val="continue"/>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40" w:type="dxa"/>
            <w:vAlign w:val="bottom"/>
            <w:vMerge w:val="continue"/>
            <w:shd w:val="clear" w:color="auto" w:fill="CCEEFF"/>
          </w:tcPr>
          <w:p>
            <w:pPr>
              <w:spacing w:after="0"/>
              <w:rPr>
                <w:sz w:val="21"/>
                <w:szCs w:val="21"/>
                <w:color w:val="auto"/>
              </w:rPr>
            </w:pPr>
          </w:p>
        </w:tc>
        <w:tc>
          <w:tcPr>
            <w:tcW w:w="1200" w:type="dxa"/>
            <w:vAlign w:val="bottom"/>
            <w:vMerge w:val="continue"/>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20" w:type="dxa"/>
            <w:vAlign w:val="bottom"/>
            <w:vMerge w:val="continue"/>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160" w:type="dxa"/>
            <w:vAlign w:val="bottom"/>
            <w:vMerge w:val="continue"/>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40" w:type="dxa"/>
            <w:vAlign w:val="bottom"/>
            <w:vMerge w:val="continue"/>
            <w:shd w:val="clear" w:color="auto" w:fill="CCEEFF"/>
          </w:tcPr>
          <w:p>
            <w:pPr>
              <w:spacing w:after="0"/>
              <w:rPr>
                <w:sz w:val="21"/>
                <w:szCs w:val="21"/>
                <w:color w:val="auto"/>
              </w:rPr>
            </w:pPr>
          </w:p>
        </w:tc>
        <w:tc>
          <w:tcPr>
            <w:tcW w:w="102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1900" w:type="dxa"/>
            <w:vAlign w:val="bottom"/>
          </w:tcPr>
          <w:p>
            <w:pPr>
              <w:ind w:left="20"/>
              <w:spacing w:after="0"/>
              <w:rPr>
                <w:sz w:val="20"/>
                <w:szCs w:val="20"/>
                <w:color w:val="auto"/>
              </w:rPr>
            </w:pPr>
            <w:r>
              <w:rPr>
                <w:rFonts w:ascii="Arial" w:cs="Arial" w:eastAsia="Arial" w:hAnsi="Arial"/>
                <w:sz w:val="20"/>
                <w:szCs w:val="20"/>
                <w:color w:val="auto"/>
              </w:rPr>
              <w:t>Goodwill impairment</w:t>
            </w:r>
          </w:p>
        </w:tc>
        <w:tc>
          <w:tcPr>
            <w:tcW w:w="180" w:type="dxa"/>
            <w:vAlign w:val="bottom"/>
          </w:tcPr>
          <w:p>
            <w:pPr>
              <w:spacing w:after="0"/>
              <w:rPr>
                <w:sz w:val="22"/>
                <w:szCs w:val="22"/>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20"/>
                <w:szCs w:val="20"/>
                <w:color w:val="auto"/>
              </w:rPr>
              <w:t>—</w:t>
            </w:r>
          </w:p>
        </w:tc>
        <w:tc>
          <w:tcPr>
            <w:tcW w:w="1140" w:type="dxa"/>
            <w:vAlign w:val="bottom"/>
          </w:tcPr>
          <w:p>
            <w:pPr>
              <w:jc w:val="right"/>
              <w:spacing w:after="0"/>
              <w:rPr>
                <w:sz w:val="20"/>
                <w:szCs w:val="20"/>
                <w:color w:val="auto"/>
              </w:rPr>
            </w:pPr>
            <w:r>
              <w:rPr>
                <w:rFonts w:ascii="Arial" w:cs="Arial" w:eastAsia="Arial" w:hAnsi="Arial"/>
                <w:sz w:val="20"/>
                <w:szCs w:val="20"/>
                <w:color w:val="auto"/>
              </w:rPr>
              <w:t>162,000</w:t>
            </w: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20"/>
                <w:szCs w:val="20"/>
                <w:color w:val="auto"/>
              </w:rPr>
              <w:t>(162,000)</w:t>
            </w:r>
          </w:p>
        </w:tc>
        <w:tc>
          <w:tcPr>
            <w:tcW w:w="1200" w:type="dxa"/>
            <w:vAlign w:val="bottom"/>
          </w:tcPr>
          <w:p>
            <w:pPr>
              <w:jc w:val="right"/>
              <w:spacing w:after="0"/>
              <w:rPr>
                <w:sz w:val="20"/>
                <w:szCs w:val="20"/>
                <w:color w:val="auto"/>
              </w:rPr>
            </w:pPr>
            <w:r>
              <w:rPr>
                <w:rFonts w:ascii="Arial" w:cs="Arial" w:eastAsia="Arial" w:hAnsi="Arial"/>
                <w:sz w:val="20"/>
                <w:szCs w:val="20"/>
                <w:color w:val="auto"/>
              </w:rPr>
              <w:t>(100)%</w:t>
            </w:r>
          </w:p>
        </w:tc>
        <w:tc>
          <w:tcPr>
            <w:tcW w:w="220" w:type="dxa"/>
            <w:vAlign w:val="bottom"/>
          </w:tcPr>
          <w:p>
            <w:pPr>
              <w:spacing w:after="0"/>
              <w:rPr>
                <w:sz w:val="22"/>
                <w:szCs w:val="22"/>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20"/>
                <w:szCs w:val="20"/>
                <w:color w:val="auto"/>
              </w:rPr>
              <w:t>—</w:t>
            </w:r>
          </w:p>
        </w:tc>
        <w:tc>
          <w:tcPr>
            <w:tcW w:w="1160" w:type="dxa"/>
            <w:vAlign w:val="bottom"/>
          </w:tcPr>
          <w:p>
            <w:pPr>
              <w:jc w:val="right"/>
              <w:spacing w:after="0"/>
              <w:rPr>
                <w:sz w:val="20"/>
                <w:szCs w:val="20"/>
                <w:color w:val="auto"/>
              </w:rPr>
            </w:pPr>
            <w:r>
              <w:rPr>
                <w:rFonts w:ascii="Arial" w:cs="Arial" w:eastAsia="Arial" w:hAnsi="Arial"/>
                <w:sz w:val="20"/>
                <w:szCs w:val="20"/>
                <w:color w:val="auto"/>
              </w:rPr>
              <w:t>162,000</w:t>
            </w: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20"/>
                <w:szCs w:val="20"/>
                <w:color w:val="auto"/>
              </w:rPr>
              <w:t>(162,000)</w:t>
            </w:r>
          </w:p>
        </w:tc>
        <w:tc>
          <w:tcPr>
            <w:tcW w:w="1020" w:type="dxa"/>
            <w:vAlign w:val="bottom"/>
          </w:tcPr>
          <w:p>
            <w:pPr>
              <w:jc w:val="right"/>
              <w:spacing w:after="0"/>
              <w:rPr>
                <w:sz w:val="20"/>
                <w:szCs w:val="20"/>
                <w:color w:val="auto"/>
              </w:rPr>
            </w:pPr>
            <w:r>
              <w:rPr>
                <w:rFonts w:ascii="Arial" w:cs="Arial" w:eastAsia="Arial" w:hAnsi="Arial"/>
                <w:sz w:val="20"/>
                <w:szCs w:val="20"/>
                <w:color w:val="auto"/>
              </w:rPr>
              <w:t>(100)%</w:t>
            </w:r>
          </w:p>
        </w:tc>
        <w:tc>
          <w:tcPr>
            <w:tcW w:w="0" w:type="dxa"/>
            <w:vAlign w:val="bottom"/>
          </w:tcPr>
          <w:p>
            <w:pPr>
              <w:spacing w:after="0"/>
              <w:rPr>
                <w:sz w:val="1"/>
                <w:szCs w:val="1"/>
                <w:color w:val="auto"/>
              </w:rPr>
            </w:pPr>
          </w:p>
        </w:tc>
      </w:tr>
      <w:tr>
        <w:trPr>
          <w:trHeight w:val="174"/>
        </w:trPr>
        <w:tc>
          <w:tcPr>
            <w:tcW w:w="1900" w:type="dxa"/>
            <w:vAlign w:val="bottom"/>
            <w:tcBorders>
              <w:top w:val="single" w:sz="8" w:color="CCEEFF"/>
            </w:tcBorders>
            <w:shd w:val="clear" w:color="auto" w:fill="CCEEFF"/>
          </w:tcPr>
          <w:p>
            <w:pPr>
              <w:ind w:left="560"/>
              <w:spacing w:after="0" w:line="174" w:lineRule="exact"/>
              <w:rPr>
                <w:sz w:val="20"/>
                <w:szCs w:val="20"/>
                <w:color w:val="auto"/>
              </w:rPr>
            </w:pPr>
            <w:r>
              <w:rPr>
                <w:rFonts w:ascii="Arial" w:cs="Arial" w:eastAsia="Arial" w:hAnsi="Arial"/>
                <w:sz w:val="20"/>
                <w:szCs w:val="20"/>
                <w:color w:val="auto"/>
                <w:w w:val="98"/>
              </w:rPr>
              <w:t>Total operating</w:t>
            </w:r>
          </w:p>
        </w:tc>
        <w:tc>
          <w:tcPr>
            <w:tcW w:w="180" w:type="dxa"/>
            <w:vAlign w:val="bottom"/>
            <w:tcBorders>
              <w:top w:val="single" w:sz="8" w:color="auto"/>
            </w:tcBorders>
            <w:shd w:val="clear" w:color="auto" w:fill="CCEEFF"/>
          </w:tcPr>
          <w:p>
            <w:pPr>
              <w:spacing w:after="0"/>
              <w:rPr>
                <w:sz w:val="15"/>
                <w:szCs w:val="15"/>
                <w:color w:val="auto"/>
              </w:rPr>
            </w:pPr>
          </w:p>
        </w:tc>
        <w:tc>
          <w:tcPr>
            <w:tcW w:w="920" w:type="dxa"/>
            <w:vAlign w:val="bottom"/>
            <w:tcBorders>
              <w:top w:val="single" w:sz="8" w:color="auto"/>
            </w:tcBorders>
            <w:vMerge w:val="restart"/>
            <w:shd w:val="clear" w:color="auto" w:fill="CCEEFF"/>
          </w:tcPr>
          <w:p>
            <w:pPr>
              <w:jc w:val="right"/>
              <w:ind w:right="1"/>
              <w:spacing w:after="0"/>
              <w:rPr>
                <w:sz w:val="20"/>
                <w:szCs w:val="20"/>
                <w:color w:val="auto"/>
              </w:rPr>
            </w:pPr>
            <w:r>
              <w:rPr>
                <w:rFonts w:ascii="Arial" w:cs="Arial" w:eastAsia="Arial" w:hAnsi="Arial"/>
                <w:sz w:val="20"/>
                <w:szCs w:val="20"/>
                <w:color w:val="auto"/>
              </w:rPr>
              <w:t>60,220</w:t>
            </w:r>
          </w:p>
        </w:tc>
        <w:tc>
          <w:tcPr>
            <w:tcW w:w="80" w:type="dxa"/>
            <w:vAlign w:val="bottom"/>
            <w:tcBorders>
              <w:top w:val="single" w:sz="8" w:color="CCEEFF"/>
            </w:tcBorders>
            <w:shd w:val="clear" w:color="auto" w:fill="CCEEFF"/>
          </w:tcPr>
          <w:p>
            <w:pPr>
              <w:spacing w:after="0"/>
              <w:rPr>
                <w:sz w:val="15"/>
                <w:szCs w:val="15"/>
                <w:color w:val="auto"/>
              </w:rPr>
            </w:pPr>
          </w:p>
        </w:tc>
        <w:tc>
          <w:tcPr>
            <w:tcW w:w="11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20"/>
                <w:szCs w:val="20"/>
                <w:color w:val="auto"/>
              </w:rPr>
              <w:t>210,990</w:t>
            </w:r>
          </w:p>
        </w:tc>
        <w:tc>
          <w:tcPr>
            <w:tcW w:w="8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9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20"/>
                <w:szCs w:val="20"/>
                <w:color w:val="auto"/>
              </w:rPr>
              <w:t>(150,770)</w:t>
            </w:r>
          </w:p>
        </w:tc>
        <w:tc>
          <w:tcPr>
            <w:tcW w:w="1200" w:type="dxa"/>
            <w:vAlign w:val="bottom"/>
            <w:tcBorders>
              <w:top w:val="single" w:sz="8" w:color="CCEEFF"/>
            </w:tcBorders>
            <w:vMerge w:val="restart"/>
            <w:shd w:val="clear" w:color="auto" w:fill="CCEEFF"/>
          </w:tcPr>
          <w:p>
            <w:pPr>
              <w:jc w:val="right"/>
              <w:spacing w:after="0"/>
              <w:rPr>
                <w:sz w:val="20"/>
                <w:szCs w:val="20"/>
                <w:color w:val="auto"/>
              </w:rPr>
            </w:pPr>
            <w:r>
              <w:rPr>
                <w:rFonts w:ascii="Arial" w:cs="Arial" w:eastAsia="Arial" w:hAnsi="Arial"/>
                <w:sz w:val="20"/>
                <w:szCs w:val="20"/>
                <w:color w:val="auto"/>
              </w:rPr>
              <w:t>(71)%</w:t>
            </w:r>
          </w:p>
        </w:tc>
        <w:tc>
          <w:tcPr>
            <w:tcW w:w="220" w:type="dxa"/>
            <w:vAlign w:val="bottom"/>
            <w:tcBorders>
              <w:top w:val="single" w:sz="8" w:color="auto"/>
            </w:tcBorders>
            <w:shd w:val="clear" w:color="auto" w:fill="CCEEFF"/>
          </w:tcPr>
          <w:p>
            <w:pPr>
              <w:spacing w:after="0"/>
              <w:rPr>
                <w:sz w:val="15"/>
                <w:szCs w:val="15"/>
                <w:color w:val="auto"/>
              </w:rPr>
            </w:pPr>
          </w:p>
        </w:tc>
        <w:tc>
          <w:tcPr>
            <w:tcW w:w="9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20"/>
                <w:szCs w:val="20"/>
                <w:color w:val="auto"/>
              </w:rPr>
              <w:t>160,112</w:t>
            </w:r>
          </w:p>
        </w:tc>
        <w:tc>
          <w:tcPr>
            <w:tcW w:w="80" w:type="dxa"/>
            <w:vAlign w:val="bottom"/>
            <w:tcBorders>
              <w:top w:val="single" w:sz="8" w:color="CCEEFF"/>
            </w:tcBorders>
            <w:shd w:val="clear" w:color="auto" w:fill="CCEEFF"/>
          </w:tcPr>
          <w:p>
            <w:pPr>
              <w:spacing w:after="0"/>
              <w:rPr>
                <w:sz w:val="15"/>
                <w:szCs w:val="15"/>
                <w:color w:val="auto"/>
              </w:rPr>
            </w:pPr>
          </w:p>
        </w:tc>
        <w:tc>
          <w:tcPr>
            <w:tcW w:w="11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20"/>
                <w:szCs w:val="20"/>
                <w:color w:val="auto"/>
              </w:rPr>
              <w:t>304,017</w:t>
            </w:r>
          </w:p>
        </w:tc>
        <w:tc>
          <w:tcPr>
            <w:tcW w:w="8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9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20"/>
                <w:szCs w:val="20"/>
                <w:color w:val="auto"/>
              </w:rPr>
              <w:t>(143,905)</w:t>
            </w:r>
          </w:p>
        </w:tc>
        <w:tc>
          <w:tcPr>
            <w:tcW w:w="1020" w:type="dxa"/>
            <w:vAlign w:val="bottom"/>
            <w:tcBorders>
              <w:top w:val="single" w:sz="8" w:color="CCEEFF"/>
            </w:tcBorders>
            <w:vMerge w:val="restart"/>
            <w:shd w:val="clear" w:color="auto" w:fill="CCEEFF"/>
          </w:tcPr>
          <w:p>
            <w:pPr>
              <w:jc w:val="right"/>
              <w:spacing w:after="0"/>
              <w:rPr>
                <w:sz w:val="20"/>
                <w:szCs w:val="20"/>
                <w:color w:val="auto"/>
              </w:rPr>
            </w:pPr>
            <w:r>
              <w:rPr>
                <w:rFonts w:ascii="Arial" w:cs="Arial" w:eastAsia="Arial" w:hAnsi="Arial"/>
                <w:sz w:val="20"/>
                <w:szCs w:val="20"/>
                <w:color w:val="auto"/>
              </w:rPr>
              <w:t>(47)%</w:t>
            </w:r>
          </w:p>
        </w:tc>
        <w:tc>
          <w:tcPr>
            <w:tcW w:w="0" w:type="dxa"/>
            <w:vAlign w:val="bottom"/>
          </w:tcPr>
          <w:p>
            <w:pPr>
              <w:spacing w:after="0"/>
              <w:rPr>
                <w:sz w:val="1"/>
                <w:szCs w:val="1"/>
                <w:color w:val="auto"/>
              </w:rPr>
            </w:pPr>
          </w:p>
        </w:tc>
      </w:tr>
      <w:tr>
        <w:trPr>
          <w:trHeight w:val="251"/>
        </w:trPr>
        <w:tc>
          <w:tcPr>
            <w:tcW w:w="1900" w:type="dxa"/>
            <w:vAlign w:val="bottom"/>
            <w:shd w:val="clear" w:color="auto" w:fill="CCEEFF"/>
          </w:tcPr>
          <w:p>
            <w:pPr>
              <w:ind w:left="560"/>
              <w:spacing w:after="0"/>
              <w:rPr>
                <w:sz w:val="20"/>
                <w:szCs w:val="20"/>
                <w:color w:val="auto"/>
              </w:rPr>
            </w:pPr>
            <w:r>
              <w:rPr>
                <w:rFonts w:ascii="Arial" w:cs="Arial" w:eastAsia="Arial" w:hAnsi="Arial"/>
                <w:sz w:val="20"/>
                <w:szCs w:val="20"/>
                <w:color w:val="auto"/>
              </w:rPr>
              <w:t>expenses</w:t>
            </w:r>
          </w:p>
        </w:tc>
        <w:tc>
          <w:tcPr>
            <w:tcW w:w="18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vMerge w:val="continue"/>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140" w:type="dxa"/>
            <w:vAlign w:val="bottom"/>
            <w:tcBorders>
              <w:bottom w:val="single" w:sz="8" w:color="auto"/>
            </w:tcBorders>
            <w:vMerge w:val="continue"/>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vMerge w:val="continue"/>
            <w:shd w:val="clear" w:color="auto" w:fill="CCEEFF"/>
          </w:tcPr>
          <w:p>
            <w:pPr>
              <w:spacing w:after="0"/>
              <w:rPr>
                <w:sz w:val="21"/>
                <w:szCs w:val="21"/>
                <w:color w:val="auto"/>
              </w:rPr>
            </w:pPr>
          </w:p>
        </w:tc>
        <w:tc>
          <w:tcPr>
            <w:tcW w:w="1200" w:type="dxa"/>
            <w:vAlign w:val="bottom"/>
            <w:vMerge w:val="continue"/>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vMerge w:val="continue"/>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160" w:type="dxa"/>
            <w:vAlign w:val="bottom"/>
            <w:tcBorders>
              <w:bottom w:val="single" w:sz="8" w:color="auto"/>
            </w:tcBorders>
            <w:vMerge w:val="continue"/>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vMerge w:val="continue"/>
            <w:shd w:val="clear" w:color="auto" w:fill="CCEEFF"/>
          </w:tcPr>
          <w:p>
            <w:pPr>
              <w:spacing w:after="0"/>
              <w:rPr>
                <w:sz w:val="21"/>
                <w:szCs w:val="21"/>
                <w:color w:val="auto"/>
              </w:rPr>
            </w:pPr>
          </w:p>
        </w:tc>
        <w:tc>
          <w:tcPr>
            <w:tcW w:w="102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19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4"/>
        </w:trPr>
        <w:tc>
          <w:tcPr>
            <w:tcW w:w="1900" w:type="dxa"/>
            <w:vAlign w:val="bottom"/>
            <w:shd w:val="clear" w:color="auto" w:fill="CCEEFF"/>
          </w:tcPr>
          <w:p>
            <w:pPr>
              <w:ind w:left="20"/>
              <w:spacing w:after="0" w:line="194" w:lineRule="exact"/>
              <w:rPr>
                <w:sz w:val="20"/>
                <w:szCs w:val="20"/>
                <w:color w:val="auto"/>
              </w:rPr>
            </w:pPr>
            <w:r>
              <w:rPr>
                <w:rFonts w:ascii="Arial" w:cs="Arial" w:eastAsia="Arial" w:hAnsi="Arial"/>
                <w:sz w:val="20"/>
                <w:szCs w:val="20"/>
                <w:color w:val="auto"/>
              </w:rPr>
              <w:t>Income (loss) from</w:t>
            </w:r>
          </w:p>
        </w:tc>
        <w:tc>
          <w:tcPr>
            <w:tcW w:w="180" w:type="dxa"/>
            <w:vAlign w:val="bottom"/>
            <w:shd w:val="clear" w:color="auto" w:fill="CCEEFF"/>
          </w:tcPr>
          <w:p>
            <w:pPr>
              <w:spacing w:after="0"/>
              <w:rPr>
                <w:sz w:val="16"/>
                <w:szCs w:val="16"/>
                <w:color w:val="auto"/>
              </w:rPr>
            </w:pPr>
          </w:p>
        </w:tc>
        <w:tc>
          <w:tcPr>
            <w:tcW w:w="920" w:type="dxa"/>
            <w:vAlign w:val="bottom"/>
            <w:vMerge w:val="restart"/>
            <w:shd w:val="clear" w:color="auto" w:fill="CCEEFF"/>
          </w:tcPr>
          <w:p>
            <w:pPr>
              <w:jc w:val="right"/>
              <w:ind w:right="1"/>
              <w:spacing w:after="0"/>
              <w:rPr>
                <w:sz w:val="20"/>
                <w:szCs w:val="20"/>
                <w:color w:val="auto"/>
              </w:rPr>
            </w:pPr>
            <w:r>
              <w:rPr>
                <w:rFonts w:ascii="Arial" w:cs="Arial" w:eastAsia="Arial" w:hAnsi="Arial"/>
                <w:sz w:val="20"/>
                <w:szCs w:val="20"/>
                <w:color w:val="auto"/>
              </w:rPr>
              <w:t>45,451</w:t>
            </w:r>
          </w:p>
        </w:tc>
        <w:tc>
          <w:tcPr>
            <w:tcW w:w="80" w:type="dxa"/>
            <w:vAlign w:val="bottom"/>
            <w:shd w:val="clear" w:color="auto" w:fill="CCEEFF"/>
          </w:tcPr>
          <w:p>
            <w:pPr>
              <w:spacing w:after="0"/>
              <w:rPr>
                <w:sz w:val="16"/>
                <w:szCs w:val="16"/>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20"/>
                <w:szCs w:val="20"/>
                <w:color w:val="auto"/>
              </w:rPr>
              <w:t>(132,675)</w:t>
            </w: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20"/>
                <w:szCs w:val="20"/>
                <w:color w:val="auto"/>
              </w:rPr>
              <w:t>178,126</w:t>
            </w: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20"/>
                <w:szCs w:val="20"/>
                <w:color w:val="auto"/>
              </w:rPr>
              <w:t>(134)%</w:t>
            </w:r>
          </w:p>
        </w:tc>
        <w:tc>
          <w:tcPr>
            <w:tcW w:w="220" w:type="dxa"/>
            <w:vAlign w:val="bottom"/>
            <w:shd w:val="clear" w:color="auto" w:fill="CCEEFF"/>
          </w:tcPr>
          <w:p>
            <w:pPr>
              <w:spacing w:after="0"/>
              <w:rPr>
                <w:sz w:val="16"/>
                <w:szCs w:val="16"/>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20"/>
                <w:szCs w:val="20"/>
                <w:color w:val="auto"/>
              </w:rPr>
              <w:t>119,111</w:t>
            </w:r>
          </w:p>
        </w:tc>
        <w:tc>
          <w:tcPr>
            <w:tcW w:w="80" w:type="dxa"/>
            <w:vAlign w:val="bottom"/>
            <w:shd w:val="clear" w:color="auto" w:fill="CCEEFF"/>
          </w:tcPr>
          <w:p>
            <w:pPr>
              <w:spacing w:after="0"/>
              <w:rPr>
                <w:sz w:val="16"/>
                <w:szCs w:val="16"/>
                <w:color w:val="auto"/>
              </w:rPr>
            </w:pP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20"/>
                <w:szCs w:val="20"/>
                <w:color w:val="auto"/>
              </w:rPr>
              <w:t>(84,659)</w:t>
            </w: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20"/>
                <w:szCs w:val="20"/>
                <w:color w:val="auto"/>
              </w:rPr>
              <w:t>203,770</w:t>
            </w: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20"/>
                <w:szCs w:val="20"/>
                <w:color w:val="auto"/>
              </w:rPr>
              <w:t>(241)%</w:t>
            </w:r>
          </w:p>
        </w:tc>
        <w:tc>
          <w:tcPr>
            <w:tcW w:w="0" w:type="dxa"/>
            <w:vAlign w:val="bottom"/>
          </w:tcPr>
          <w:p>
            <w:pPr>
              <w:spacing w:after="0"/>
              <w:rPr>
                <w:sz w:val="1"/>
                <w:szCs w:val="1"/>
                <w:color w:val="auto"/>
              </w:rPr>
            </w:pPr>
          </w:p>
        </w:tc>
      </w:tr>
      <w:tr>
        <w:trPr>
          <w:trHeight w:val="251"/>
        </w:trPr>
        <w:tc>
          <w:tcPr>
            <w:tcW w:w="1900" w:type="dxa"/>
            <w:vAlign w:val="bottom"/>
            <w:shd w:val="clear" w:color="auto" w:fill="CCEEFF"/>
          </w:tcPr>
          <w:p>
            <w:pPr>
              <w:ind w:left="20"/>
              <w:spacing w:after="0"/>
              <w:rPr>
                <w:sz w:val="20"/>
                <w:szCs w:val="20"/>
                <w:color w:val="auto"/>
              </w:rPr>
            </w:pPr>
            <w:r>
              <w:rPr>
                <w:rFonts w:ascii="Arial" w:cs="Arial" w:eastAsia="Arial" w:hAnsi="Arial"/>
                <w:sz w:val="20"/>
                <w:szCs w:val="20"/>
                <w:color w:val="auto"/>
              </w:rPr>
              <w:t>operations</w:t>
            </w:r>
          </w:p>
        </w:tc>
        <w:tc>
          <w:tcPr>
            <w:tcW w:w="180" w:type="dxa"/>
            <w:vAlign w:val="bottom"/>
            <w:shd w:val="clear" w:color="auto" w:fill="CCEEFF"/>
          </w:tcPr>
          <w:p>
            <w:pPr>
              <w:spacing w:after="0"/>
              <w:rPr>
                <w:sz w:val="21"/>
                <w:szCs w:val="21"/>
                <w:color w:val="auto"/>
              </w:rPr>
            </w:pPr>
          </w:p>
        </w:tc>
        <w:tc>
          <w:tcPr>
            <w:tcW w:w="920" w:type="dxa"/>
            <w:vAlign w:val="bottom"/>
            <w:vMerge w:val="continue"/>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140" w:type="dxa"/>
            <w:vAlign w:val="bottom"/>
            <w:vMerge w:val="continue"/>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40" w:type="dxa"/>
            <w:vAlign w:val="bottom"/>
            <w:vMerge w:val="continue"/>
            <w:shd w:val="clear" w:color="auto" w:fill="CCEEFF"/>
          </w:tcPr>
          <w:p>
            <w:pPr>
              <w:spacing w:after="0"/>
              <w:rPr>
                <w:sz w:val="21"/>
                <w:szCs w:val="21"/>
                <w:color w:val="auto"/>
              </w:rPr>
            </w:pPr>
          </w:p>
        </w:tc>
        <w:tc>
          <w:tcPr>
            <w:tcW w:w="1200" w:type="dxa"/>
            <w:vAlign w:val="bottom"/>
            <w:vMerge w:val="continue"/>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20" w:type="dxa"/>
            <w:vAlign w:val="bottom"/>
            <w:vMerge w:val="continue"/>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160" w:type="dxa"/>
            <w:vAlign w:val="bottom"/>
            <w:vMerge w:val="continue"/>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40" w:type="dxa"/>
            <w:vAlign w:val="bottom"/>
            <w:vMerge w:val="continue"/>
            <w:shd w:val="clear" w:color="auto" w:fill="CCEEFF"/>
          </w:tcPr>
          <w:p>
            <w:pPr>
              <w:spacing w:after="0"/>
              <w:rPr>
                <w:sz w:val="21"/>
                <w:szCs w:val="21"/>
                <w:color w:val="auto"/>
              </w:rPr>
            </w:pPr>
          </w:p>
        </w:tc>
        <w:tc>
          <w:tcPr>
            <w:tcW w:w="102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19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1900" w:type="dxa"/>
            <w:vAlign w:val="bottom"/>
            <w:shd w:val="clear" w:color="auto" w:fill="CCEEFF"/>
          </w:tcPr>
          <w:p>
            <w:pPr>
              <w:ind w:left="20"/>
              <w:spacing w:after="0"/>
              <w:rPr>
                <w:sz w:val="20"/>
                <w:szCs w:val="20"/>
                <w:color w:val="auto"/>
              </w:rPr>
            </w:pPr>
            <w:r>
              <w:rPr>
                <w:rFonts w:ascii="Arial" w:cs="Arial" w:eastAsia="Arial" w:hAnsi="Arial"/>
                <w:sz w:val="20"/>
                <w:szCs w:val="20"/>
                <w:color w:val="auto"/>
              </w:rPr>
              <w:t>Interest income</w:t>
            </w:r>
          </w:p>
        </w:tc>
        <w:tc>
          <w:tcPr>
            <w:tcW w:w="180" w:type="dxa"/>
            <w:vAlign w:val="bottom"/>
            <w:shd w:val="clear" w:color="auto" w:fill="CCEEFF"/>
          </w:tcPr>
          <w:p>
            <w:pPr>
              <w:spacing w:after="0"/>
              <w:rPr>
                <w:sz w:val="22"/>
                <w:szCs w:val="22"/>
                <w:color w:val="auto"/>
              </w:rPr>
            </w:pPr>
          </w:p>
        </w:tc>
        <w:tc>
          <w:tcPr>
            <w:tcW w:w="920" w:type="dxa"/>
            <w:vAlign w:val="bottom"/>
            <w:shd w:val="clear" w:color="auto" w:fill="CCEEFF"/>
          </w:tcPr>
          <w:p>
            <w:pPr>
              <w:jc w:val="right"/>
              <w:ind w:right="1"/>
              <w:spacing w:after="0"/>
              <w:rPr>
                <w:sz w:val="20"/>
                <w:szCs w:val="20"/>
                <w:color w:val="auto"/>
              </w:rPr>
            </w:pPr>
            <w:r>
              <w:rPr>
                <w:rFonts w:ascii="Arial" w:cs="Arial" w:eastAsia="Arial" w:hAnsi="Arial"/>
                <w:sz w:val="20"/>
                <w:szCs w:val="20"/>
                <w:color w:val="auto"/>
              </w:rPr>
              <w:t>2,977</w:t>
            </w:r>
          </w:p>
        </w:tc>
        <w:tc>
          <w:tcPr>
            <w:tcW w:w="8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4,223</w:t>
            </w:r>
          </w:p>
        </w:tc>
        <w:tc>
          <w:tcPr>
            <w:tcW w:w="8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(1,246)</w:t>
            </w:r>
          </w:p>
        </w:tc>
        <w:tc>
          <w:tcPr>
            <w:tcW w:w="12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(30)%</w:t>
            </w:r>
          </w:p>
        </w:tc>
        <w:tc>
          <w:tcPr>
            <w:tcW w:w="220" w:type="dxa"/>
            <w:vAlign w:val="bottom"/>
            <w:shd w:val="clear" w:color="auto" w:fill="CCEEFF"/>
          </w:tcPr>
          <w:p>
            <w:pPr>
              <w:spacing w:after="0"/>
              <w:rPr>
                <w:sz w:val="22"/>
                <w:szCs w:val="22"/>
                <w:color w:val="auto"/>
              </w:rPr>
            </w:pPr>
          </w:p>
        </w:tc>
        <w:tc>
          <w:tcPr>
            <w:tcW w:w="920" w:type="dxa"/>
            <w:vAlign w:val="bottom"/>
            <w:shd w:val="clear" w:color="auto" w:fill="CCEEFF"/>
          </w:tcPr>
          <w:p>
            <w:pPr>
              <w:jc w:val="right"/>
              <w:ind w:right="21"/>
              <w:spacing w:after="0"/>
              <w:rPr>
                <w:sz w:val="20"/>
                <w:szCs w:val="20"/>
                <w:color w:val="auto"/>
              </w:rPr>
            </w:pPr>
            <w:r>
              <w:rPr>
                <w:rFonts w:ascii="Arial" w:cs="Arial" w:eastAsia="Arial" w:hAnsi="Arial"/>
                <w:sz w:val="20"/>
                <w:szCs w:val="20"/>
                <w:color w:val="auto"/>
              </w:rPr>
              <w:t>10,096</w:t>
            </w:r>
          </w:p>
        </w:tc>
        <w:tc>
          <w:tcPr>
            <w:tcW w:w="8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12,685</w:t>
            </w:r>
          </w:p>
        </w:tc>
        <w:tc>
          <w:tcPr>
            <w:tcW w:w="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(2,589)</w:t>
            </w:r>
          </w:p>
        </w:tc>
        <w:tc>
          <w:tcPr>
            <w:tcW w:w="10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(20)%</w:t>
            </w:r>
          </w:p>
        </w:tc>
        <w:tc>
          <w:tcPr>
            <w:tcW w:w="0" w:type="dxa"/>
            <w:vAlign w:val="bottom"/>
          </w:tcPr>
          <w:p>
            <w:pPr>
              <w:spacing w:after="0"/>
              <w:rPr>
                <w:sz w:val="1"/>
                <w:szCs w:val="1"/>
                <w:color w:val="auto"/>
              </w:rPr>
            </w:pPr>
          </w:p>
        </w:tc>
      </w:tr>
      <w:tr>
        <w:trPr>
          <w:trHeight w:val="256"/>
        </w:trPr>
        <w:tc>
          <w:tcPr>
            <w:tcW w:w="1900" w:type="dxa"/>
            <w:vAlign w:val="bottom"/>
          </w:tcPr>
          <w:p>
            <w:pPr>
              <w:ind w:left="20"/>
              <w:spacing w:after="0"/>
              <w:rPr>
                <w:sz w:val="20"/>
                <w:szCs w:val="20"/>
                <w:color w:val="auto"/>
              </w:rPr>
            </w:pPr>
            <w:r>
              <w:rPr>
                <w:rFonts w:ascii="Arial" w:cs="Arial" w:eastAsia="Arial" w:hAnsi="Arial"/>
                <w:sz w:val="20"/>
                <w:szCs w:val="20"/>
                <w:color w:val="auto"/>
              </w:rPr>
              <w:t>Interest expense</w:t>
            </w:r>
          </w:p>
        </w:tc>
        <w:tc>
          <w:tcPr>
            <w:tcW w:w="18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20"/>
                <w:szCs w:val="20"/>
                <w:color w:val="auto"/>
              </w:rPr>
              <w:t>(5,046)</w:t>
            </w:r>
          </w:p>
        </w:tc>
        <w:tc>
          <w:tcPr>
            <w:tcW w:w="8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20"/>
                <w:szCs w:val="20"/>
                <w:color w:val="auto"/>
              </w:rPr>
              <w:t>(8,264)</w:t>
            </w: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20"/>
                <w:szCs w:val="20"/>
                <w:color w:val="auto"/>
              </w:rPr>
              <w:t>3,218</w:t>
            </w:r>
          </w:p>
        </w:tc>
        <w:tc>
          <w:tcPr>
            <w:tcW w:w="1200" w:type="dxa"/>
            <w:vAlign w:val="bottom"/>
          </w:tcPr>
          <w:p>
            <w:pPr>
              <w:jc w:val="right"/>
              <w:spacing w:after="0"/>
              <w:rPr>
                <w:sz w:val="20"/>
                <w:szCs w:val="20"/>
                <w:color w:val="auto"/>
              </w:rPr>
            </w:pPr>
            <w:r>
              <w:rPr>
                <w:rFonts w:ascii="Arial" w:cs="Arial" w:eastAsia="Arial" w:hAnsi="Arial"/>
                <w:sz w:val="20"/>
                <w:szCs w:val="20"/>
                <w:color w:val="auto"/>
              </w:rPr>
              <w:t>39 %</w:t>
            </w:r>
          </w:p>
        </w:tc>
        <w:tc>
          <w:tcPr>
            <w:tcW w:w="22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20"/>
                <w:szCs w:val="20"/>
                <w:color w:val="auto"/>
              </w:rPr>
              <w:t>(21,849)</w:t>
            </w:r>
          </w:p>
        </w:tc>
        <w:tc>
          <w:tcPr>
            <w:tcW w:w="8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20"/>
                <w:szCs w:val="20"/>
                <w:color w:val="auto"/>
              </w:rPr>
              <w:t>(25,818)</w:t>
            </w: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20"/>
                <w:szCs w:val="20"/>
                <w:color w:val="auto"/>
              </w:rPr>
              <w:t>3,969</w:t>
            </w:r>
          </w:p>
        </w:tc>
        <w:tc>
          <w:tcPr>
            <w:tcW w:w="1020" w:type="dxa"/>
            <w:vAlign w:val="bottom"/>
          </w:tcPr>
          <w:p>
            <w:pPr>
              <w:jc w:val="right"/>
              <w:spacing w:after="0"/>
              <w:rPr>
                <w:sz w:val="20"/>
                <w:szCs w:val="20"/>
                <w:color w:val="auto"/>
              </w:rPr>
            </w:pPr>
            <w:r>
              <w:rPr>
                <w:rFonts w:ascii="Arial" w:cs="Arial" w:eastAsia="Arial" w:hAnsi="Arial"/>
                <w:sz w:val="20"/>
                <w:szCs w:val="20"/>
                <w:color w:val="auto"/>
              </w:rPr>
              <w:t>15 %</w:t>
            </w:r>
          </w:p>
        </w:tc>
        <w:tc>
          <w:tcPr>
            <w:tcW w:w="0" w:type="dxa"/>
            <w:vAlign w:val="bottom"/>
          </w:tcPr>
          <w:p>
            <w:pPr>
              <w:spacing w:after="0"/>
              <w:rPr>
                <w:sz w:val="1"/>
                <w:szCs w:val="1"/>
                <w:color w:val="auto"/>
              </w:rPr>
            </w:pPr>
          </w:p>
        </w:tc>
      </w:tr>
      <w:tr>
        <w:trPr>
          <w:trHeight w:val="194"/>
        </w:trPr>
        <w:tc>
          <w:tcPr>
            <w:tcW w:w="1900" w:type="dxa"/>
            <w:vAlign w:val="bottom"/>
            <w:shd w:val="clear" w:color="auto" w:fill="CCEEFF"/>
          </w:tcPr>
          <w:p>
            <w:pPr>
              <w:ind w:left="20"/>
              <w:spacing w:after="0" w:line="194" w:lineRule="exact"/>
              <w:rPr>
                <w:sz w:val="20"/>
                <w:szCs w:val="20"/>
                <w:color w:val="auto"/>
              </w:rPr>
            </w:pPr>
            <w:r>
              <w:rPr>
                <w:rFonts w:ascii="Arial" w:cs="Arial" w:eastAsia="Arial" w:hAnsi="Arial"/>
                <w:sz w:val="20"/>
                <w:szCs w:val="20"/>
                <w:color w:val="auto"/>
              </w:rPr>
              <w:t>Foreign currency</w:t>
            </w:r>
          </w:p>
        </w:tc>
        <w:tc>
          <w:tcPr>
            <w:tcW w:w="180" w:type="dxa"/>
            <w:vAlign w:val="bottom"/>
            <w:shd w:val="clear" w:color="auto" w:fill="CCEEFF"/>
          </w:tcPr>
          <w:p>
            <w:pPr>
              <w:spacing w:after="0"/>
              <w:rPr>
                <w:sz w:val="16"/>
                <w:szCs w:val="16"/>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20"/>
                <w:szCs w:val="20"/>
                <w:color w:val="auto"/>
              </w:rPr>
              <w:t>(6)</w:t>
            </w:r>
          </w:p>
        </w:tc>
        <w:tc>
          <w:tcPr>
            <w:tcW w:w="80" w:type="dxa"/>
            <w:vAlign w:val="bottom"/>
            <w:shd w:val="clear" w:color="auto" w:fill="CCEEFF"/>
          </w:tcPr>
          <w:p>
            <w:pPr>
              <w:spacing w:after="0"/>
              <w:rPr>
                <w:sz w:val="16"/>
                <w:szCs w:val="16"/>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20"/>
                <w:szCs w:val="20"/>
                <w:color w:val="auto"/>
              </w:rPr>
              <w:t>(106)</w:t>
            </w: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20"/>
                <w:szCs w:val="20"/>
                <w:color w:val="auto"/>
              </w:rPr>
              <w:t>100</w:t>
            </w: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20"/>
                <w:szCs w:val="20"/>
                <w:color w:val="auto"/>
              </w:rPr>
              <w:t>94 %</w:t>
            </w:r>
          </w:p>
        </w:tc>
        <w:tc>
          <w:tcPr>
            <w:tcW w:w="220" w:type="dxa"/>
            <w:vAlign w:val="bottom"/>
            <w:shd w:val="clear" w:color="auto" w:fill="CCEEFF"/>
          </w:tcPr>
          <w:p>
            <w:pPr>
              <w:spacing w:after="0"/>
              <w:rPr>
                <w:sz w:val="16"/>
                <w:szCs w:val="16"/>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20"/>
                <w:szCs w:val="20"/>
                <w:color w:val="auto"/>
              </w:rPr>
              <w:t>2,026</w:t>
            </w:r>
          </w:p>
        </w:tc>
        <w:tc>
          <w:tcPr>
            <w:tcW w:w="80" w:type="dxa"/>
            <w:vAlign w:val="bottom"/>
            <w:shd w:val="clear" w:color="auto" w:fill="CCEEFF"/>
          </w:tcPr>
          <w:p>
            <w:pPr>
              <w:spacing w:after="0"/>
              <w:rPr>
                <w:sz w:val="16"/>
                <w:szCs w:val="16"/>
                <w:color w:val="auto"/>
              </w:rPr>
            </w:pP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20"/>
                <w:szCs w:val="20"/>
                <w:color w:val="auto"/>
              </w:rPr>
              <w:t>(1,073)</w:t>
            </w: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20"/>
                <w:szCs w:val="20"/>
                <w:color w:val="auto"/>
              </w:rPr>
              <w:t>3,099</w:t>
            </w: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20"/>
                <w:szCs w:val="20"/>
                <w:color w:val="auto"/>
              </w:rPr>
              <w:t>289 %</w:t>
            </w:r>
          </w:p>
        </w:tc>
        <w:tc>
          <w:tcPr>
            <w:tcW w:w="0" w:type="dxa"/>
            <w:vAlign w:val="bottom"/>
          </w:tcPr>
          <w:p>
            <w:pPr>
              <w:spacing w:after="0"/>
              <w:rPr>
                <w:sz w:val="1"/>
                <w:szCs w:val="1"/>
                <w:color w:val="auto"/>
              </w:rPr>
            </w:pPr>
          </w:p>
        </w:tc>
      </w:tr>
      <w:tr>
        <w:trPr>
          <w:trHeight w:val="251"/>
        </w:trPr>
        <w:tc>
          <w:tcPr>
            <w:tcW w:w="1900" w:type="dxa"/>
            <w:vAlign w:val="bottom"/>
            <w:shd w:val="clear" w:color="auto" w:fill="CCEEFF"/>
          </w:tcPr>
          <w:p>
            <w:pPr>
              <w:ind w:left="20"/>
              <w:spacing w:after="0"/>
              <w:rPr>
                <w:sz w:val="20"/>
                <w:szCs w:val="20"/>
                <w:color w:val="auto"/>
              </w:rPr>
            </w:pPr>
            <w:r>
              <w:rPr>
                <w:rFonts w:ascii="Arial" w:cs="Arial" w:eastAsia="Arial" w:hAnsi="Arial"/>
                <w:sz w:val="20"/>
                <w:szCs w:val="20"/>
                <w:color w:val="auto"/>
              </w:rPr>
              <w:t>(loss) gain, net</w:t>
            </w:r>
          </w:p>
        </w:tc>
        <w:tc>
          <w:tcPr>
            <w:tcW w:w="180" w:type="dxa"/>
            <w:vAlign w:val="bottom"/>
            <w:shd w:val="clear" w:color="auto" w:fill="CCEEFF"/>
          </w:tcPr>
          <w:p>
            <w:pPr>
              <w:spacing w:after="0"/>
              <w:rPr>
                <w:sz w:val="21"/>
                <w:szCs w:val="21"/>
                <w:color w:val="auto"/>
              </w:rPr>
            </w:pPr>
          </w:p>
        </w:tc>
        <w:tc>
          <w:tcPr>
            <w:tcW w:w="920" w:type="dxa"/>
            <w:vAlign w:val="bottom"/>
            <w:vMerge w:val="continue"/>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140" w:type="dxa"/>
            <w:vAlign w:val="bottom"/>
            <w:vMerge w:val="continue"/>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40" w:type="dxa"/>
            <w:vAlign w:val="bottom"/>
            <w:vMerge w:val="continue"/>
            <w:shd w:val="clear" w:color="auto" w:fill="CCEEFF"/>
          </w:tcPr>
          <w:p>
            <w:pPr>
              <w:spacing w:after="0"/>
              <w:rPr>
                <w:sz w:val="21"/>
                <w:szCs w:val="21"/>
                <w:color w:val="auto"/>
              </w:rPr>
            </w:pPr>
          </w:p>
        </w:tc>
        <w:tc>
          <w:tcPr>
            <w:tcW w:w="1200" w:type="dxa"/>
            <w:vAlign w:val="bottom"/>
            <w:vMerge w:val="continue"/>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20" w:type="dxa"/>
            <w:vAlign w:val="bottom"/>
            <w:vMerge w:val="continue"/>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160" w:type="dxa"/>
            <w:vAlign w:val="bottom"/>
            <w:vMerge w:val="continue"/>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40" w:type="dxa"/>
            <w:vAlign w:val="bottom"/>
            <w:vMerge w:val="continue"/>
            <w:shd w:val="clear" w:color="auto" w:fill="CCEEFF"/>
          </w:tcPr>
          <w:p>
            <w:pPr>
              <w:spacing w:after="0"/>
              <w:rPr>
                <w:sz w:val="21"/>
                <w:szCs w:val="21"/>
                <w:color w:val="auto"/>
              </w:rPr>
            </w:pPr>
          </w:p>
        </w:tc>
        <w:tc>
          <w:tcPr>
            <w:tcW w:w="102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94"/>
        </w:trPr>
        <w:tc>
          <w:tcPr>
            <w:tcW w:w="1900" w:type="dxa"/>
            <w:vAlign w:val="bottom"/>
          </w:tcPr>
          <w:p>
            <w:pPr>
              <w:ind w:left="20"/>
              <w:spacing w:after="0" w:line="194" w:lineRule="exact"/>
              <w:rPr>
                <w:sz w:val="20"/>
                <w:szCs w:val="20"/>
                <w:color w:val="auto"/>
              </w:rPr>
            </w:pPr>
            <w:r>
              <w:rPr>
                <w:rFonts w:ascii="Arial" w:cs="Arial" w:eastAsia="Arial" w:hAnsi="Arial"/>
                <w:sz w:val="20"/>
                <w:szCs w:val="20"/>
                <w:color w:val="auto"/>
              </w:rPr>
              <w:t>Gain on</w:t>
            </w:r>
          </w:p>
        </w:tc>
        <w:tc>
          <w:tcPr>
            <w:tcW w:w="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1900" w:type="dxa"/>
            <w:vAlign w:val="bottom"/>
          </w:tcPr>
          <w:p>
            <w:pPr>
              <w:ind w:left="20"/>
              <w:spacing w:after="0" w:line="197" w:lineRule="exact"/>
              <w:rPr>
                <w:sz w:val="20"/>
                <w:szCs w:val="20"/>
                <w:color w:val="auto"/>
              </w:rPr>
            </w:pPr>
            <w:r>
              <w:rPr>
                <w:rFonts w:ascii="Arial" w:cs="Arial" w:eastAsia="Arial" w:hAnsi="Arial"/>
                <w:sz w:val="20"/>
                <w:szCs w:val="20"/>
                <w:color w:val="auto"/>
              </w:rPr>
              <w:t>extinguishment of</w:t>
            </w:r>
          </w:p>
        </w:tc>
        <w:tc>
          <w:tcPr>
            <w:tcW w:w="180" w:type="dxa"/>
            <w:vAlign w:val="bottom"/>
          </w:tcPr>
          <w:p>
            <w:pPr>
              <w:spacing w:after="0"/>
              <w:rPr>
                <w:sz w:val="17"/>
                <w:szCs w:val="17"/>
                <w:color w:val="auto"/>
              </w:rPr>
            </w:pPr>
          </w:p>
        </w:tc>
        <w:tc>
          <w:tcPr>
            <w:tcW w:w="1000" w:type="dxa"/>
            <w:vAlign w:val="bottom"/>
            <w:gridSpan w:val="2"/>
            <w:vMerge w:val="restart"/>
          </w:tcPr>
          <w:p>
            <w:pPr>
              <w:jc w:val="right"/>
              <w:ind w:right="180"/>
              <w:spacing w:after="0"/>
              <w:rPr>
                <w:sz w:val="20"/>
                <w:szCs w:val="20"/>
                <w:color w:val="auto"/>
              </w:rPr>
            </w:pPr>
            <w:r>
              <w:rPr>
                <w:rFonts w:ascii="Arial" w:cs="Arial" w:eastAsia="Arial" w:hAnsi="Arial"/>
                <w:sz w:val="20"/>
                <w:szCs w:val="20"/>
                <w:color w:val="auto"/>
              </w:rPr>
              <w:t>—</w:t>
            </w:r>
          </w:p>
        </w:tc>
        <w:tc>
          <w:tcPr>
            <w:tcW w:w="1220" w:type="dxa"/>
            <w:vAlign w:val="bottom"/>
            <w:gridSpan w:val="2"/>
            <w:vMerge w:val="restart"/>
          </w:tcPr>
          <w:p>
            <w:pPr>
              <w:jc w:val="right"/>
              <w:ind w:right="160"/>
              <w:spacing w:after="0"/>
              <w:rPr>
                <w:sz w:val="20"/>
                <w:szCs w:val="20"/>
                <w:color w:val="auto"/>
              </w:rPr>
            </w:pPr>
            <w:r>
              <w:rPr>
                <w:rFonts w:ascii="Arial" w:cs="Arial" w:eastAsia="Arial" w:hAnsi="Arial"/>
                <w:sz w:val="20"/>
                <w:szCs w:val="20"/>
                <w:color w:val="auto"/>
              </w:rPr>
              <w:t>—</w:t>
            </w:r>
          </w:p>
        </w:tc>
        <w:tc>
          <w:tcPr>
            <w:tcW w:w="200" w:type="dxa"/>
            <w:vAlign w:val="bottom"/>
          </w:tcPr>
          <w:p>
            <w:pPr>
              <w:spacing w:after="0"/>
              <w:rPr>
                <w:sz w:val="17"/>
                <w:szCs w:val="17"/>
                <w:color w:val="auto"/>
              </w:rPr>
            </w:pPr>
          </w:p>
        </w:tc>
        <w:tc>
          <w:tcPr>
            <w:tcW w:w="940" w:type="dxa"/>
            <w:vAlign w:val="bottom"/>
            <w:vMerge w:val="restart"/>
          </w:tcPr>
          <w:p>
            <w:pPr>
              <w:jc w:val="right"/>
              <w:spacing w:after="0"/>
              <w:rPr>
                <w:sz w:val="20"/>
                <w:szCs w:val="20"/>
                <w:color w:val="auto"/>
              </w:rPr>
            </w:pPr>
            <w:r>
              <w:rPr>
                <w:rFonts w:ascii="Arial" w:cs="Arial" w:eastAsia="Arial" w:hAnsi="Arial"/>
                <w:sz w:val="20"/>
                <w:szCs w:val="20"/>
                <w:color w:val="auto"/>
              </w:rPr>
              <w:t>—</w:t>
            </w:r>
          </w:p>
        </w:tc>
        <w:tc>
          <w:tcPr>
            <w:tcW w:w="1420" w:type="dxa"/>
            <w:vAlign w:val="bottom"/>
            <w:gridSpan w:val="2"/>
            <w:vMerge w:val="restart"/>
          </w:tcPr>
          <w:p>
            <w:pPr>
              <w:jc w:val="right"/>
              <w:ind w:right="201"/>
              <w:spacing w:after="0"/>
              <w:rPr>
                <w:sz w:val="20"/>
                <w:szCs w:val="20"/>
                <w:color w:val="auto"/>
              </w:rPr>
            </w:pPr>
            <w:r>
              <w:rPr>
                <w:rFonts w:ascii="Arial" w:cs="Arial" w:eastAsia="Arial" w:hAnsi="Arial"/>
                <w:sz w:val="20"/>
                <w:szCs w:val="20"/>
                <w:color w:val="auto"/>
              </w:rPr>
              <w:t>— %</w:t>
            </w:r>
          </w:p>
        </w:tc>
        <w:tc>
          <w:tcPr>
            <w:tcW w:w="920" w:type="dxa"/>
            <w:vAlign w:val="bottom"/>
            <w:vMerge w:val="restart"/>
          </w:tcPr>
          <w:p>
            <w:pPr>
              <w:jc w:val="right"/>
              <w:spacing w:after="0"/>
              <w:rPr>
                <w:sz w:val="20"/>
                <w:szCs w:val="20"/>
                <w:color w:val="auto"/>
              </w:rPr>
            </w:pPr>
            <w:r>
              <w:rPr>
                <w:rFonts w:ascii="Arial" w:cs="Arial" w:eastAsia="Arial" w:hAnsi="Arial"/>
                <w:sz w:val="20"/>
                <w:szCs w:val="20"/>
                <w:color w:val="auto"/>
              </w:rPr>
              <w:t>14,207</w:t>
            </w:r>
          </w:p>
        </w:tc>
        <w:tc>
          <w:tcPr>
            <w:tcW w:w="80" w:type="dxa"/>
            <w:vAlign w:val="bottom"/>
          </w:tcPr>
          <w:p>
            <w:pPr>
              <w:spacing w:after="0"/>
              <w:rPr>
                <w:sz w:val="17"/>
                <w:szCs w:val="17"/>
                <w:color w:val="auto"/>
              </w:rPr>
            </w:pPr>
          </w:p>
        </w:tc>
        <w:tc>
          <w:tcPr>
            <w:tcW w:w="1240" w:type="dxa"/>
            <w:vAlign w:val="bottom"/>
            <w:gridSpan w:val="2"/>
            <w:vMerge w:val="restart"/>
          </w:tcPr>
          <w:p>
            <w:pPr>
              <w:jc w:val="right"/>
              <w:ind w:right="160"/>
              <w:spacing w:after="0"/>
              <w:rPr>
                <w:sz w:val="20"/>
                <w:szCs w:val="20"/>
                <w:color w:val="auto"/>
              </w:rPr>
            </w:pPr>
            <w:r>
              <w:rPr>
                <w:rFonts w:ascii="Arial" w:cs="Arial" w:eastAsia="Arial" w:hAnsi="Arial"/>
                <w:sz w:val="20"/>
                <w:szCs w:val="20"/>
                <w:color w:val="auto"/>
              </w:rPr>
              <w:t>—</w:t>
            </w:r>
          </w:p>
        </w:tc>
        <w:tc>
          <w:tcPr>
            <w:tcW w:w="180" w:type="dxa"/>
            <w:vAlign w:val="bottom"/>
          </w:tcPr>
          <w:p>
            <w:pPr>
              <w:spacing w:after="0"/>
              <w:rPr>
                <w:sz w:val="17"/>
                <w:szCs w:val="17"/>
                <w:color w:val="auto"/>
              </w:rPr>
            </w:pPr>
          </w:p>
        </w:tc>
        <w:tc>
          <w:tcPr>
            <w:tcW w:w="940" w:type="dxa"/>
            <w:vAlign w:val="bottom"/>
            <w:vMerge w:val="restart"/>
          </w:tcPr>
          <w:p>
            <w:pPr>
              <w:jc w:val="right"/>
              <w:spacing w:after="0"/>
              <w:rPr>
                <w:sz w:val="20"/>
                <w:szCs w:val="20"/>
                <w:color w:val="auto"/>
              </w:rPr>
            </w:pPr>
            <w:r>
              <w:rPr>
                <w:rFonts w:ascii="Arial" w:cs="Arial" w:eastAsia="Arial" w:hAnsi="Arial"/>
                <w:sz w:val="20"/>
                <w:szCs w:val="20"/>
                <w:color w:val="auto"/>
              </w:rPr>
              <w:t>14,207</w:t>
            </w:r>
          </w:p>
        </w:tc>
        <w:tc>
          <w:tcPr>
            <w:tcW w:w="1020" w:type="dxa"/>
            <w:vAlign w:val="bottom"/>
            <w:vMerge w:val="restart"/>
          </w:tcPr>
          <w:p>
            <w:pPr>
              <w:jc w:val="right"/>
              <w:spacing w:after="0"/>
              <w:rPr>
                <w:sz w:val="20"/>
                <w:szCs w:val="20"/>
                <w:color w:val="auto"/>
              </w:rPr>
            </w:pPr>
            <w:r>
              <w:rPr>
                <w:rFonts w:ascii="Arial" w:cs="Arial" w:eastAsia="Arial" w:hAnsi="Arial"/>
                <w:sz w:val="20"/>
                <w:szCs w:val="20"/>
                <w:color w:val="auto"/>
              </w:rPr>
              <w:t>100 %</w:t>
            </w:r>
          </w:p>
        </w:tc>
        <w:tc>
          <w:tcPr>
            <w:tcW w:w="0" w:type="dxa"/>
            <w:vAlign w:val="bottom"/>
          </w:tcPr>
          <w:p>
            <w:pPr>
              <w:spacing w:after="0"/>
              <w:rPr>
                <w:sz w:val="1"/>
                <w:szCs w:val="1"/>
                <w:color w:val="auto"/>
              </w:rPr>
            </w:pPr>
          </w:p>
        </w:tc>
      </w:tr>
      <w:tr>
        <w:trPr>
          <w:trHeight w:val="257"/>
        </w:trPr>
        <w:tc>
          <w:tcPr>
            <w:tcW w:w="1900" w:type="dxa"/>
            <w:vAlign w:val="bottom"/>
          </w:tcPr>
          <w:p>
            <w:pPr>
              <w:ind w:left="20"/>
              <w:spacing w:after="0"/>
              <w:rPr>
                <w:sz w:val="20"/>
                <w:szCs w:val="20"/>
                <w:color w:val="auto"/>
              </w:rPr>
            </w:pPr>
            <w:r>
              <w:rPr>
                <w:rFonts w:ascii="Arial" w:cs="Arial" w:eastAsia="Arial" w:hAnsi="Arial"/>
                <w:sz w:val="20"/>
                <w:szCs w:val="20"/>
                <w:color w:val="auto"/>
              </w:rPr>
              <w:t>debts, net</w:t>
            </w:r>
          </w:p>
        </w:tc>
        <w:tc>
          <w:tcPr>
            <w:tcW w:w="180" w:type="dxa"/>
            <w:vAlign w:val="bottom"/>
          </w:tcPr>
          <w:p>
            <w:pPr>
              <w:spacing w:after="0"/>
              <w:rPr>
                <w:sz w:val="22"/>
                <w:szCs w:val="22"/>
                <w:color w:val="auto"/>
              </w:rPr>
            </w:pPr>
          </w:p>
        </w:tc>
        <w:tc>
          <w:tcPr>
            <w:tcW w:w="1000" w:type="dxa"/>
            <w:vAlign w:val="bottom"/>
            <w:gridSpan w:val="2"/>
            <w:vMerge w:val="continue"/>
          </w:tcPr>
          <w:p>
            <w:pPr>
              <w:spacing w:after="0"/>
              <w:rPr>
                <w:sz w:val="22"/>
                <w:szCs w:val="22"/>
                <w:color w:val="auto"/>
              </w:rPr>
            </w:pPr>
          </w:p>
        </w:tc>
        <w:tc>
          <w:tcPr>
            <w:tcW w:w="1220" w:type="dxa"/>
            <w:vAlign w:val="bottom"/>
            <w:gridSpan w:val="2"/>
            <w:vMerge w:val="continue"/>
          </w:tcPr>
          <w:p>
            <w:pPr>
              <w:spacing w:after="0"/>
              <w:rPr>
                <w:sz w:val="22"/>
                <w:szCs w:val="22"/>
                <w:color w:val="auto"/>
              </w:rPr>
            </w:pPr>
          </w:p>
        </w:tc>
        <w:tc>
          <w:tcPr>
            <w:tcW w:w="200" w:type="dxa"/>
            <w:vAlign w:val="bottom"/>
          </w:tcPr>
          <w:p>
            <w:pPr>
              <w:spacing w:after="0"/>
              <w:rPr>
                <w:sz w:val="22"/>
                <w:szCs w:val="22"/>
                <w:color w:val="auto"/>
              </w:rPr>
            </w:pPr>
          </w:p>
        </w:tc>
        <w:tc>
          <w:tcPr>
            <w:tcW w:w="940" w:type="dxa"/>
            <w:vAlign w:val="bottom"/>
            <w:vMerge w:val="continue"/>
          </w:tcPr>
          <w:p>
            <w:pPr>
              <w:spacing w:after="0"/>
              <w:rPr>
                <w:sz w:val="22"/>
                <w:szCs w:val="22"/>
                <w:color w:val="auto"/>
              </w:rPr>
            </w:pPr>
          </w:p>
        </w:tc>
        <w:tc>
          <w:tcPr>
            <w:tcW w:w="1420" w:type="dxa"/>
            <w:vAlign w:val="bottom"/>
            <w:gridSpan w:val="2"/>
            <w:vMerge w:val="continue"/>
          </w:tcPr>
          <w:p>
            <w:pPr>
              <w:spacing w:after="0"/>
              <w:rPr>
                <w:sz w:val="22"/>
                <w:szCs w:val="22"/>
                <w:color w:val="auto"/>
              </w:rPr>
            </w:pPr>
          </w:p>
        </w:tc>
        <w:tc>
          <w:tcPr>
            <w:tcW w:w="920" w:type="dxa"/>
            <w:vAlign w:val="bottom"/>
            <w:vMerge w:val="continue"/>
          </w:tcPr>
          <w:p>
            <w:pPr>
              <w:spacing w:after="0"/>
              <w:rPr>
                <w:sz w:val="22"/>
                <w:szCs w:val="22"/>
                <w:color w:val="auto"/>
              </w:rPr>
            </w:pPr>
          </w:p>
        </w:tc>
        <w:tc>
          <w:tcPr>
            <w:tcW w:w="80" w:type="dxa"/>
            <w:vAlign w:val="bottom"/>
          </w:tcPr>
          <w:p>
            <w:pPr>
              <w:spacing w:after="0"/>
              <w:rPr>
                <w:sz w:val="22"/>
                <w:szCs w:val="22"/>
                <w:color w:val="auto"/>
              </w:rPr>
            </w:pPr>
          </w:p>
        </w:tc>
        <w:tc>
          <w:tcPr>
            <w:tcW w:w="1240" w:type="dxa"/>
            <w:vAlign w:val="bottom"/>
            <w:gridSpan w:val="2"/>
            <w:vMerge w:val="continue"/>
          </w:tcPr>
          <w:p>
            <w:pPr>
              <w:spacing w:after="0"/>
              <w:rPr>
                <w:sz w:val="22"/>
                <w:szCs w:val="22"/>
                <w:color w:val="auto"/>
              </w:rPr>
            </w:pPr>
          </w:p>
        </w:tc>
        <w:tc>
          <w:tcPr>
            <w:tcW w:w="180" w:type="dxa"/>
            <w:vAlign w:val="bottom"/>
          </w:tcPr>
          <w:p>
            <w:pPr>
              <w:spacing w:after="0"/>
              <w:rPr>
                <w:sz w:val="22"/>
                <w:szCs w:val="22"/>
                <w:color w:val="auto"/>
              </w:rPr>
            </w:pPr>
          </w:p>
        </w:tc>
        <w:tc>
          <w:tcPr>
            <w:tcW w:w="940" w:type="dxa"/>
            <w:vAlign w:val="bottom"/>
            <w:vMerge w:val="continue"/>
          </w:tcPr>
          <w:p>
            <w:pPr>
              <w:spacing w:after="0"/>
              <w:rPr>
                <w:sz w:val="22"/>
                <w:szCs w:val="22"/>
                <w:color w:val="auto"/>
              </w:rPr>
            </w:pPr>
          </w:p>
        </w:tc>
        <w:tc>
          <w:tcPr>
            <w:tcW w:w="102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194"/>
        </w:trPr>
        <w:tc>
          <w:tcPr>
            <w:tcW w:w="1900" w:type="dxa"/>
            <w:vAlign w:val="bottom"/>
            <w:shd w:val="clear" w:color="auto" w:fill="CCEEFF"/>
          </w:tcPr>
          <w:p>
            <w:pPr>
              <w:ind w:left="20"/>
              <w:spacing w:after="0" w:line="194" w:lineRule="exact"/>
              <w:rPr>
                <w:sz w:val="20"/>
                <w:szCs w:val="20"/>
                <w:color w:val="auto"/>
              </w:rPr>
            </w:pPr>
            <w:r>
              <w:rPr>
                <w:rFonts w:ascii="Arial" w:cs="Arial" w:eastAsia="Arial" w:hAnsi="Arial"/>
                <w:sz w:val="20"/>
                <w:szCs w:val="20"/>
                <w:color w:val="auto"/>
              </w:rPr>
              <w:t>Other income</w:t>
            </w:r>
          </w:p>
        </w:tc>
        <w:tc>
          <w:tcPr>
            <w:tcW w:w="180" w:type="dxa"/>
            <w:vAlign w:val="bottom"/>
            <w:shd w:val="clear" w:color="auto" w:fill="CCEEFF"/>
          </w:tcPr>
          <w:p>
            <w:pPr>
              <w:spacing w:after="0"/>
              <w:rPr>
                <w:sz w:val="16"/>
                <w:szCs w:val="16"/>
                <w:color w:val="auto"/>
              </w:rPr>
            </w:pPr>
          </w:p>
        </w:tc>
        <w:tc>
          <w:tcPr>
            <w:tcW w:w="920" w:type="dxa"/>
            <w:vAlign w:val="bottom"/>
            <w:vMerge w:val="restart"/>
            <w:shd w:val="clear" w:color="auto" w:fill="CCEEFF"/>
          </w:tcPr>
          <w:p>
            <w:pPr>
              <w:jc w:val="right"/>
              <w:ind w:right="1"/>
              <w:spacing w:after="0"/>
              <w:rPr>
                <w:sz w:val="20"/>
                <w:szCs w:val="20"/>
                <w:color w:val="auto"/>
              </w:rPr>
            </w:pPr>
            <w:r>
              <w:rPr>
                <w:rFonts w:ascii="Arial" w:cs="Arial" w:eastAsia="Arial" w:hAnsi="Arial"/>
                <w:sz w:val="20"/>
                <w:szCs w:val="20"/>
                <w:color w:val="auto"/>
              </w:rPr>
              <w:t>68</w:t>
            </w:r>
          </w:p>
        </w:tc>
        <w:tc>
          <w:tcPr>
            <w:tcW w:w="80" w:type="dxa"/>
            <w:vAlign w:val="bottom"/>
            <w:shd w:val="clear" w:color="auto" w:fill="CCEEFF"/>
          </w:tcPr>
          <w:p>
            <w:pPr>
              <w:spacing w:after="0"/>
              <w:rPr>
                <w:sz w:val="16"/>
                <w:szCs w:val="16"/>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20"/>
                <w:szCs w:val="20"/>
                <w:color w:val="auto"/>
              </w:rPr>
              <w:t>(682)</w:t>
            </w: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20"/>
                <w:szCs w:val="20"/>
                <w:color w:val="auto"/>
              </w:rPr>
              <w:t>750</w:t>
            </w: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20"/>
                <w:szCs w:val="20"/>
                <w:color w:val="auto"/>
              </w:rPr>
              <w:t>110 %</w:t>
            </w:r>
          </w:p>
        </w:tc>
        <w:tc>
          <w:tcPr>
            <w:tcW w:w="220" w:type="dxa"/>
            <w:vAlign w:val="bottom"/>
            <w:shd w:val="clear" w:color="auto" w:fill="CCEEFF"/>
          </w:tcPr>
          <w:p>
            <w:pPr>
              <w:spacing w:after="0"/>
              <w:rPr>
                <w:sz w:val="16"/>
                <w:szCs w:val="16"/>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20"/>
                <w:szCs w:val="20"/>
                <w:color w:val="auto"/>
              </w:rPr>
              <w:t>12</w:t>
            </w:r>
          </w:p>
        </w:tc>
        <w:tc>
          <w:tcPr>
            <w:tcW w:w="80" w:type="dxa"/>
            <w:vAlign w:val="bottom"/>
            <w:shd w:val="clear" w:color="auto" w:fill="CCEEFF"/>
          </w:tcPr>
          <w:p>
            <w:pPr>
              <w:spacing w:after="0"/>
              <w:rPr>
                <w:sz w:val="16"/>
                <w:szCs w:val="16"/>
                <w:color w:val="auto"/>
              </w:rPr>
            </w:pP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20"/>
                <w:szCs w:val="20"/>
                <w:color w:val="auto"/>
              </w:rPr>
              <w:t>(1,662)</w:t>
            </w: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20"/>
                <w:szCs w:val="20"/>
                <w:color w:val="auto"/>
              </w:rPr>
              <w:t>1,674</w:t>
            </w: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20"/>
                <w:szCs w:val="20"/>
                <w:color w:val="auto"/>
              </w:rPr>
              <w:t>101 %</w:t>
            </w:r>
          </w:p>
        </w:tc>
        <w:tc>
          <w:tcPr>
            <w:tcW w:w="0" w:type="dxa"/>
            <w:vAlign w:val="bottom"/>
          </w:tcPr>
          <w:p>
            <w:pPr>
              <w:spacing w:after="0"/>
              <w:rPr>
                <w:sz w:val="1"/>
                <w:szCs w:val="1"/>
                <w:color w:val="auto"/>
              </w:rPr>
            </w:pPr>
          </w:p>
        </w:tc>
      </w:tr>
      <w:tr>
        <w:trPr>
          <w:trHeight w:val="251"/>
        </w:trPr>
        <w:tc>
          <w:tcPr>
            <w:tcW w:w="1900" w:type="dxa"/>
            <w:vAlign w:val="bottom"/>
            <w:shd w:val="clear" w:color="auto" w:fill="CCEEFF"/>
          </w:tcPr>
          <w:p>
            <w:pPr>
              <w:ind w:left="20"/>
              <w:spacing w:after="0"/>
              <w:rPr>
                <w:sz w:val="20"/>
                <w:szCs w:val="20"/>
                <w:color w:val="auto"/>
              </w:rPr>
            </w:pPr>
            <w:r>
              <w:rPr>
                <w:rFonts w:ascii="Arial" w:cs="Arial" w:eastAsia="Arial" w:hAnsi="Arial"/>
                <w:sz w:val="20"/>
                <w:szCs w:val="20"/>
                <w:color w:val="auto"/>
              </w:rPr>
              <w:t>(expense), net</w:t>
            </w:r>
          </w:p>
        </w:tc>
        <w:tc>
          <w:tcPr>
            <w:tcW w:w="18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vMerge w:val="continue"/>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140" w:type="dxa"/>
            <w:vAlign w:val="bottom"/>
            <w:tcBorders>
              <w:bottom w:val="single" w:sz="8" w:color="auto"/>
            </w:tcBorders>
            <w:vMerge w:val="continue"/>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vMerge w:val="continue"/>
            <w:shd w:val="clear" w:color="auto" w:fill="CCEEFF"/>
          </w:tcPr>
          <w:p>
            <w:pPr>
              <w:spacing w:after="0"/>
              <w:rPr>
                <w:sz w:val="21"/>
                <w:szCs w:val="21"/>
                <w:color w:val="auto"/>
              </w:rPr>
            </w:pPr>
          </w:p>
        </w:tc>
        <w:tc>
          <w:tcPr>
            <w:tcW w:w="1200" w:type="dxa"/>
            <w:vAlign w:val="bottom"/>
            <w:vMerge w:val="continue"/>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vMerge w:val="continue"/>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160" w:type="dxa"/>
            <w:vAlign w:val="bottom"/>
            <w:tcBorders>
              <w:bottom w:val="single" w:sz="8" w:color="auto"/>
            </w:tcBorders>
            <w:vMerge w:val="continue"/>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vMerge w:val="continue"/>
            <w:shd w:val="clear" w:color="auto" w:fill="CCEEFF"/>
          </w:tcPr>
          <w:p>
            <w:pPr>
              <w:spacing w:after="0"/>
              <w:rPr>
                <w:sz w:val="21"/>
                <w:szCs w:val="21"/>
                <w:color w:val="auto"/>
              </w:rPr>
            </w:pPr>
          </w:p>
        </w:tc>
        <w:tc>
          <w:tcPr>
            <w:tcW w:w="102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1900" w:type="dxa"/>
            <w:vAlign w:val="bottom"/>
          </w:tcPr>
          <w:p>
            <w:pPr>
              <w:ind w:left="560"/>
              <w:spacing w:after="0" w:line="174" w:lineRule="exact"/>
              <w:rPr>
                <w:sz w:val="20"/>
                <w:szCs w:val="20"/>
                <w:color w:val="auto"/>
              </w:rPr>
            </w:pPr>
            <w:r>
              <w:rPr>
                <w:rFonts w:ascii="Arial" w:cs="Arial" w:eastAsia="Arial" w:hAnsi="Arial"/>
                <w:sz w:val="20"/>
                <w:szCs w:val="20"/>
                <w:color w:val="auto"/>
              </w:rPr>
              <w:t>Total other</w:t>
            </w:r>
          </w:p>
        </w:tc>
        <w:tc>
          <w:tcPr>
            <w:tcW w:w="1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1900" w:type="dxa"/>
            <w:vAlign w:val="bottom"/>
          </w:tcPr>
          <w:p>
            <w:pPr>
              <w:ind w:left="560"/>
              <w:spacing w:after="0" w:line="197" w:lineRule="exact"/>
              <w:rPr>
                <w:sz w:val="20"/>
                <w:szCs w:val="20"/>
                <w:color w:val="auto"/>
              </w:rPr>
            </w:pPr>
            <w:r>
              <w:rPr>
                <w:rFonts w:ascii="Arial" w:cs="Arial" w:eastAsia="Arial" w:hAnsi="Arial"/>
                <w:sz w:val="20"/>
                <w:szCs w:val="20"/>
                <w:color w:val="auto"/>
              </w:rPr>
              <w:t>income</w:t>
            </w:r>
          </w:p>
        </w:tc>
        <w:tc>
          <w:tcPr>
            <w:tcW w:w="180" w:type="dxa"/>
            <w:vAlign w:val="bottom"/>
          </w:tcPr>
          <w:p>
            <w:pPr>
              <w:spacing w:after="0"/>
              <w:rPr>
                <w:sz w:val="17"/>
                <w:szCs w:val="17"/>
                <w:color w:val="auto"/>
              </w:rPr>
            </w:pPr>
          </w:p>
        </w:tc>
        <w:tc>
          <w:tcPr>
            <w:tcW w:w="920" w:type="dxa"/>
            <w:vAlign w:val="bottom"/>
            <w:vMerge w:val="restart"/>
          </w:tcPr>
          <w:p>
            <w:pPr>
              <w:jc w:val="right"/>
              <w:spacing w:after="0"/>
              <w:rPr>
                <w:sz w:val="20"/>
                <w:szCs w:val="20"/>
                <w:color w:val="auto"/>
              </w:rPr>
            </w:pPr>
            <w:r>
              <w:rPr>
                <w:rFonts w:ascii="Arial" w:cs="Arial" w:eastAsia="Arial" w:hAnsi="Arial"/>
                <w:sz w:val="20"/>
                <w:szCs w:val="20"/>
                <w:color w:val="auto"/>
              </w:rPr>
              <w:t>(2,007)</w:t>
            </w:r>
          </w:p>
        </w:tc>
        <w:tc>
          <w:tcPr>
            <w:tcW w:w="80" w:type="dxa"/>
            <w:vAlign w:val="bottom"/>
          </w:tcPr>
          <w:p>
            <w:pPr>
              <w:spacing w:after="0"/>
              <w:rPr>
                <w:sz w:val="17"/>
                <w:szCs w:val="17"/>
                <w:color w:val="auto"/>
              </w:rPr>
            </w:pPr>
          </w:p>
        </w:tc>
        <w:tc>
          <w:tcPr>
            <w:tcW w:w="1140" w:type="dxa"/>
            <w:vAlign w:val="bottom"/>
            <w:vMerge w:val="restart"/>
          </w:tcPr>
          <w:p>
            <w:pPr>
              <w:jc w:val="right"/>
              <w:spacing w:after="0"/>
              <w:rPr>
                <w:sz w:val="20"/>
                <w:szCs w:val="20"/>
                <w:color w:val="auto"/>
              </w:rPr>
            </w:pPr>
            <w:r>
              <w:rPr>
                <w:rFonts w:ascii="Arial" w:cs="Arial" w:eastAsia="Arial" w:hAnsi="Arial"/>
                <w:sz w:val="20"/>
                <w:szCs w:val="20"/>
                <w:color w:val="auto"/>
              </w:rPr>
              <w:t>(4,829)</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vMerge w:val="restart"/>
          </w:tcPr>
          <w:p>
            <w:pPr>
              <w:jc w:val="right"/>
              <w:spacing w:after="0"/>
              <w:rPr>
                <w:sz w:val="20"/>
                <w:szCs w:val="20"/>
                <w:color w:val="auto"/>
              </w:rPr>
            </w:pPr>
            <w:r>
              <w:rPr>
                <w:rFonts w:ascii="Arial" w:cs="Arial" w:eastAsia="Arial" w:hAnsi="Arial"/>
                <w:sz w:val="20"/>
                <w:szCs w:val="20"/>
                <w:color w:val="auto"/>
              </w:rPr>
              <w:t>2,822</w:t>
            </w:r>
          </w:p>
        </w:tc>
        <w:tc>
          <w:tcPr>
            <w:tcW w:w="1200" w:type="dxa"/>
            <w:vAlign w:val="bottom"/>
            <w:vMerge w:val="restart"/>
          </w:tcPr>
          <w:p>
            <w:pPr>
              <w:jc w:val="right"/>
              <w:spacing w:after="0"/>
              <w:rPr>
                <w:sz w:val="20"/>
                <w:szCs w:val="20"/>
                <w:color w:val="auto"/>
              </w:rPr>
            </w:pPr>
            <w:r>
              <w:rPr>
                <w:rFonts w:ascii="Arial" w:cs="Arial" w:eastAsia="Arial" w:hAnsi="Arial"/>
                <w:sz w:val="20"/>
                <w:szCs w:val="20"/>
                <w:color w:val="auto"/>
              </w:rPr>
              <w:t>58 %</w:t>
            </w:r>
          </w:p>
        </w:tc>
        <w:tc>
          <w:tcPr>
            <w:tcW w:w="220" w:type="dxa"/>
            <w:vAlign w:val="bottom"/>
          </w:tcPr>
          <w:p>
            <w:pPr>
              <w:spacing w:after="0"/>
              <w:rPr>
                <w:sz w:val="17"/>
                <w:szCs w:val="17"/>
                <w:color w:val="auto"/>
              </w:rPr>
            </w:pPr>
          </w:p>
        </w:tc>
        <w:tc>
          <w:tcPr>
            <w:tcW w:w="920" w:type="dxa"/>
            <w:vAlign w:val="bottom"/>
            <w:vMerge w:val="restart"/>
          </w:tcPr>
          <w:p>
            <w:pPr>
              <w:jc w:val="right"/>
              <w:spacing w:after="0"/>
              <w:rPr>
                <w:sz w:val="20"/>
                <w:szCs w:val="20"/>
                <w:color w:val="auto"/>
              </w:rPr>
            </w:pPr>
            <w:r>
              <w:rPr>
                <w:rFonts w:ascii="Arial" w:cs="Arial" w:eastAsia="Arial" w:hAnsi="Arial"/>
                <w:sz w:val="20"/>
                <w:szCs w:val="20"/>
                <w:color w:val="auto"/>
              </w:rPr>
              <w:t>4,492</w:t>
            </w:r>
          </w:p>
        </w:tc>
        <w:tc>
          <w:tcPr>
            <w:tcW w:w="80" w:type="dxa"/>
            <w:vAlign w:val="bottom"/>
          </w:tcPr>
          <w:p>
            <w:pPr>
              <w:spacing w:after="0"/>
              <w:rPr>
                <w:sz w:val="17"/>
                <w:szCs w:val="17"/>
                <w:color w:val="auto"/>
              </w:rPr>
            </w:pPr>
          </w:p>
        </w:tc>
        <w:tc>
          <w:tcPr>
            <w:tcW w:w="1160" w:type="dxa"/>
            <w:vAlign w:val="bottom"/>
            <w:vMerge w:val="restart"/>
          </w:tcPr>
          <w:p>
            <w:pPr>
              <w:jc w:val="right"/>
              <w:spacing w:after="0"/>
              <w:rPr>
                <w:sz w:val="20"/>
                <w:szCs w:val="20"/>
                <w:color w:val="auto"/>
              </w:rPr>
            </w:pPr>
            <w:r>
              <w:rPr>
                <w:rFonts w:ascii="Arial" w:cs="Arial" w:eastAsia="Arial" w:hAnsi="Arial"/>
                <w:sz w:val="20"/>
                <w:szCs w:val="20"/>
                <w:color w:val="auto"/>
              </w:rPr>
              <w:t>(15,868)</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vMerge w:val="restart"/>
          </w:tcPr>
          <w:p>
            <w:pPr>
              <w:jc w:val="right"/>
              <w:spacing w:after="0"/>
              <w:rPr>
                <w:sz w:val="20"/>
                <w:szCs w:val="20"/>
                <w:color w:val="auto"/>
              </w:rPr>
            </w:pPr>
            <w:r>
              <w:rPr>
                <w:rFonts w:ascii="Arial" w:cs="Arial" w:eastAsia="Arial" w:hAnsi="Arial"/>
                <w:sz w:val="20"/>
                <w:szCs w:val="20"/>
                <w:color w:val="auto"/>
              </w:rPr>
              <w:t>20,360</w:t>
            </w:r>
          </w:p>
        </w:tc>
        <w:tc>
          <w:tcPr>
            <w:tcW w:w="1020" w:type="dxa"/>
            <w:vAlign w:val="bottom"/>
            <w:vMerge w:val="restart"/>
          </w:tcPr>
          <w:p>
            <w:pPr>
              <w:jc w:val="right"/>
              <w:spacing w:after="0"/>
              <w:rPr>
                <w:sz w:val="20"/>
                <w:szCs w:val="20"/>
                <w:color w:val="auto"/>
              </w:rPr>
            </w:pPr>
            <w:r>
              <w:rPr>
                <w:rFonts w:ascii="Arial" w:cs="Arial" w:eastAsia="Arial" w:hAnsi="Arial"/>
                <w:sz w:val="20"/>
                <w:szCs w:val="20"/>
                <w:color w:val="auto"/>
              </w:rPr>
              <w:t>128 %</w:t>
            </w:r>
          </w:p>
        </w:tc>
        <w:tc>
          <w:tcPr>
            <w:tcW w:w="0" w:type="dxa"/>
            <w:vAlign w:val="bottom"/>
          </w:tcPr>
          <w:p>
            <w:pPr>
              <w:spacing w:after="0"/>
              <w:rPr>
                <w:sz w:val="1"/>
                <w:szCs w:val="1"/>
                <w:color w:val="auto"/>
              </w:rPr>
            </w:pPr>
          </w:p>
        </w:tc>
      </w:tr>
      <w:tr>
        <w:trPr>
          <w:trHeight w:val="257"/>
        </w:trPr>
        <w:tc>
          <w:tcPr>
            <w:tcW w:w="1900" w:type="dxa"/>
            <w:vAlign w:val="bottom"/>
            <w:tcBorders>
              <w:bottom w:val="single" w:sz="8" w:color="CCEEFF"/>
            </w:tcBorders>
          </w:tcPr>
          <w:p>
            <w:pPr>
              <w:ind w:left="560"/>
              <w:spacing w:after="0"/>
              <w:rPr>
                <w:sz w:val="20"/>
                <w:szCs w:val="20"/>
                <w:color w:val="auto"/>
              </w:rPr>
            </w:pPr>
            <w:r>
              <w:rPr>
                <w:rFonts w:ascii="Arial" w:cs="Arial" w:eastAsia="Arial" w:hAnsi="Arial"/>
                <w:sz w:val="20"/>
                <w:szCs w:val="20"/>
                <w:color w:val="auto"/>
              </w:rPr>
              <w:t>(expense), net</w:t>
            </w:r>
          </w:p>
        </w:tc>
        <w:tc>
          <w:tcPr>
            <w:tcW w:w="18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vMerge w:val="continue"/>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1140" w:type="dxa"/>
            <w:vAlign w:val="bottom"/>
            <w:tcBorders>
              <w:bottom w:val="single" w:sz="8" w:color="auto"/>
            </w:tcBorders>
            <w:vMerge w:val="continue"/>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vMerge w:val="continue"/>
          </w:tcPr>
          <w:p>
            <w:pPr>
              <w:spacing w:after="0"/>
              <w:rPr>
                <w:sz w:val="22"/>
                <w:szCs w:val="22"/>
                <w:color w:val="auto"/>
              </w:rPr>
            </w:pPr>
          </w:p>
        </w:tc>
        <w:tc>
          <w:tcPr>
            <w:tcW w:w="1200" w:type="dxa"/>
            <w:vAlign w:val="bottom"/>
            <w:tcBorders>
              <w:bottom w:val="single" w:sz="8" w:color="CCEEFF"/>
            </w:tcBorders>
            <w:vMerge w:val="continue"/>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vMerge w:val="continue"/>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1160" w:type="dxa"/>
            <w:vAlign w:val="bottom"/>
            <w:tcBorders>
              <w:bottom w:val="single" w:sz="8" w:color="auto"/>
            </w:tcBorders>
            <w:vMerge w:val="continue"/>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vMerge w:val="continue"/>
          </w:tcPr>
          <w:p>
            <w:pPr>
              <w:spacing w:after="0"/>
              <w:rPr>
                <w:sz w:val="22"/>
                <w:szCs w:val="22"/>
                <w:color w:val="auto"/>
              </w:rPr>
            </w:pPr>
          </w:p>
        </w:tc>
        <w:tc>
          <w:tcPr>
            <w:tcW w:w="1020" w:type="dxa"/>
            <w:vAlign w:val="bottom"/>
            <w:tcBorders>
              <w:bottom w:val="single" w:sz="8" w:color="CCEEFF"/>
            </w:tcBorders>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19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94"/>
        </w:trPr>
        <w:tc>
          <w:tcPr>
            <w:tcW w:w="1900" w:type="dxa"/>
            <w:vAlign w:val="bottom"/>
          </w:tcPr>
          <w:p>
            <w:pPr>
              <w:ind w:left="20"/>
              <w:spacing w:after="0" w:line="194" w:lineRule="exact"/>
              <w:rPr>
                <w:sz w:val="20"/>
                <w:szCs w:val="20"/>
                <w:color w:val="auto"/>
              </w:rPr>
            </w:pPr>
            <w:r>
              <w:rPr>
                <w:rFonts w:ascii="Arial" w:cs="Arial" w:eastAsia="Arial" w:hAnsi="Arial"/>
                <w:sz w:val="20"/>
                <w:szCs w:val="20"/>
                <w:color w:val="auto"/>
              </w:rPr>
              <w:t>Income (loss) before</w:t>
            </w:r>
          </w:p>
        </w:tc>
        <w:tc>
          <w:tcPr>
            <w:tcW w:w="180" w:type="dxa"/>
            <w:vAlign w:val="bottom"/>
          </w:tcPr>
          <w:p>
            <w:pPr>
              <w:spacing w:after="0"/>
              <w:rPr>
                <w:sz w:val="16"/>
                <w:szCs w:val="16"/>
                <w:color w:val="auto"/>
              </w:rPr>
            </w:pPr>
          </w:p>
        </w:tc>
        <w:tc>
          <w:tcPr>
            <w:tcW w:w="920" w:type="dxa"/>
            <w:vAlign w:val="bottom"/>
            <w:vMerge w:val="restart"/>
          </w:tcPr>
          <w:p>
            <w:pPr>
              <w:jc w:val="right"/>
              <w:ind w:right="1"/>
              <w:spacing w:after="0"/>
              <w:rPr>
                <w:sz w:val="20"/>
                <w:szCs w:val="20"/>
                <w:color w:val="auto"/>
              </w:rPr>
            </w:pPr>
            <w:r>
              <w:rPr>
                <w:rFonts w:ascii="Arial" w:cs="Arial" w:eastAsia="Arial" w:hAnsi="Arial"/>
                <w:sz w:val="20"/>
                <w:szCs w:val="20"/>
                <w:color w:val="auto"/>
              </w:rPr>
              <w:t>43,444</w:t>
            </w:r>
          </w:p>
        </w:tc>
        <w:tc>
          <w:tcPr>
            <w:tcW w:w="80" w:type="dxa"/>
            <w:vAlign w:val="bottom"/>
          </w:tcPr>
          <w:p>
            <w:pPr>
              <w:spacing w:after="0"/>
              <w:rPr>
                <w:sz w:val="16"/>
                <w:szCs w:val="16"/>
                <w:color w:val="auto"/>
              </w:rPr>
            </w:pPr>
          </w:p>
        </w:tc>
        <w:tc>
          <w:tcPr>
            <w:tcW w:w="1140" w:type="dxa"/>
            <w:vAlign w:val="bottom"/>
            <w:vMerge w:val="restart"/>
          </w:tcPr>
          <w:p>
            <w:pPr>
              <w:jc w:val="right"/>
              <w:spacing w:after="0"/>
              <w:rPr>
                <w:sz w:val="20"/>
                <w:szCs w:val="20"/>
                <w:color w:val="auto"/>
              </w:rPr>
            </w:pPr>
            <w:r>
              <w:rPr>
                <w:rFonts w:ascii="Arial" w:cs="Arial" w:eastAsia="Arial" w:hAnsi="Arial"/>
                <w:sz w:val="20"/>
                <w:szCs w:val="20"/>
                <w:color w:val="auto"/>
              </w:rPr>
              <w:t>(137,504)</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vMerge w:val="restart"/>
          </w:tcPr>
          <w:p>
            <w:pPr>
              <w:jc w:val="right"/>
              <w:spacing w:after="0"/>
              <w:rPr>
                <w:sz w:val="20"/>
                <w:szCs w:val="20"/>
                <w:color w:val="auto"/>
              </w:rPr>
            </w:pPr>
            <w:r>
              <w:rPr>
                <w:rFonts w:ascii="Arial" w:cs="Arial" w:eastAsia="Arial" w:hAnsi="Arial"/>
                <w:sz w:val="20"/>
                <w:szCs w:val="20"/>
                <w:color w:val="auto"/>
              </w:rPr>
              <w:t>180,948</w:t>
            </w:r>
          </w:p>
        </w:tc>
        <w:tc>
          <w:tcPr>
            <w:tcW w:w="1200" w:type="dxa"/>
            <w:vAlign w:val="bottom"/>
            <w:vMerge w:val="restart"/>
          </w:tcPr>
          <w:p>
            <w:pPr>
              <w:jc w:val="right"/>
              <w:spacing w:after="0"/>
              <w:rPr>
                <w:sz w:val="20"/>
                <w:szCs w:val="20"/>
                <w:color w:val="auto"/>
              </w:rPr>
            </w:pPr>
            <w:r>
              <w:rPr>
                <w:rFonts w:ascii="Arial" w:cs="Arial" w:eastAsia="Arial" w:hAnsi="Arial"/>
                <w:sz w:val="20"/>
                <w:szCs w:val="20"/>
                <w:color w:val="auto"/>
              </w:rPr>
              <w:t>(132)%</w:t>
            </w:r>
          </w:p>
        </w:tc>
        <w:tc>
          <w:tcPr>
            <w:tcW w:w="220" w:type="dxa"/>
            <w:vAlign w:val="bottom"/>
          </w:tcPr>
          <w:p>
            <w:pPr>
              <w:spacing w:after="0"/>
              <w:rPr>
                <w:sz w:val="16"/>
                <w:szCs w:val="16"/>
                <w:color w:val="auto"/>
              </w:rPr>
            </w:pPr>
          </w:p>
        </w:tc>
        <w:tc>
          <w:tcPr>
            <w:tcW w:w="920" w:type="dxa"/>
            <w:vAlign w:val="bottom"/>
            <w:vMerge w:val="restart"/>
          </w:tcPr>
          <w:p>
            <w:pPr>
              <w:jc w:val="right"/>
              <w:spacing w:after="0"/>
              <w:rPr>
                <w:sz w:val="20"/>
                <w:szCs w:val="20"/>
                <w:color w:val="auto"/>
              </w:rPr>
            </w:pPr>
            <w:r>
              <w:rPr>
                <w:rFonts w:ascii="Arial" w:cs="Arial" w:eastAsia="Arial" w:hAnsi="Arial"/>
                <w:sz w:val="20"/>
                <w:szCs w:val="20"/>
                <w:color w:val="auto"/>
              </w:rPr>
              <w:t>123,603</w:t>
            </w:r>
          </w:p>
        </w:tc>
        <w:tc>
          <w:tcPr>
            <w:tcW w:w="80" w:type="dxa"/>
            <w:vAlign w:val="bottom"/>
          </w:tcPr>
          <w:p>
            <w:pPr>
              <w:spacing w:after="0"/>
              <w:rPr>
                <w:sz w:val="16"/>
                <w:szCs w:val="16"/>
                <w:color w:val="auto"/>
              </w:rPr>
            </w:pPr>
          </w:p>
        </w:tc>
        <w:tc>
          <w:tcPr>
            <w:tcW w:w="1160" w:type="dxa"/>
            <w:vAlign w:val="bottom"/>
            <w:vMerge w:val="restart"/>
          </w:tcPr>
          <w:p>
            <w:pPr>
              <w:jc w:val="right"/>
              <w:spacing w:after="0"/>
              <w:rPr>
                <w:sz w:val="20"/>
                <w:szCs w:val="20"/>
                <w:color w:val="auto"/>
              </w:rPr>
            </w:pPr>
            <w:r>
              <w:rPr>
                <w:rFonts w:ascii="Arial" w:cs="Arial" w:eastAsia="Arial" w:hAnsi="Arial"/>
                <w:sz w:val="20"/>
                <w:szCs w:val="20"/>
                <w:color w:val="auto"/>
              </w:rPr>
              <w:t>(100,527)</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vMerge w:val="restart"/>
          </w:tcPr>
          <w:p>
            <w:pPr>
              <w:jc w:val="right"/>
              <w:spacing w:after="0"/>
              <w:rPr>
                <w:sz w:val="20"/>
                <w:szCs w:val="20"/>
                <w:color w:val="auto"/>
              </w:rPr>
            </w:pPr>
            <w:r>
              <w:rPr>
                <w:rFonts w:ascii="Arial" w:cs="Arial" w:eastAsia="Arial" w:hAnsi="Arial"/>
                <w:sz w:val="20"/>
                <w:szCs w:val="20"/>
                <w:color w:val="auto"/>
              </w:rPr>
              <w:t>224,130</w:t>
            </w:r>
          </w:p>
        </w:tc>
        <w:tc>
          <w:tcPr>
            <w:tcW w:w="1020" w:type="dxa"/>
            <w:vAlign w:val="bottom"/>
            <w:vMerge w:val="restart"/>
          </w:tcPr>
          <w:p>
            <w:pPr>
              <w:jc w:val="right"/>
              <w:spacing w:after="0"/>
              <w:rPr>
                <w:sz w:val="20"/>
                <w:szCs w:val="20"/>
                <w:color w:val="auto"/>
              </w:rPr>
            </w:pPr>
            <w:r>
              <w:rPr>
                <w:rFonts w:ascii="Arial" w:cs="Arial" w:eastAsia="Arial" w:hAnsi="Arial"/>
                <w:sz w:val="20"/>
                <w:szCs w:val="20"/>
                <w:color w:val="auto"/>
              </w:rPr>
              <w:t>(223)%</w:t>
            </w:r>
          </w:p>
        </w:tc>
        <w:tc>
          <w:tcPr>
            <w:tcW w:w="0" w:type="dxa"/>
            <w:vAlign w:val="bottom"/>
          </w:tcPr>
          <w:p>
            <w:pPr>
              <w:spacing w:after="0"/>
              <w:rPr>
                <w:sz w:val="1"/>
                <w:szCs w:val="1"/>
                <w:color w:val="auto"/>
              </w:rPr>
            </w:pPr>
          </w:p>
        </w:tc>
      </w:tr>
      <w:tr>
        <w:trPr>
          <w:trHeight w:val="251"/>
        </w:trPr>
        <w:tc>
          <w:tcPr>
            <w:tcW w:w="1900" w:type="dxa"/>
            <w:vAlign w:val="bottom"/>
          </w:tcPr>
          <w:p>
            <w:pPr>
              <w:ind w:left="20"/>
              <w:spacing w:after="0"/>
              <w:rPr>
                <w:sz w:val="20"/>
                <w:szCs w:val="20"/>
                <w:color w:val="auto"/>
              </w:rPr>
            </w:pPr>
            <w:r>
              <w:rPr>
                <w:rFonts w:ascii="Arial" w:cs="Arial" w:eastAsia="Arial" w:hAnsi="Arial"/>
                <w:sz w:val="20"/>
                <w:szCs w:val="20"/>
                <w:color w:val="auto"/>
              </w:rPr>
              <w:t>income tax expense</w:t>
            </w:r>
          </w:p>
        </w:tc>
        <w:tc>
          <w:tcPr>
            <w:tcW w:w="180" w:type="dxa"/>
            <w:vAlign w:val="bottom"/>
          </w:tcPr>
          <w:p>
            <w:pPr>
              <w:spacing w:after="0"/>
              <w:rPr>
                <w:sz w:val="21"/>
                <w:szCs w:val="21"/>
                <w:color w:val="auto"/>
              </w:rPr>
            </w:pPr>
          </w:p>
        </w:tc>
        <w:tc>
          <w:tcPr>
            <w:tcW w:w="920" w:type="dxa"/>
            <w:vAlign w:val="bottom"/>
            <w:vMerge w:val="continue"/>
          </w:tcPr>
          <w:p>
            <w:pPr>
              <w:spacing w:after="0"/>
              <w:rPr>
                <w:sz w:val="21"/>
                <w:szCs w:val="21"/>
                <w:color w:val="auto"/>
              </w:rPr>
            </w:pPr>
          </w:p>
        </w:tc>
        <w:tc>
          <w:tcPr>
            <w:tcW w:w="80" w:type="dxa"/>
            <w:vAlign w:val="bottom"/>
          </w:tcPr>
          <w:p>
            <w:pPr>
              <w:spacing w:after="0"/>
              <w:rPr>
                <w:sz w:val="21"/>
                <w:szCs w:val="21"/>
                <w:color w:val="auto"/>
              </w:rPr>
            </w:pPr>
          </w:p>
        </w:tc>
        <w:tc>
          <w:tcPr>
            <w:tcW w:w="1140" w:type="dxa"/>
            <w:vAlign w:val="bottom"/>
            <w:vMerge w:val="continue"/>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vMerge w:val="continue"/>
          </w:tcPr>
          <w:p>
            <w:pPr>
              <w:spacing w:after="0"/>
              <w:rPr>
                <w:sz w:val="21"/>
                <w:szCs w:val="21"/>
                <w:color w:val="auto"/>
              </w:rPr>
            </w:pPr>
          </w:p>
        </w:tc>
        <w:tc>
          <w:tcPr>
            <w:tcW w:w="1200" w:type="dxa"/>
            <w:vAlign w:val="bottom"/>
            <w:vMerge w:val="continue"/>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vMerge w:val="continue"/>
          </w:tcPr>
          <w:p>
            <w:pPr>
              <w:spacing w:after="0"/>
              <w:rPr>
                <w:sz w:val="21"/>
                <w:szCs w:val="21"/>
                <w:color w:val="auto"/>
              </w:rPr>
            </w:pPr>
          </w:p>
        </w:tc>
        <w:tc>
          <w:tcPr>
            <w:tcW w:w="80" w:type="dxa"/>
            <w:vAlign w:val="bottom"/>
          </w:tcPr>
          <w:p>
            <w:pPr>
              <w:spacing w:after="0"/>
              <w:rPr>
                <w:sz w:val="21"/>
                <w:szCs w:val="21"/>
                <w:color w:val="auto"/>
              </w:rPr>
            </w:pPr>
          </w:p>
        </w:tc>
        <w:tc>
          <w:tcPr>
            <w:tcW w:w="1160" w:type="dxa"/>
            <w:vAlign w:val="bottom"/>
            <w:vMerge w:val="continue"/>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vMerge w:val="continue"/>
          </w:tcPr>
          <w:p>
            <w:pPr>
              <w:spacing w:after="0"/>
              <w:rPr>
                <w:sz w:val="21"/>
                <w:szCs w:val="21"/>
                <w:color w:val="auto"/>
              </w:rPr>
            </w:pPr>
          </w:p>
        </w:tc>
        <w:tc>
          <w:tcPr>
            <w:tcW w:w="10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1900" w:type="dxa"/>
            <w:vAlign w:val="bottom"/>
            <w:shd w:val="clear" w:color="auto" w:fill="CCEEFF"/>
          </w:tcPr>
          <w:p>
            <w:pPr>
              <w:ind w:left="20"/>
              <w:spacing w:after="0"/>
              <w:rPr>
                <w:sz w:val="20"/>
                <w:szCs w:val="20"/>
                <w:color w:val="auto"/>
              </w:rPr>
            </w:pPr>
            <w:r>
              <w:rPr>
                <w:rFonts w:ascii="Arial" w:cs="Arial" w:eastAsia="Arial" w:hAnsi="Arial"/>
                <w:sz w:val="20"/>
                <w:szCs w:val="20"/>
                <w:color w:val="auto"/>
              </w:rPr>
              <w:t>Income tax expense</w:t>
            </w:r>
          </w:p>
        </w:tc>
        <w:tc>
          <w:tcPr>
            <w:tcW w:w="180" w:type="dxa"/>
            <w:vAlign w:val="bottom"/>
            <w:tcBorders>
              <w:bottom w:val="single" w:sz="8" w:color="auto"/>
            </w:tcBorders>
            <w:shd w:val="clear" w:color="auto" w:fill="CCEEFF"/>
          </w:tcPr>
          <w:p>
            <w:pPr>
              <w:spacing w:after="0"/>
              <w:rPr>
                <w:sz w:val="22"/>
                <w:szCs w:val="22"/>
                <w:color w:val="auto"/>
              </w:rPr>
            </w:pPr>
          </w:p>
        </w:tc>
        <w:tc>
          <w:tcPr>
            <w:tcW w:w="9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20"/>
                <w:szCs w:val="20"/>
                <w:color w:val="auto"/>
              </w:rPr>
              <w:t>9,941</w:t>
            </w:r>
          </w:p>
        </w:tc>
        <w:tc>
          <w:tcPr>
            <w:tcW w:w="80" w:type="dxa"/>
            <w:vAlign w:val="bottom"/>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3,850</w:t>
            </w:r>
          </w:p>
        </w:tc>
        <w:tc>
          <w:tcPr>
            <w:tcW w:w="80" w:type="dxa"/>
            <w:vAlign w:val="bottom"/>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6,091</w:t>
            </w:r>
          </w:p>
        </w:tc>
        <w:tc>
          <w:tcPr>
            <w:tcW w:w="12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158 %</w:t>
            </w:r>
          </w:p>
        </w:tc>
        <w:tc>
          <w:tcPr>
            <w:tcW w:w="220" w:type="dxa"/>
            <w:vAlign w:val="bottom"/>
            <w:tcBorders>
              <w:bottom w:val="single" w:sz="8" w:color="auto"/>
            </w:tcBorders>
            <w:shd w:val="clear" w:color="auto" w:fill="CCEEFF"/>
          </w:tcPr>
          <w:p>
            <w:pPr>
              <w:spacing w:after="0"/>
              <w:rPr>
                <w:sz w:val="22"/>
                <w:szCs w:val="22"/>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30,092</w:t>
            </w:r>
          </w:p>
        </w:tc>
        <w:tc>
          <w:tcPr>
            <w:tcW w:w="80" w:type="dxa"/>
            <w:vAlign w:val="bottom"/>
            <w:shd w:val="clear" w:color="auto" w:fill="CCEEFF"/>
          </w:tcPr>
          <w:p>
            <w:pPr>
              <w:spacing w:after="0"/>
              <w:rPr>
                <w:sz w:val="22"/>
                <w:szCs w:val="22"/>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12,964</w:t>
            </w:r>
          </w:p>
        </w:tc>
        <w:tc>
          <w:tcPr>
            <w:tcW w:w="80" w:type="dxa"/>
            <w:vAlign w:val="bottom"/>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17,128</w:t>
            </w:r>
          </w:p>
        </w:tc>
        <w:tc>
          <w:tcPr>
            <w:tcW w:w="10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132 %</w:t>
            </w:r>
          </w:p>
        </w:tc>
        <w:tc>
          <w:tcPr>
            <w:tcW w:w="0" w:type="dxa"/>
            <w:vAlign w:val="bottom"/>
          </w:tcPr>
          <w:p>
            <w:pPr>
              <w:spacing w:after="0"/>
              <w:rPr>
                <w:sz w:val="1"/>
                <w:szCs w:val="1"/>
                <w:color w:val="auto"/>
              </w:rPr>
            </w:pPr>
          </w:p>
        </w:tc>
      </w:tr>
      <w:tr>
        <w:trPr>
          <w:trHeight w:val="250"/>
        </w:trPr>
        <w:tc>
          <w:tcPr>
            <w:tcW w:w="1900" w:type="dxa"/>
            <w:vAlign w:val="bottom"/>
          </w:tcPr>
          <w:p>
            <w:pPr>
              <w:ind w:left="20"/>
              <w:spacing w:after="0"/>
              <w:rPr>
                <w:sz w:val="20"/>
                <w:szCs w:val="20"/>
                <w:color w:val="auto"/>
              </w:rPr>
            </w:pPr>
            <w:r>
              <w:rPr>
                <w:rFonts w:ascii="Arial" w:cs="Arial" w:eastAsia="Arial" w:hAnsi="Arial"/>
                <w:sz w:val="20"/>
                <w:szCs w:val="20"/>
                <w:color w:val="auto"/>
              </w:rPr>
              <w:t>Net income (loss)</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w w:val="89"/>
              </w:rPr>
              <w:t>$</w:t>
            </w:r>
          </w:p>
        </w:tc>
        <w:tc>
          <w:tcPr>
            <w:tcW w:w="920" w:type="dxa"/>
            <w:vAlign w:val="bottom"/>
            <w:tcBorders>
              <w:bottom w:val="single" w:sz="8" w:color="auto"/>
            </w:tcBorders>
          </w:tcPr>
          <w:p>
            <w:pPr>
              <w:jc w:val="right"/>
              <w:ind w:right="1"/>
              <w:spacing w:after="0"/>
              <w:rPr>
                <w:sz w:val="20"/>
                <w:szCs w:val="20"/>
                <w:color w:val="auto"/>
              </w:rPr>
            </w:pPr>
            <w:r>
              <w:rPr>
                <w:rFonts w:ascii="Arial" w:cs="Arial" w:eastAsia="Arial" w:hAnsi="Arial"/>
                <w:sz w:val="20"/>
                <w:szCs w:val="20"/>
                <w:color w:val="auto"/>
              </w:rPr>
              <w:t>33,503</w:t>
            </w:r>
          </w:p>
        </w:tc>
        <w:tc>
          <w:tcPr>
            <w:tcW w:w="80" w:type="dxa"/>
            <w:vAlign w:val="bottom"/>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  (141,354)</w:t>
            </w:r>
          </w:p>
        </w:tc>
        <w:tc>
          <w:tcPr>
            <w:tcW w:w="80" w:type="dxa"/>
            <w:vAlign w:val="bottom"/>
          </w:tcPr>
          <w:p>
            <w:pPr>
              <w:spacing w:after="0"/>
              <w:rPr>
                <w:sz w:val="21"/>
                <w:szCs w:val="21"/>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w w:val="8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174,857</w:t>
            </w:r>
          </w:p>
        </w:tc>
        <w:tc>
          <w:tcPr>
            <w:tcW w:w="1200" w:type="dxa"/>
            <w:vAlign w:val="bottom"/>
          </w:tcPr>
          <w:p>
            <w:pPr>
              <w:jc w:val="right"/>
              <w:spacing w:after="0"/>
              <w:rPr>
                <w:sz w:val="20"/>
                <w:szCs w:val="20"/>
                <w:color w:val="auto"/>
              </w:rPr>
            </w:pPr>
            <w:r>
              <w:rPr>
                <w:rFonts w:ascii="Arial" w:cs="Arial" w:eastAsia="Arial" w:hAnsi="Arial"/>
                <w:sz w:val="20"/>
                <w:szCs w:val="20"/>
                <w:color w:val="auto"/>
              </w:rPr>
              <w:t>(124)%</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93,511</w:t>
            </w:r>
          </w:p>
        </w:tc>
        <w:tc>
          <w:tcPr>
            <w:tcW w:w="80" w:type="dxa"/>
            <w:vAlign w:val="bottom"/>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  (113,491)</w:t>
            </w:r>
          </w:p>
        </w:tc>
        <w:tc>
          <w:tcPr>
            <w:tcW w:w="80" w:type="dxa"/>
            <w:vAlign w:val="bottom"/>
          </w:tcPr>
          <w:p>
            <w:pPr>
              <w:spacing w:after="0"/>
              <w:rPr>
                <w:sz w:val="21"/>
                <w:szCs w:val="21"/>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w w:val="8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207,002</w:t>
            </w:r>
          </w:p>
        </w:tc>
        <w:tc>
          <w:tcPr>
            <w:tcW w:w="1020" w:type="dxa"/>
            <w:vAlign w:val="bottom"/>
          </w:tcPr>
          <w:p>
            <w:pPr>
              <w:jc w:val="right"/>
              <w:spacing w:after="0"/>
              <w:rPr>
                <w:sz w:val="20"/>
                <w:szCs w:val="20"/>
                <w:color w:val="auto"/>
              </w:rPr>
            </w:pPr>
            <w:r>
              <w:rPr>
                <w:rFonts w:ascii="Arial" w:cs="Arial" w:eastAsia="Arial" w:hAnsi="Arial"/>
                <w:sz w:val="20"/>
                <w:szCs w:val="20"/>
                <w:color w:val="auto"/>
              </w:rPr>
              <w:t>(182)%</w:t>
            </w:r>
          </w:p>
        </w:tc>
        <w:tc>
          <w:tcPr>
            <w:tcW w:w="0" w:type="dxa"/>
            <w:vAlign w:val="bottom"/>
          </w:tcPr>
          <w:p>
            <w:pPr>
              <w:spacing w:after="0"/>
              <w:rPr>
                <w:sz w:val="1"/>
                <w:szCs w:val="1"/>
                <w:color w:val="auto"/>
              </w:rPr>
            </w:pPr>
          </w:p>
        </w:tc>
      </w:tr>
      <w:tr>
        <w:trPr>
          <w:trHeight w:val="20"/>
        </w:trPr>
        <w:tc>
          <w:tcPr>
            <w:tcW w:w="19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78105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35" w:right="339" w:bottom="1440" w:gutter="0" w:footer="0" w:header="0"/>
        </w:sectPr>
      </w:pPr>
    </w:p>
    <w:bookmarkStart w:id="56" w:name="page57"/>
    <w:bookmarkEnd w:id="56"/>
    <w:p>
      <w:pPr>
        <w:spacing w:after="0" w:line="123" w:lineRule="exact"/>
        <w:rPr>
          <w:sz w:val="20"/>
          <w:szCs w:val="20"/>
          <w:color w:val="auto"/>
        </w:rPr>
      </w:pPr>
    </w:p>
    <w:p>
      <w:pPr>
        <w:ind w:right="420"/>
        <w:spacing w:after="0" w:line="273" w:lineRule="auto"/>
        <w:rPr>
          <w:sz w:val="20"/>
          <w:szCs w:val="20"/>
          <w:color w:val="auto"/>
        </w:rPr>
      </w:pPr>
      <w:r>
        <w:rPr>
          <w:rFonts w:ascii="Arial" w:cs="Arial" w:eastAsia="Arial" w:hAnsi="Arial"/>
          <w:sz w:val="20"/>
          <w:szCs w:val="20"/>
          <w:color w:val="auto"/>
        </w:rPr>
        <w:t>The following table provides details on our operating results by reportable segment for the respective periods (in thousands, except percentages):</w:t>
      </w:r>
    </w:p>
    <w:tbl>
      <w:tblPr>
        <w:tblLayout w:type="fixed"/>
        <w:tblInd w:w="0" w:type="dxa"/>
        <w:tblCellMar>
          <w:top w:w="0" w:type="dxa"/>
          <w:left w:w="0" w:type="dxa"/>
          <w:bottom w:w="0" w:type="dxa"/>
          <w:right w:w="0" w:type="dxa"/>
        </w:tblCellMar>
      </w:tblPr>
      <w:tr>
        <w:trPr>
          <w:trHeight w:val="200"/>
        </w:trPr>
        <w:tc>
          <w:tcPr>
            <w:tcW w:w="1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0" w:type="dxa"/>
            <w:vAlign w:val="bottom"/>
            <w:gridSpan w:val="5"/>
          </w:tcPr>
          <w:p>
            <w:pPr>
              <w:jc w:val="center"/>
              <w:ind w:right="240"/>
              <w:spacing w:after="0" w:line="201" w:lineRule="exact"/>
              <w:rPr>
                <w:sz w:val="20"/>
                <w:szCs w:val="20"/>
                <w:color w:val="auto"/>
              </w:rPr>
            </w:pPr>
            <w:r>
              <w:rPr>
                <w:rFonts w:ascii="Arial" w:cs="Arial" w:eastAsia="Arial" w:hAnsi="Arial"/>
                <w:sz w:val="20"/>
                <w:szCs w:val="20"/>
                <w:b w:val="1"/>
                <w:bCs w:val="1"/>
                <w:color w:val="auto"/>
                <w:w w:val="99"/>
              </w:rPr>
              <w:t>Three Months Ended</w:t>
            </w:r>
          </w:p>
        </w:tc>
        <w:tc>
          <w:tcPr>
            <w:tcW w:w="180" w:type="dxa"/>
            <w:vAlign w:val="bottom"/>
          </w:tcPr>
          <w:p>
            <w:pPr>
              <w:spacing w:after="0"/>
              <w:rPr>
                <w:sz w:val="17"/>
                <w:szCs w:val="17"/>
                <w:color w:val="auto"/>
              </w:rPr>
            </w:pPr>
          </w:p>
        </w:tc>
        <w:tc>
          <w:tcPr>
            <w:tcW w:w="2240" w:type="dxa"/>
            <w:vAlign w:val="bottom"/>
            <w:gridSpan w:val="4"/>
            <w:vMerge w:val="restart"/>
          </w:tcPr>
          <w:p>
            <w:pPr>
              <w:ind w:left="60"/>
              <w:spacing w:after="0"/>
              <w:rPr>
                <w:sz w:val="20"/>
                <w:szCs w:val="20"/>
                <w:color w:val="auto"/>
              </w:rPr>
            </w:pPr>
            <w:r>
              <w:rPr>
                <w:rFonts w:ascii="Arial" w:cs="Arial" w:eastAsia="Arial" w:hAnsi="Arial"/>
                <w:sz w:val="20"/>
                <w:szCs w:val="20"/>
                <w:b w:val="1"/>
                <w:bCs w:val="1"/>
                <w:color w:val="auto"/>
              </w:rPr>
              <w:t>Increase/(Decrease)</w:t>
            </w:r>
          </w:p>
        </w:tc>
        <w:tc>
          <w:tcPr>
            <w:tcW w:w="180" w:type="dxa"/>
            <w:vAlign w:val="bottom"/>
          </w:tcPr>
          <w:p>
            <w:pPr>
              <w:spacing w:after="0"/>
              <w:rPr>
                <w:sz w:val="17"/>
                <w:szCs w:val="17"/>
                <w:color w:val="auto"/>
              </w:rPr>
            </w:pPr>
          </w:p>
        </w:tc>
        <w:tc>
          <w:tcPr>
            <w:tcW w:w="2280" w:type="dxa"/>
            <w:vAlign w:val="bottom"/>
            <w:gridSpan w:val="5"/>
          </w:tcPr>
          <w:p>
            <w:pPr>
              <w:jc w:val="center"/>
              <w:ind w:right="260"/>
              <w:spacing w:after="0" w:line="201" w:lineRule="exact"/>
              <w:rPr>
                <w:sz w:val="20"/>
                <w:szCs w:val="20"/>
                <w:color w:val="auto"/>
              </w:rPr>
            </w:pPr>
            <w:r>
              <w:rPr>
                <w:rFonts w:ascii="Arial" w:cs="Arial" w:eastAsia="Arial" w:hAnsi="Arial"/>
                <w:sz w:val="20"/>
                <w:szCs w:val="20"/>
                <w:b w:val="1"/>
                <w:bCs w:val="1"/>
                <w:color w:val="auto"/>
                <w:w w:val="99"/>
              </w:rPr>
              <w:t>Nine Months Ended</w:t>
            </w:r>
          </w:p>
        </w:tc>
        <w:tc>
          <w:tcPr>
            <w:tcW w:w="160" w:type="dxa"/>
            <w:vAlign w:val="bottom"/>
          </w:tcPr>
          <w:p>
            <w:pPr>
              <w:spacing w:after="0"/>
              <w:rPr>
                <w:sz w:val="17"/>
                <w:szCs w:val="17"/>
                <w:color w:val="auto"/>
              </w:rPr>
            </w:pPr>
          </w:p>
        </w:tc>
        <w:tc>
          <w:tcPr>
            <w:tcW w:w="2100" w:type="dxa"/>
            <w:vAlign w:val="bottom"/>
            <w:gridSpan w:val="3"/>
            <w:vMerge w:val="restart"/>
          </w:tcPr>
          <w:p>
            <w:pPr>
              <w:jc w:val="right"/>
              <w:ind w:right="200"/>
              <w:spacing w:after="0"/>
              <w:rPr>
                <w:sz w:val="20"/>
                <w:szCs w:val="20"/>
                <w:color w:val="auto"/>
              </w:rPr>
            </w:pPr>
            <w:r>
              <w:rPr>
                <w:rFonts w:ascii="Arial" w:cs="Arial" w:eastAsia="Arial" w:hAnsi="Arial"/>
                <w:sz w:val="20"/>
                <w:szCs w:val="20"/>
                <w:b w:val="1"/>
                <w:bCs w:val="1"/>
                <w:color w:val="auto"/>
                <w:w w:val="99"/>
              </w:rPr>
              <w:t>Increase/(Decrease)</w:t>
            </w:r>
          </w:p>
        </w:tc>
        <w:tc>
          <w:tcPr>
            <w:tcW w:w="0" w:type="dxa"/>
            <w:vAlign w:val="bottom"/>
          </w:tcPr>
          <w:p>
            <w:pPr>
              <w:spacing w:after="0"/>
              <w:rPr>
                <w:sz w:val="1"/>
                <w:szCs w:val="1"/>
                <w:color w:val="auto"/>
              </w:rPr>
            </w:pPr>
          </w:p>
        </w:tc>
      </w:tr>
      <w:tr>
        <w:trPr>
          <w:trHeight w:val="257"/>
        </w:trPr>
        <w:tc>
          <w:tcPr>
            <w:tcW w:w="17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200" w:type="dxa"/>
            <w:vAlign w:val="bottom"/>
            <w:gridSpan w:val="5"/>
          </w:tcPr>
          <w:p>
            <w:pPr>
              <w:jc w:val="center"/>
              <w:ind w:right="240"/>
              <w:spacing w:after="0"/>
              <w:rPr>
                <w:sz w:val="20"/>
                <w:szCs w:val="20"/>
                <w:color w:val="auto"/>
              </w:rPr>
            </w:pPr>
            <w:r>
              <w:rPr>
                <w:rFonts w:ascii="Arial" w:cs="Arial" w:eastAsia="Arial" w:hAnsi="Arial"/>
                <w:sz w:val="20"/>
                <w:szCs w:val="20"/>
                <w:b w:val="1"/>
                <w:bCs w:val="1"/>
                <w:color w:val="auto"/>
                <w:w w:val="99"/>
              </w:rPr>
              <w:t>September 30,</w:t>
            </w:r>
          </w:p>
        </w:tc>
        <w:tc>
          <w:tcPr>
            <w:tcW w:w="180" w:type="dxa"/>
            <w:vAlign w:val="bottom"/>
          </w:tcPr>
          <w:p>
            <w:pPr>
              <w:spacing w:after="0"/>
              <w:rPr>
                <w:sz w:val="22"/>
                <w:szCs w:val="22"/>
                <w:color w:val="auto"/>
              </w:rPr>
            </w:pPr>
          </w:p>
        </w:tc>
        <w:tc>
          <w:tcPr>
            <w:tcW w:w="2240" w:type="dxa"/>
            <w:vAlign w:val="bottom"/>
            <w:gridSpan w:val="4"/>
            <w:vMerge w:val="continue"/>
          </w:tcPr>
          <w:p>
            <w:pPr>
              <w:spacing w:after="0"/>
              <w:rPr>
                <w:sz w:val="22"/>
                <w:szCs w:val="22"/>
                <w:color w:val="auto"/>
              </w:rPr>
            </w:pPr>
          </w:p>
        </w:tc>
        <w:tc>
          <w:tcPr>
            <w:tcW w:w="180" w:type="dxa"/>
            <w:vAlign w:val="bottom"/>
          </w:tcPr>
          <w:p>
            <w:pPr>
              <w:spacing w:after="0"/>
              <w:rPr>
                <w:sz w:val="22"/>
                <w:szCs w:val="22"/>
                <w:color w:val="auto"/>
              </w:rPr>
            </w:pPr>
          </w:p>
        </w:tc>
        <w:tc>
          <w:tcPr>
            <w:tcW w:w="2280" w:type="dxa"/>
            <w:vAlign w:val="bottom"/>
            <w:gridSpan w:val="5"/>
          </w:tcPr>
          <w:p>
            <w:pPr>
              <w:jc w:val="center"/>
              <w:ind w:right="260"/>
              <w:spacing w:after="0"/>
              <w:rPr>
                <w:sz w:val="20"/>
                <w:szCs w:val="20"/>
                <w:color w:val="auto"/>
              </w:rPr>
            </w:pPr>
            <w:r>
              <w:rPr>
                <w:rFonts w:ascii="Arial" w:cs="Arial" w:eastAsia="Arial" w:hAnsi="Arial"/>
                <w:sz w:val="20"/>
                <w:szCs w:val="20"/>
                <w:b w:val="1"/>
                <w:bCs w:val="1"/>
                <w:color w:val="auto"/>
                <w:w w:val="97"/>
              </w:rPr>
              <w:t>September 30,</w:t>
            </w:r>
          </w:p>
        </w:tc>
        <w:tc>
          <w:tcPr>
            <w:tcW w:w="160" w:type="dxa"/>
            <w:vAlign w:val="bottom"/>
          </w:tcPr>
          <w:p>
            <w:pPr>
              <w:spacing w:after="0"/>
              <w:rPr>
                <w:sz w:val="22"/>
                <w:szCs w:val="22"/>
                <w:color w:val="auto"/>
              </w:rPr>
            </w:pPr>
          </w:p>
        </w:tc>
        <w:tc>
          <w:tcPr>
            <w:tcW w:w="2100" w:type="dxa"/>
            <w:vAlign w:val="bottom"/>
            <w:gridSpan w:val="3"/>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1740" w:type="dxa"/>
            <w:vAlign w:val="bottom"/>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920" w:type="dxa"/>
            <w:vAlign w:val="bottom"/>
            <w:tcBorders>
              <w:top w:val="single" w:sz="8" w:color="auto"/>
            </w:tcBorders>
          </w:tcPr>
          <w:p>
            <w:pPr>
              <w:jc w:val="right"/>
              <w:ind w:right="221"/>
              <w:spacing w:after="0"/>
              <w:rPr>
                <w:sz w:val="20"/>
                <w:szCs w:val="20"/>
                <w:color w:val="auto"/>
              </w:rPr>
            </w:pPr>
            <w:r>
              <w:rPr>
                <w:rFonts w:ascii="Arial" w:cs="Arial" w:eastAsia="Arial" w:hAnsi="Arial"/>
                <w:sz w:val="20"/>
                <w:szCs w:val="20"/>
                <w:b w:val="1"/>
                <w:bCs w:val="1"/>
                <w:color w:val="auto"/>
              </w:rPr>
              <w:t>2025</w:t>
            </w:r>
          </w:p>
        </w:tc>
        <w:tc>
          <w:tcPr>
            <w:tcW w:w="100" w:type="dxa"/>
            <w:vAlign w:val="bottom"/>
            <w:tcBorders>
              <w:top w:val="single" w:sz="8" w:color="auto"/>
            </w:tcBorders>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900" w:type="dxa"/>
            <w:vAlign w:val="bottom"/>
            <w:tcBorders>
              <w:top w:val="single" w:sz="8" w:color="auto"/>
            </w:tcBorders>
          </w:tcPr>
          <w:p>
            <w:pPr>
              <w:jc w:val="right"/>
              <w:ind w:right="241"/>
              <w:spacing w:after="0"/>
              <w:rPr>
                <w:sz w:val="20"/>
                <w:szCs w:val="20"/>
                <w:color w:val="auto"/>
              </w:rPr>
            </w:pPr>
            <w:r>
              <w:rPr>
                <w:rFonts w:ascii="Arial" w:cs="Arial" w:eastAsia="Arial" w:hAnsi="Arial"/>
                <w:sz w:val="20"/>
                <w:szCs w:val="20"/>
                <w:b w:val="1"/>
                <w:bCs w:val="1"/>
                <w:color w:val="auto"/>
              </w:rPr>
              <w:t>2024</w:t>
            </w:r>
          </w:p>
        </w:tc>
        <w:tc>
          <w:tcPr>
            <w:tcW w:w="80" w:type="dxa"/>
            <w:vAlign w:val="bottom"/>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980" w:type="dxa"/>
            <w:vAlign w:val="bottom"/>
            <w:tcBorders>
              <w:top w:val="single" w:sz="8" w:color="auto"/>
            </w:tcBorders>
          </w:tcPr>
          <w:p>
            <w:pPr>
              <w:jc w:val="right"/>
              <w:ind w:right="421"/>
              <w:spacing w:after="0"/>
              <w:rPr>
                <w:sz w:val="20"/>
                <w:szCs w:val="20"/>
                <w:color w:val="auto"/>
              </w:rPr>
            </w:pPr>
            <w:r>
              <w:rPr>
                <w:rFonts w:ascii="Arial" w:cs="Arial" w:eastAsia="Arial" w:hAnsi="Arial"/>
                <w:sz w:val="20"/>
                <w:szCs w:val="20"/>
                <w:b w:val="1"/>
                <w:bCs w:val="1"/>
                <w:color w:val="auto"/>
              </w:rPr>
              <w:t>$</w:t>
            </w:r>
          </w:p>
        </w:tc>
        <w:tc>
          <w:tcPr>
            <w:tcW w:w="1180" w:type="dxa"/>
            <w:vAlign w:val="bottom"/>
            <w:tcBorders>
              <w:top w:val="single" w:sz="8" w:color="auto"/>
            </w:tcBorders>
            <w:gridSpan w:val="2"/>
          </w:tcPr>
          <w:p>
            <w:pPr>
              <w:jc w:val="right"/>
              <w:ind w:right="460"/>
              <w:spacing w:after="0"/>
              <w:rPr>
                <w:sz w:val="20"/>
                <w:szCs w:val="20"/>
                <w:color w:val="auto"/>
              </w:rPr>
            </w:pPr>
            <w:r>
              <w:rPr>
                <w:rFonts w:ascii="Arial" w:cs="Arial" w:eastAsia="Arial" w:hAnsi="Arial"/>
                <w:sz w:val="20"/>
                <w:szCs w:val="20"/>
                <w:b w:val="1"/>
                <w:bCs w:val="1"/>
                <w:color w:val="auto"/>
              </w:rPr>
              <w:t>%</w:t>
            </w:r>
          </w:p>
        </w:tc>
        <w:tc>
          <w:tcPr>
            <w:tcW w:w="80" w:type="dxa"/>
            <w:vAlign w:val="bottom"/>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1000" w:type="dxa"/>
            <w:vAlign w:val="bottom"/>
            <w:tcBorders>
              <w:top w:val="single" w:sz="8" w:color="auto"/>
            </w:tcBorders>
          </w:tcPr>
          <w:p>
            <w:pPr>
              <w:jc w:val="right"/>
              <w:ind w:right="281"/>
              <w:spacing w:after="0"/>
              <w:rPr>
                <w:sz w:val="20"/>
                <w:szCs w:val="20"/>
                <w:color w:val="auto"/>
              </w:rPr>
            </w:pPr>
            <w:r>
              <w:rPr>
                <w:rFonts w:ascii="Arial" w:cs="Arial" w:eastAsia="Arial" w:hAnsi="Arial"/>
                <w:sz w:val="20"/>
                <w:szCs w:val="20"/>
                <w:b w:val="1"/>
                <w:bCs w:val="1"/>
                <w:color w:val="auto"/>
              </w:rPr>
              <w:t>2025</w:t>
            </w:r>
          </w:p>
        </w:tc>
        <w:tc>
          <w:tcPr>
            <w:tcW w:w="80" w:type="dxa"/>
            <w:vAlign w:val="bottom"/>
            <w:tcBorders>
              <w:top w:val="single" w:sz="8" w:color="auto"/>
            </w:tcBorders>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900" w:type="dxa"/>
            <w:vAlign w:val="bottom"/>
            <w:tcBorders>
              <w:top w:val="single" w:sz="8" w:color="auto"/>
            </w:tcBorders>
          </w:tcPr>
          <w:p>
            <w:pPr>
              <w:jc w:val="right"/>
              <w:ind w:right="241"/>
              <w:spacing w:after="0"/>
              <w:rPr>
                <w:sz w:val="20"/>
                <w:szCs w:val="20"/>
                <w:color w:val="auto"/>
              </w:rPr>
            </w:pPr>
            <w:r>
              <w:rPr>
                <w:rFonts w:ascii="Arial" w:cs="Arial" w:eastAsia="Arial" w:hAnsi="Arial"/>
                <w:sz w:val="20"/>
                <w:szCs w:val="20"/>
                <w:b w:val="1"/>
                <w:bCs w:val="1"/>
                <w:color w:val="auto"/>
              </w:rPr>
              <w:t>2024</w:t>
            </w:r>
          </w:p>
        </w:tc>
        <w:tc>
          <w:tcPr>
            <w:tcW w:w="80" w:type="dxa"/>
            <w:vAlign w:val="bottom"/>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1040" w:type="dxa"/>
            <w:vAlign w:val="bottom"/>
            <w:tcBorders>
              <w:top w:val="single" w:sz="8" w:color="auto"/>
            </w:tcBorders>
          </w:tcPr>
          <w:p>
            <w:pPr>
              <w:jc w:val="right"/>
              <w:ind w:right="441"/>
              <w:spacing w:after="0"/>
              <w:rPr>
                <w:sz w:val="20"/>
                <w:szCs w:val="20"/>
                <w:color w:val="auto"/>
              </w:rPr>
            </w:pPr>
            <w:r>
              <w:rPr>
                <w:rFonts w:ascii="Arial" w:cs="Arial" w:eastAsia="Arial" w:hAnsi="Arial"/>
                <w:sz w:val="20"/>
                <w:szCs w:val="20"/>
                <w:b w:val="1"/>
                <w:bCs w:val="1"/>
                <w:color w:val="auto"/>
              </w:rPr>
              <w:t>$</w:t>
            </w:r>
          </w:p>
        </w:tc>
        <w:tc>
          <w:tcPr>
            <w:tcW w:w="1060" w:type="dxa"/>
            <w:vAlign w:val="bottom"/>
            <w:tcBorders>
              <w:top w:val="single" w:sz="8" w:color="auto"/>
            </w:tcBorders>
            <w:gridSpan w:val="2"/>
          </w:tcPr>
          <w:p>
            <w:pPr>
              <w:jc w:val="right"/>
              <w:ind w:right="400"/>
              <w:spacing w:after="0"/>
              <w:rPr>
                <w:sz w:val="20"/>
                <w:szCs w:val="20"/>
                <w:color w:val="auto"/>
              </w:rPr>
            </w:pPr>
            <w:r>
              <w:rPr>
                <w:rFonts w:ascii="Arial" w:cs="Arial" w:eastAsia="Arial" w:hAnsi="Arial"/>
                <w:sz w:val="20"/>
                <w:szCs w:val="20"/>
                <w:b w:val="1"/>
                <w:bCs w:val="1"/>
                <w:color w:val="auto"/>
              </w:rPr>
              <w:t>%</w:t>
            </w:r>
          </w:p>
        </w:tc>
        <w:tc>
          <w:tcPr>
            <w:tcW w:w="0" w:type="dxa"/>
            <w:vAlign w:val="bottom"/>
          </w:tcPr>
          <w:p>
            <w:pPr>
              <w:spacing w:after="0"/>
              <w:rPr>
                <w:sz w:val="1"/>
                <w:szCs w:val="1"/>
                <w:color w:val="auto"/>
              </w:rPr>
            </w:pPr>
          </w:p>
        </w:tc>
      </w:tr>
      <w:tr>
        <w:trPr>
          <w:trHeight w:val="237"/>
        </w:trPr>
        <w:tc>
          <w:tcPr>
            <w:tcW w:w="17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20"/>
                <w:szCs w:val="20"/>
                <w:color w:val="auto"/>
              </w:rPr>
              <w:t>Revenue</w:t>
            </w:r>
          </w:p>
        </w:tc>
        <w:tc>
          <w:tcPr>
            <w:tcW w:w="160" w:type="dxa"/>
            <w:vAlign w:val="bottom"/>
            <w:tcBorders>
              <w:top w:val="single" w:sz="8" w:color="auto"/>
            </w:tcBorders>
            <w:shd w:val="clear" w:color="auto" w:fill="CCEEFF"/>
          </w:tcPr>
          <w:p>
            <w:pPr>
              <w:spacing w:after="0"/>
              <w:rPr>
                <w:sz w:val="20"/>
                <w:szCs w:val="20"/>
                <w:color w:val="auto"/>
              </w:rPr>
            </w:pPr>
          </w:p>
        </w:tc>
        <w:tc>
          <w:tcPr>
            <w:tcW w:w="920" w:type="dxa"/>
            <w:vAlign w:val="bottom"/>
            <w:tcBorders>
              <w:top w:val="single" w:sz="8" w:color="auto"/>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200" w:type="dxa"/>
            <w:vAlign w:val="bottom"/>
            <w:tcBorders>
              <w:top w:val="single" w:sz="8" w:color="auto"/>
            </w:tcBorders>
            <w:shd w:val="clear" w:color="auto" w:fill="CCEEFF"/>
          </w:tcPr>
          <w:p>
            <w:pPr>
              <w:spacing w:after="0"/>
              <w:rPr>
                <w:sz w:val="20"/>
                <w:szCs w:val="20"/>
                <w:color w:val="auto"/>
              </w:rPr>
            </w:pPr>
          </w:p>
        </w:tc>
        <w:tc>
          <w:tcPr>
            <w:tcW w:w="900" w:type="dxa"/>
            <w:vAlign w:val="bottom"/>
            <w:tcBorders>
              <w:top w:val="single" w:sz="8" w:color="auto"/>
            </w:tcBorders>
            <w:shd w:val="clear" w:color="auto" w:fill="CCEEFF"/>
          </w:tcPr>
          <w:p>
            <w:pPr>
              <w:spacing w:after="0"/>
              <w:rPr>
                <w:sz w:val="20"/>
                <w:szCs w:val="20"/>
                <w:color w:val="auto"/>
              </w:rPr>
            </w:pPr>
          </w:p>
        </w:tc>
        <w:tc>
          <w:tcPr>
            <w:tcW w:w="80" w:type="dxa"/>
            <w:vAlign w:val="bottom"/>
            <w:tcBorders>
              <w:top w:val="single" w:sz="8" w:color="CCEEFF"/>
            </w:tcBorders>
            <w:shd w:val="clear" w:color="auto" w:fill="CCEEFF"/>
          </w:tcPr>
          <w:p>
            <w:pPr>
              <w:spacing w:after="0"/>
              <w:rPr>
                <w:sz w:val="20"/>
                <w:szCs w:val="20"/>
                <w:color w:val="auto"/>
              </w:rPr>
            </w:pPr>
          </w:p>
        </w:tc>
        <w:tc>
          <w:tcPr>
            <w:tcW w:w="180" w:type="dxa"/>
            <w:vAlign w:val="bottom"/>
            <w:tcBorders>
              <w:top w:val="single" w:sz="8" w:color="auto"/>
            </w:tcBorders>
            <w:shd w:val="clear" w:color="auto" w:fill="CCEEFF"/>
          </w:tcPr>
          <w:p>
            <w:pPr>
              <w:spacing w:after="0"/>
              <w:rPr>
                <w:sz w:val="20"/>
                <w:szCs w:val="20"/>
                <w:color w:val="auto"/>
              </w:rPr>
            </w:pPr>
          </w:p>
        </w:tc>
        <w:tc>
          <w:tcPr>
            <w:tcW w:w="980" w:type="dxa"/>
            <w:vAlign w:val="bottom"/>
            <w:tcBorders>
              <w:top w:val="single" w:sz="8" w:color="auto"/>
            </w:tcBorders>
            <w:shd w:val="clear" w:color="auto" w:fill="CCEEFF"/>
          </w:tcPr>
          <w:p>
            <w:pPr>
              <w:spacing w:after="0"/>
              <w:rPr>
                <w:sz w:val="20"/>
                <w:szCs w:val="20"/>
                <w:color w:val="auto"/>
              </w:rPr>
            </w:pPr>
          </w:p>
        </w:tc>
        <w:tc>
          <w:tcPr>
            <w:tcW w:w="80" w:type="dxa"/>
            <w:vAlign w:val="bottom"/>
            <w:tcBorders>
              <w:top w:val="single" w:sz="8" w:color="CCEEFF"/>
            </w:tcBorders>
            <w:shd w:val="clear" w:color="auto" w:fill="CCEEFF"/>
          </w:tcPr>
          <w:p>
            <w:pPr>
              <w:spacing w:after="0"/>
              <w:rPr>
                <w:sz w:val="20"/>
                <w:szCs w:val="20"/>
                <w:color w:val="auto"/>
              </w:rPr>
            </w:pPr>
          </w:p>
        </w:tc>
        <w:tc>
          <w:tcPr>
            <w:tcW w:w="1100" w:type="dxa"/>
            <w:vAlign w:val="bottom"/>
            <w:tcBorders>
              <w:top w:val="single" w:sz="8" w:color="auto"/>
            </w:tcBorders>
            <w:shd w:val="clear" w:color="auto" w:fill="CCEEFF"/>
          </w:tcPr>
          <w:p>
            <w:pPr>
              <w:spacing w:after="0"/>
              <w:rPr>
                <w:sz w:val="20"/>
                <w:szCs w:val="20"/>
                <w:color w:val="auto"/>
              </w:rPr>
            </w:pPr>
          </w:p>
        </w:tc>
        <w:tc>
          <w:tcPr>
            <w:tcW w:w="80" w:type="dxa"/>
            <w:vAlign w:val="bottom"/>
            <w:tcBorders>
              <w:top w:val="single" w:sz="8" w:color="CCEEFF"/>
            </w:tcBorders>
            <w:shd w:val="clear" w:color="auto" w:fill="CCEEFF"/>
          </w:tcPr>
          <w:p>
            <w:pPr>
              <w:spacing w:after="0"/>
              <w:rPr>
                <w:sz w:val="20"/>
                <w:szCs w:val="20"/>
                <w:color w:val="auto"/>
              </w:rPr>
            </w:pPr>
          </w:p>
        </w:tc>
        <w:tc>
          <w:tcPr>
            <w:tcW w:w="180" w:type="dxa"/>
            <w:vAlign w:val="bottom"/>
            <w:tcBorders>
              <w:top w:val="single" w:sz="8" w:color="auto"/>
            </w:tcBorders>
            <w:shd w:val="clear" w:color="auto" w:fill="CCEEFF"/>
          </w:tcPr>
          <w:p>
            <w:pPr>
              <w:spacing w:after="0"/>
              <w:rPr>
                <w:sz w:val="20"/>
                <w:szCs w:val="20"/>
                <w:color w:val="auto"/>
              </w:rPr>
            </w:pPr>
          </w:p>
        </w:tc>
        <w:tc>
          <w:tcPr>
            <w:tcW w:w="1000" w:type="dxa"/>
            <w:vAlign w:val="bottom"/>
            <w:tcBorders>
              <w:top w:val="single" w:sz="8" w:color="auto"/>
            </w:tcBorders>
            <w:shd w:val="clear" w:color="auto" w:fill="CCEEFF"/>
          </w:tcPr>
          <w:p>
            <w:pPr>
              <w:spacing w:after="0"/>
              <w:rPr>
                <w:sz w:val="20"/>
                <w:szCs w:val="20"/>
                <w:color w:val="auto"/>
              </w:rPr>
            </w:pPr>
          </w:p>
        </w:tc>
        <w:tc>
          <w:tcPr>
            <w:tcW w:w="80" w:type="dxa"/>
            <w:vAlign w:val="bottom"/>
            <w:tcBorders>
              <w:top w:val="single" w:sz="8" w:color="CCEEFF"/>
            </w:tcBorders>
            <w:shd w:val="clear" w:color="auto" w:fill="CCEEFF"/>
          </w:tcPr>
          <w:p>
            <w:pPr>
              <w:spacing w:after="0"/>
              <w:rPr>
                <w:sz w:val="20"/>
                <w:szCs w:val="20"/>
                <w:color w:val="auto"/>
              </w:rPr>
            </w:pPr>
          </w:p>
        </w:tc>
        <w:tc>
          <w:tcPr>
            <w:tcW w:w="220" w:type="dxa"/>
            <w:vAlign w:val="bottom"/>
            <w:tcBorders>
              <w:top w:val="single" w:sz="8" w:color="auto"/>
            </w:tcBorders>
            <w:shd w:val="clear" w:color="auto" w:fill="CCEEFF"/>
          </w:tcPr>
          <w:p>
            <w:pPr>
              <w:spacing w:after="0"/>
              <w:rPr>
                <w:sz w:val="20"/>
                <w:szCs w:val="20"/>
                <w:color w:val="auto"/>
              </w:rPr>
            </w:pPr>
          </w:p>
        </w:tc>
        <w:tc>
          <w:tcPr>
            <w:tcW w:w="900" w:type="dxa"/>
            <w:vAlign w:val="bottom"/>
            <w:tcBorders>
              <w:top w:val="single" w:sz="8" w:color="auto"/>
            </w:tcBorders>
            <w:shd w:val="clear" w:color="auto" w:fill="CCEEFF"/>
          </w:tcPr>
          <w:p>
            <w:pPr>
              <w:spacing w:after="0"/>
              <w:rPr>
                <w:sz w:val="20"/>
                <w:szCs w:val="20"/>
                <w:color w:val="auto"/>
              </w:rPr>
            </w:pPr>
          </w:p>
        </w:tc>
        <w:tc>
          <w:tcPr>
            <w:tcW w:w="80" w:type="dxa"/>
            <w:vAlign w:val="bottom"/>
            <w:tcBorders>
              <w:top w:val="single" w:sz="8" w:color="CCEEFF"/>
            </w:tcBorders>
            <w:shd w:val="clear" w:color="auto" w:fill="CCEEFF"/>
          </w:tcPr>
          <w:p>
            <w:pPr>
              <w:spacing w:after="0"/>
              <w:rPr>
                <w:sz w:val="20"/>
                <w:szCs w:val="20"/>
                <w:color w:val="auto"/>
              </w:rPr>
            </w:pPr>
          </w:p>
        </w:tc>
        <w:tc>
          <w:tcPr>
            <w:tcW w:w="160" w:type="dxa"/>
            <w:vAlign w:val="bottom"/>
            <w:tcBorders>
              <w:top w:val="single" w:sz="8" w:color="auto"/>
            </w:tcBorders>
            <w:shd w:val="clear" w:color="auto" w:fill="CCEEFF"/>
          </w:tcPr>
          <w:p>
            <w:pPr>
              <w:spacing w:after="0"/>
              <w:rPr>
                <w:sz w:val="20"/>
                <w:szCs w:val="20"/>
                <w:color w:val="auto"/>
              </w:rPr>
            </w:pPr>
          </w:p>
        </w:tc>
        <w:tc>
          <w:tcPr>
            <w:tcW w:w="1040" w:type="dxa"/>
            <w:vAlign w:val="bottom"/>
            <w:tcBorders>
              <w:top w:val="single" w:sz="8" w:color="auto"/>
            </w:tcBorders>
            <w:shd w:val="clear" w:color="auto" w:fill="CCEEFF"/>
          </w:tcPr>
          <w:p>
            <w:pPr>
              <w:spacing w:after="0"/>
              <w:rPr>
                <w:sz w:val="20"/>
                <w:szCs w:val="20"/>
                <w:color w:val="auto"/>
              </w:rPr>
            </w:pPr>
          </w:p>
        </w:tc>
        <w:tc>
          <w:tcPr>
            <w:tcW w:w="80" w:type="dxa"/>
            <w:vAlign w:val="bottom"/>
            <w:tcBorders>
              <w:top w:val="single" w:sz="8" w:color="CCEEFF"/>
            </w:tcBorders>
            <w:shd w:val="clear" w:color="auto" w:fill="CCEEFF"/>
          </w:tcPr>
          <w:p>
            <w:pPr>
              <w:spacing w:after="0"/>
              <w:rPr>
                <w:sz w:val="20"/>
                <w:szCs w:val="20"/>
                <w:color w:val="auto"/>
              </w:rPr>
            </w:pPr>
          </w:p>
        </w:tc>
        <w:tc>
          <w:tcPr>
            <w:tcW w:w="980" w:type="dxa"/>
            <w:vAlign w:val="bottom"/>
            <w:tcBorders>
              <w:top w:val="single" w:sz="8" w:color="auto"/>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89"/>
        </w:trPr>
        <w:tc>
          <w:tcPr>
            <w:tcW w:w="1740" w:type="dxa"/>
            <w:vAlign w:val="bottom"/>
          </w:tcPr>
          <w:p>
            <w:pPr>
              <w:ind w:left="240"/>
              <w:spacing w:after="0" w:line="189" w:lineRule="exact"/>
              <w:rPr>
                <w:sz w:val="20"/>
                <w:szCs w:val="20"/>
                <w:color w:val="auto"/>
              </w:rPr>
            </w:pPr>
            <w:r>
              <w:rPr>
                <w:rFonts w:ascii="Arial" w:cs="Arial" w:eastAsia="Arial" w:hAnsi="Arial"/>
                <w:sz w:val="20"/>
                <w:szCs w:val="20"/>
                <w:color w:val="auto"/>
              </w:rPr>
              <w:t>Array Legacy</w:t>
            </w:r>
          </w:p>
        </w:tc>
        <w:tc>
          <w:tcPr>
            <w:tcW w:w="160" w:type="dxa"/>
            <w:vAlign w:val="bottom"/>
            <w:vMerge w:val="restart"/>
          </w:tcPr>
          <w:p>
            <w:pPr>
              <w:jc w:val="right"/>
              <w:spacing w:after="0"/>
              <w:rPr>
                <w:sz w:val="20"/>
                <w:szCs w:val="20"/>
                <w:color w:val="auto"/>
              </w:rPr>
            </w:pPr>
            <w:r>
              <w:rPr>
                <w:rFonts w:ascii="Arial" w:cs="Arial" w:eastAsia="Arial" w:hAnsi="Arial"/>
                <w:sz w:val="20"/>
                <w:szCs w:val="20"/>
                <w:color w:val="auto"/>
              </w:rPr>
              <w:t>$</w:t>
            </w:r>
          </w:p>
        </w:tc>
        <w:tc>
          <w:tcPr>
            <w:tcW w:w="920" w:type="dxa"/>
            <w:vAlign w:val="bottom"/>
            <w:vMerge w:val="restart"/>
          </w:tcPr>
          <w:p>
            <w:pPr>
              <w:jc w:val="right"/>
              <w:spacing w:after="0"/>
              <w:rPr>
                <w:sz w:val="20"/>
                <w:szCs w:val="20"/>
                <w:color w:val="auto"/>
              </w:rPr>
            </w:pPr>
            <w:r>
              <w:rPr>
                <w:rFonts w:ascii="Arial" w:cs="Arial" w:eastAsia="Arial" w:hAnsi="Arial"/>
                <w:sz w:val="20"/>
                <w:szCs w:val="20"/>
                <w:color w:val="auto"/>
              </w:rPr>
              <w:t>353,374</w:t>
            </w:r>
          </w:p>
        </w:tc>
        <w:tc>
          <w:tcPr>
            <w:tcW w:w="100" w:type="dxa"/>
            <w:vAlign w:val="bottom"/>
          </w:tcPr>
          <w:p>
            <w:pPr>
              <w:spacing w:after="0"/>
              <w:rPr>
                <w:sz w:val="16"/>
                <w:szCs w:val="16"/>
                <w:color w:val="auto"/>
              </w:rPr>
            </w:pPr>
          </w:p>
        </w:tc>
        <w:tc>
          <w:tcPr>
            <w:tcW w:w="200" w:type="dxa"/>
            <w:vAlign w:val="bottom"/>
            <w:vMerge w:val="restart"/>
          </w:tcPr>
          <w:p>
            <w:pPr>
              <w:jc w:val="right"/>
              <w:spacing w:after="0"/>
              <w:rPr>
                <w:sz w:val="20"/>
                <w:szCs w:val="20"/>
                <w:color w:val="auto"/>
              </w:rPr>
            </w:pPr>
            <w:r>
              <w:rPr>
                <w:rFonts w:ascii="Arial" w:cs="Arial" w:eastAsia="Arial" w:hAnsi="Arial"/>
                <w:sz w:val="20"/>
                <w:szCs w:val="20"/>
                <w:color w:val="auto"/>
                <w:w w:val="89"/>
              </w:rPr>
              <w:t>$</w:t>
            </w:r>
          </w:p>
        </w:tc>
        <w:tc>
          <w:tcPr>
            <w:tcW w:w="900" w:type="dxa"/>
            <w:vAlign w:val="bottom"/>
            <w:vMerge w:val="restart"/>
          </w:tcPr>
          <w:p>
            <w:pPr>
              <w:jc w:val="right"/>
              <w:spacing w:after="0"/>
              <w:rPr>
                <w:sz w:val="20"/>
                <w:szCs w:val="20"/>
                <w:color w:val="auto"/>
              </w:rPr>
            </w:pPr>
            <w:r>
              <w:rPr>
                <w:rFonts w:ascii="Arial" w:cs="Arial" w:eastAsia="Arial" w:hAnsi="Arial"/>
                <w:sz w:val="20"/>
                <w:szCs w:val="20"/>
                <w:color w:val="auto"/>
              </w:rPr>
              <w:t>160,266</w:t>
            </w:r>
          </w:p>
        </w:tc>
        <w:tc>
          <w:tcPr>
            <w:tcW w:w="80" w:type="dxa"/>
            <w:vAlign w:val="bottom"/>
          </w:tcPr>
          <w:p>
            <w:pPr>
              <w:spacing w:after="0"/>
              <w:rPr>
                <w:sz w:val="16"/>
                <w:szCs w:val="16"/>
                <w:color w:val="auto"/>
              </w:rPr>
            </w:pPr>
          </w:p>
        </w:tc>
        <w:tc>
          <w:tcPr>
            <w:tcW w:w="180" w:type="dxa"/>
            <w:vAlign w:val="bottom"/>
            <w:vMerge w:val="restart"/>
          </w:tcPr>
          <w:p>
            <w:pPr>
              <w:jc w:val="right"/>
              <w:spacing w:after="0"/>
              <w:rPr>
                <w:sz w:val="20"/>
                <w:szCs w:val="20"/>
                <w:color w:val="auto"/>
              </w:rPr>
            </w:pPr>
            <w:r>
              <w:rPr>
                <w:rFonts w:ascii="Arial" w:cs="Arial" w:eastAsia="Arial" w:hAnsi="Arial"/>
                <w:sz w:val="20"/>
                <w:szCs w:val="20"/>
                <w:color w:val="auto"/>
                <w:w w:val="89"/>
              </w:rPr>
              <w:t>$</w:t>
            </w:r>
          </w:p>
        </w:tc>
        <w:tc>
          <w:tcPr>
            <w:tcW w:w="980" w:type="dxa"/>
            <w:vAlign w:val="bottom"/>
            <w:vMerge w:val="restart"/>
          </w:tcPr>
          <w:p>
            <w:pPr>
              <w:jc w:val="right"/>
              <w:spacing w:after="0"/>
              <w:rPr>
                <w:sz w:val="20"/>
                <w:szCs w:val="20"/>
                <w:color w:val="auto"/>
              </w:rPr>
            </w:pPr>
            <w:r>
              <w:rPr>
                <w:rFonts w:ascii="Arial" w:cs="Arial" w:eastAsia="Arial" w:hAnsi="Arial"/>
                <w:sz w:val="20"/>
                <w:szCs w:val="20"/>
                <w:color w:val="auto"/>
              </w:rPr>
              <w:t>193,108</w:t>
            </w:r>
          </w:p>
        </w:tc>
        <w:tc>
          <w:tcPr>
            <w:tcW w:w="1180" w:type="dxa"/>
            <w:vAlign w:val="bottom"/>
            <w:gridSpan w:val="2"/>
            <w:vMerge w:val="restart"/>
          </w:tcPr>
          <w:p>
            <w:pPr>
              <w:jc w:val="right"/>
              <w:ind w:right="20"/>
              <w:spacing w:after="0"/>
              <w:rPr>
                <w:sz w:val="20"/>
                <w:szCs w:val="20"/>
                <w:color w:val="auto"/>
              </w:rPr>
            </w:pPr>
            <w:r>
              <w:rPr>
                <w:rFonts w:ascii="Arial" w:cs="Arial" w:eastAsia="Arial" w:hAnsi="Arial"/>
                <w:sz w:val="20"/>
                <w:szCs w:val="20"/>
                <w:color w:val="auto"/>
              </w:rPr>
              <w:t>120 %</w:t>
            </w:r>
          </w:p>
        </w:tc>
        <w:tc>
          <w:tcPr>
            <w:tcW w:w="80" w:type="dxa"/>
            <w:vAlign w:val="bottom"/>
          </w:tcPr>
          <w:p>
            <w:pPr>
              <w:spacing w:after="0"/>
              <w:rPr>
                <w:sz w:val="16"/>
                <w:szCs w:val="16"/>
                <w:color w:val="auto"/>
              </w:rPr>
            </w:pPr>
          </w:p>
        </w:tc>
        <w:tc>
          <w:tcPr>
            <w:tcW w:w="180" w:type="dxa"/>
            <w:vAlign w:val="bottom"/>
            <w:vMerge w:val="restart"/>
          </w:tcPr>
          <w:p>
            <w:pPr>
              <w:jc w:val="right"/>
              <w:spacing w:after="0"/>
              <w:rPr>
                <w:sz w:val="20"/>
                <w:szCs w:val="20"/>
                <w:color w:val="auto"/>
              </w:rPr>
            </w:pPr>
            <w:r>
              <w:rPr>
                <w:rFonts w:ascii="Arial" w:cs="Arial" w:eastAsia="Arial" w:hAnsi="Arial"/>
                <w:sz w:val="20"/>
                <w:szCs w:val="20"/>
                <w:color w:val="auto"/>
                <w:w w:val="89"/>
              </w:rPr>
              <w:t>$</w:t>
            </w:r>
          </w:p>
        </w:tc>
        <w:tc>
          <w:tcPr>
            <w:tcW w:w="1000" w:type="dxa"/>
            <w:vAlign w:val="bottom"/>
            <w:vMerge w:val="restart"/>
          </w:tcPr>
          <w:p>
            <w:pPr>
              <w:jc w:val="right"/>
              <w:spacing w:after="0"/>
              <w:rPr>
                <w:sz w:val="20"/>
                <w:szCs w:val="20"/>
                <w:color w:val="auto"/>
              </w:rPr>
            </w:pPr>
            <w:r>
              <w:rPr>
                <w:rFonts w:ascii="Arial" w:cs="Arial" w:eastAsia="Arial" w:hAnsi="Arial"/>
                <w:sz w:val="20"/>
                <w:szCs w:val="20"/>
                <w:color w:val="auto"/>
              </w:rPr>
              <w:t>858,474</w:t>
            </w:r>
          </w:p>
        </w:tc>
        <w:tc>
          <w:tcPr>
            <w:tcW w:w="80" w:type="dxa"/>
            <w:vAlign w:val="bottom"/>
          </w:tcPr>
          <w:p>
            <w:pPr>
              <w:spacing w:after="0"/>
              <w:rPr>
                <w:sz w:val="16"/>
                <w:szCs w:val="16"/>
                <w:color w:val="auto"/>
              </w:rPr>
            </w:pPr>
          </w:p>
        </w:tc>
        <w:tc>
          <w:tcPr>
            <w:tcW w:w="220" w:type="dxa"/>
            <w:vAlign w:val="bottom"/>
            <w:vMerge w:val="restart"/>
          </w:tcPr>
          <w:p>
            <w:pPr>
              <w:jc w:val="right"/>
              <w:spacing w:after="0"/>
              <w:rPr>
                <w:sz w:val="20"/>
                <w:szCs w:val="20"/>
                <w:color w:val="auto"/>
              </w:rPr>
            </w:pPr>
            <w:r>
              <w:rPr>
                <w:rFonts w:ascii="Arial" w:cs="Arial" w:eastAsia="Arial" w:hAnsi="Arial"/>
                <w:sz w:val="20"/>
                <w:szCs w:val="20"/>
                <w:color w:val="auto"/>
              </w:rPr>
              <w:t>$</w:t>
            </w:r>
          </w:p>
        </w:tc>
        <w:tc>
          <w:tcPr>
            <w:tcW w:w="900" w:type="dxa"/>
            <w:vAlign w:val="bottom"/>
            <w:vMerge w:val="restart"/>
          </w:tcPr>
          <w:p>
            <w:pPr>
              <w:jc w:val="right"/>
              <w:spacing w:after="0"/>
              <w:rPr>
                <w:sz w:val="20"/>
                <w:szCs w:val="20"/>
                <w:color w:val="auto"/>
              </w:rPr>
            </w:pPr>
            <w:r>
              <w:rPr>
                <w:rFonts w:ascii="Arial" w:cs="Arial" w:eastAsia="Arial" w:hAnsi="Arial"/>
                <w:sz w:val="20"/>
                <w:szCs w:val="20"/>
                <w:color w:val="auto"/>
              </w:rPr>
              <w:t>459,807</w:t>
            </w:r>
          </w:p>
        </w:tc>
        <w:tc>
          <w:tcPr>
            <w:tcW w:w="80" w:type="dxa"/>
            <w:vAlign w:val="bottom"/>
          </w:tcPr>
          <w:p>
            <w:pPr>
              <w:spacing w:after="0"/>
              <w:rPr>
                <w:sz w:val="16"/>
                <w:szCs w:val="16"/>
                <w:color w:val="auto"/>
              </w:rPr>
            </w:pPr>
          </w:p>
        </w:tc>
        <w:tc>
          <w:tcPr>
            <w:tcW w:w="160" w:type="dxa"/>
            <w:vAlign w:val="bottom"/>
            <w:vMerge w:val="restart"/>
          </w:tcPr>
          <w:p>
            <w:pPr>
              <w:jc w:val="right"/>
              <w:spacing w:after="0"/>
              <w:rPr>
                <w:sz w:val="20"/>
                <w:szCs w:val="20"/>
                <w:color w:val="auto"/>
              </w:rPr>
            </w:pPr>
            <w:r>
              <w:rPr>
                <w:rFonts w:ascii="Arial" w:cs="Arial" w:eastAsia="Arial" w:hAnsi="Arial"/>
                <w:sz w:val="20"/>
                <w:szCs w:val="20"/>
                <w:color w:val="auto"/>
              </w:rPr>
              <w:t>$</w:t>
            </w:r>
          </w:p>
        </w:tc>
        <w:tc>
          <w:tcPr>
            <w:tcW w:w="1040" w:type="dxa"/>
            <w:vAlign w:val="bottom"/>
            <w:vMerge w:val="restart"/>
          </w:tcPr>
          <w:p>
            <w:pPr>
              <w:jc w:val="right"/>
              <w:spacing w:after="0"/>
              <w:rPr>
                <w:sz w:val="20"/>
                <w:szCs w:val="20"/>
                <w:color w:val="auto"/>
              </w:rPr>
            </w:pPr>
            <w:r>
              <w:rPr>
                <w:rFonts w:ascii="Arial" w:cs="Arial" w:eastAsia="Arial" w:hAnsi="Arial"/>
                <w:sz w:val="20"/>
                <w:szCs w:val="20"/>
                <w:color w:val="auto"/>
              </w:rPr>
              <w:t>398,667</w:t>
            </w:r>
          </w:p>
        </w:tc>
        <w:tc>
          <w:tcPr>
            <w:tcW w:w="1060" w:type="dxa"/>
            <w:vAlign w:val="bottom"/>
            <w:gridSpan w:val="2"/>
            <w:vMerge w:val="restart"/>
          </w:tcPr>
          <w:p>
            <w:pPr>
              <w:jc w:val="right"/>
              <w:ind w:right="20"/>
              <w:spacing w:after="0"/>
              <w:rPr>
                <w:sz w:val="20"/>
                <w:szCs w:val="20"/>
                <w:color w:val="auto"/>
              </w:rPr>
            </w:pPr>
            <w:r>
              <w:rPr>
                <w:rFonts w:ascii="Arial" w:cs="Arial" w:eastAsia="Arial" w:hAnsi="Arial"/>
                <w:sz w:val="20"/>
                <w:szCs w:val="20"/>
                <w:color w:val="auto"/>
              </w:rPr>
              <w:t>87 %</w:t>
            </w:r>
          </w:p>
        </w:tc>
        <w:tc>
          <w:tcPr>
            <w:tcW w:w="0" w:type="dxa"/>
            <w:vAlign w:val="bottom"/>
          </w:tcPr>
          <w:p>
            <w:pPr>
              <w:spacing w:after="0"/>
              <w:rPr>
                <w:sz w:val="1"/>
                <w:szCs w:val="1"/>
                <w:color w:val="auto"/>
              </w:rPr>
            </w:pPr>
          </w:p>
        </w:tc>
      </w:tr>
      <w:tr>
        <w:trPr>
          <w:trHeight w:val="257"/>
        </w:trPr>
        <w:tc>
          <w:tcPr>
            <w:tcW w:w="1740" w:type="dxa"/>
            <w:vAlign w:val="bottom"/>
          </w:tcPr>
          <w:p>
            <w:pPr>
              <w:ind w:left="240"/>
              <w:spacing w:after="0"/>
              <w:rPr>
                <w:sz w:val="20"/>
                <w:szCs w:val="20"/>
                <w:color w:val="auto"/>
              </w:rPr>
            </w:pPr>
            <w:r>
              <w:rPr>
                <w:rFonts w:ascii="Arial" w:cs="Arial" w:eastAsia="Arial" w:hAnsi="Arial"/>
                <w:sz w:val="20"/>
                <w:szCs w:val="20"/>
                <w:color w:val="auto"/>
              </w:rPr>
              <w:t>Operations</w:t>
            </w:r>
          </w:p>
        </w:tc>
        <w:tc>
          <w:tcPr>
            <w:tcW w:w="160" w:type="dxa"/>
            <w:vAlign w:val="bottom"/>
            <w:vMerge w:val="continue"/>
          </w:tcPr>
          <w:p>
            <w:pPr>
              <w:spacing w:after="0"/>
              <w:rPr>
                <w:sz w:val="22"/>
                <w:szCs w:val="22"/>
                <w:color w:val="auto"/>
              </w:rPr>
            </w:pPr>
          </w:p>
        </w:tc>
        <w:tc>
          <w:tcPr>
            <w:tcW w:w="920" w:type="dxa"/>
            <w:vAlign w:val="bottom"/>
            <w:vMerge w:val="continue"/>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vMerge w:val="continue"/>
          </w:tcPr>
          <w:p>
            <w:pPr>
              <w:spacing w:after="0"/>
              <w:rPr>
                <w:sz w:val="22"/>
                <w:szCs w:val="22"/>
                <w:color w:val="auto"/>
              </w:rPr>
            </w:pPr>
          </w:p>
        </w:tc>
        <w:tc>
          <w:tcPr>
            <w:tcW w:w="900" w:type="dxa"/>
            <w:vAlign w:val="bottom"/>
            <w:vMerge w:val="continue"/>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vMerge w:val="continue"/>
          </w:tcPr>
          <w:p>
            <w:pPr>
              <w:spacing w:after="0"/>
              <w:rPr>
                <w:sz w:val="22"/>
                <w:szCs w:val="22"/>
                <w:color w:val="auto"/>
              </w:rPr>
            </w:pPr>
          </w:p>
        </w:tc>
        <w:tc>
          <w:tcPr>
            <w:tcW w:w="980" w:type="dxa"/>
            <w:vAlign w:val="bottom"/>
            <w:vMerge w:val="continue"/>
          </w:tcPr>
          <w:p>
            <w:pPr>
              <w:spacing w:after="0"/>
              <w:rPr>
                <w:sz w:val="22"/>
                <w:szCs w:val="22"/>
                <w:color w:val="auto"/>
              </w:rPr>
            </w:pPr>
          </w:p>
        </w:tc>
        <w:tc>
          <w:tcPr>
            <w:tcW w:w="1180" w:type="dxa"/>
            <w:vAlign w:val="bottom"/>
            <w:gridSpan w:val="2"/>
            <w:vMerge w:val="continue"/>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vMerge w:val="continue"/>
          </w:tcPr>
          <w:p>
            <w:pPr>
              <w:spacing w:after="0"/>
              <w:rPr>
                <w:sz w:val="22"/>
                <w:szCs w:val="22"/>
                <w:color w:val="auto"/>
              </w:rPr>
            </w:pPr>
          </w:p>
        </w:tc>
        <w:tc>
          <w:tcPr>
            <w:tcW w:w="1000" w:type="dxa"/>
            <w:vAlign w:val="bottom"/>
            <w:vMerge w:val="continue"/>
          </w:tcPr>
          <w:p>
            <w:pPr>
              <w:spacing w:after="0"/>
              <w:rPr>
                <w:sz w:val="22"/>
                <w:szCs w:val="22"/>
                <w:color w:val="auto"/>
              </w:rPr>
            </w:pPr>
          </w:p>
        </w:tc>
        <w:tc>
          <w:tcPr>
            <w:tcW w:w="80" w:type="dxa"/>
            <w:vAlign w:val="bottom"/>
          </w:tcPr>
          <w:p>
            <w:pPr>
              <w:spacing w:after="0"/>
              <w:rPr>
                <w:sz w:val="22"/>
                <w:szCs w:val="22"/>
                <w:color w:val="auto"/>
              </w:rPr>
            </w:pPr>
          </w:p>
        </w:tc>
        <w:tc>
          <w:tcPr>
            <w:tcW w:w="220" w:type="dxa"/>
            <w:vAlign w:val="bottom"/>
            <w:vMerge w:val="continue"/>
          </w:tcPr>
          <w:p>
            <w:pPr>
              <w:spacing w:after="0"/>
              <w:rPr>
                <w:sz w:val="22"/>
                <w:szCs w:val="22"/>
                <w:color w:val="auto"/>
              </w:rPr>
            </w:pPr>
          </w:p>
        </w:tc>
        <w:tc>
          <w:tcPr>
            <w:tcW w:w="900" w:type="dxa"/>
            <w:vAlign w:val="bottom"/>
            <w:vMerge w:val="continue"/>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vMerge w:val="continue"/>
          </w:tcPr>
          <w:p>
            <w:pPr>
              <w:spacing w:after="0"/>
              <w:rPr>
                <w:sz w:val="22"/>
                <w:szCs w:val="22"/>
                <w:color w:val="auto"/>
              </w:rPr>
            </w:pPr>
          </w:p>
        </w:tc>
        <w:tc>
          <w:tcPr>
            <w:tcW w:w="1040" w:type="dxa"/>
            <w:vAlign w:val="bottom"/>
            <w:vMerge w:val="continue"/>
          </w:tcPr>
          <w:p>
            <w:pPr>
              <w:spacing w:after="0"/>
              <w:rPr>
                <w:sz w:val="22"/>
                <w:szCs w:val="22"/>
                <w:color w:val="auto"/>
              </w:rPr>
            </w:pPr>
          </w:p>
        </w:tc>
        <w:tc>
          <w:tcPr>
            <w:tcW w:w="1060" w:type="dxa"/>
            <w:vAlign w:val="bottom"/>
            <w:gridSpan w:val="2"/>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1740" w:type="dxa"/>
            <w:vAlign w:val="bottom"/>
            <w:shd w:val="clear" w:color="auto" w:fill="CCEEFF"/>
          </w:tcPr>
          <w:p>
            <w:pPr>
              <w:ind w:left="240"/>
              <w:spacing w:after="0"/>
              <w:rPr>
                <w:sz w:val="20"/>
                <w:szCs w:val="20"/>
                <w:color w:val="auto"/>
              </w:rPr>
            </w:pPr>
            <w:r>
              <w:rPr>
                <w:rFonts w:ascii="Arial" w:cs="Arial" w:eastAsia="Arial" w:hAnsi="Arial"/>
                <w:sz w:val="20"/>
                <w:szCs w:val="20"/>
                <w:color w:val="auto"/>
              </w:rPr>
              <w:t>STI Operations</w:t>
            </w:r>
          </w:p>
        </w:tc>
        <w:tc>
          <w:tcPr>
            <w:tcW w:w="160" w:type="dxa"/>
            <w:vAlign w:val="bottom"/>
            <w:tcBorders>
              <w:bottom w:val="single" w:sz="8" w:color="auto"/>
            </w:tcBorders>
            <w:shd w:val="clear" w:color="auto" w:fill="CCEEFF"/>
          </w:tcPr>
          <w:p>
            <w:pPr>
              <w:spacing w:after="0"/>
              <w:rPr>
                <w:sz w:val="22"/>
                <w:szCs w:val="22"/>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40,117</w:t>
            </w:r>
          </w:p>
        </w:tc>
        <w:tc>
          <w:tcPr>
            <w:tcW w:w="100" w:type="dxa"/>
            <w:vAlign w:val="bottom"/>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71,140</w:t>
            </w:r>
          </w:p>
        </w:tc>
        <w:tc>
          <w:tcPr>
            <w:tcW w:w="80" w:type="dxa"/>
            <w:vAlign w:val="bottom"/>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(31,023)</w:t>
            </w: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20"/>
                <w:szCs w:val="20"/>
                <w:color w:val="auto"/>
              </w:rPr>
              <w:t>(44)%</w:t>
            </w:r>
          </w:p>
        </w:tc>
        <w:tc>
          <w:tcPr>
            <w:tcW w:w="80" w:type="dxa"/>
            <w:vAlign w:val="bottom"/>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199,623</w:t>
            </w:r>
          </w:p>
        </w:tc>
        <w:tc>
          <w:tcPr>
            <w:tcW w:w="80" w:type="dxa"/>
            <w:vAlign w:val="bottom"/>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180,768</w:t>
            </w:r>
          </w:p>
        </w:tc>
        <w:tc>
          <w:tcPr>
            <w:tcW w:w="80" w:type="dxa"/>
            <w:vAlign w:val="bottom"/>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18,855</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20"/>
                <w:szCs w:val="20"/>
                <w:color w:val="auto"/>
              </w:rPr>
              <w:t>10 %</w:t>
            </w:r>
          </w:p>
        </w:tc>
        <w:tc>
          <w:tcPr>
            <w:tcW w:w="0" w:type="dxa"/>
            <w:vAlign w:val="bottom"/>
          </w:tcPr>
          <w:p>
            <w:pPr>
              <w:spacing w:after="0"/>
              <w:rPr>
                <w:sz w:val="1"/>
                <w:szCs w:val="1"/>
                <w:color w:val="auto"/>
              </w:rPr>
            </w:pPr>
          </w:p>
        </w:tc>
      </w:tr>
      <w:tr>
        <w:trPr>
          <w:trHeight w:val="250"/>
        </w:trPr>
        <w:tc>
          <w:tcPr>
            <w:tcW w:w="1740" w:type="dxa"/>
            <w:vAlign w:val="bottom"/>
          </w:tcPr>
          <w:p>
            <w:pPr>
              <w:ind w:left="20"/>
              <w:spacing w:after="0"/>
              <w:rPr>
                <w:sz w:val="20"/>
                <w:szCs w:val="20"/>
                <w:color w:val="auto"/>
              </w:rPr>
            </w:pPr>
            <w:r>
              <w:rPr>
                <w:rFonts w:ascii="Arial" w:cs="Arial" w:eastAsia="Arial" w:hAnsi="Arial"/>
                <w:sz w:val="20"/>
                <w:szCs w:val="20"/>
                <w:color w:val="auto"/>
              </w:rPr>
              <w:t>Total</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393,491</w:t>
            </w:r>
          </w:p>
        </w:tc>
        <w:tc>
          <w:tcPr>
            <w:tcW w:w="100" w:type="dxa"/>
            <w:vAlign w:val="bottom"/>
          </w:tcPr>
          <w:p>
            <w:pPr>
              <w:spacing w:after="0"/>
              <w:rPr>
                <w:sz w:val="21"/>
                <w:szCs w:val="21"/>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w w:val="8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231,406</w:t>
            </w:r>
          </w:p>
        </w:tc>
        <w:tc>
          <w:tcPr>
            <w:tcW w:w="80" w:type="dxa"/>
            <w:vAlign w:val="bottom"/>
          </w:tcPr>
          <w:p>
            <w:pPr>
              <w:spacing w:after="0"/>
              <w:rPr>
                <w:sz w:val="21"/>
                <w:szCs w:val="21"/>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w w:val="8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162,085</w:t>
            </w:r>
          </w:p>
        </w:tc>
        <w:tc>
          <w:tcPr>
            <w:tcW w:w="1180" w:type="dxa"/>
            <w:vAlign w:val="bottom"/>
            <w:gridSpan w:val="2"/>
          </w:tcPr>
          <w:p>
            <w:pPr>
              <w:jc w:val="right"/>
              <w:ind w:right="20"/>
              <w:spacing w:after="0"/>
              <w:rPr>
                <w:sz w:val="20"/>
                <w:szCs w:val="20"/>
                <w:color w:val="auto"/>
              </w:rPr>
            </w:pPr>
            <w:r>
              <w:rPr>
                <w:rFonts w:ascii="Arial" w:cs="Arial" w:eastAsia="Arial" w:hAnsi="Arial"/>
                <w:sz w:val="20"/>
                <w:szCs w:val="20"/>
                <w:color w:val="auto"/>
              </w:rPr>
              <w:t>70 %</w:t>
            </w:r>
          </w:p>
        </w:tc>
        <w:tc>
          <w:tcPr>
            <w:tcW w:w="80" w:type="dxa"/>
            <w:vAlign w:val="bottom"/>
          </w:tcPr>
          <w:p>
            <w:pPr>
              <w:spacing w:after="0"/>
              <w:rPr>
                <w:sz w:val="21"/>
                <w:szCs w:val="21"/>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w w:val="8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1,058,097</w:t>
            </w:r>
          </w:p>
        </w:tc>
        <w:tc>
          <w:tcPr>
            <w:tcW w:w="80" w:type="dxa"/>
            <w:vAlign w:val="bottom"/>
          </w:tcPr>
          <w:p>
            <w:pPr>
              <w:spacing w:after="0"/>
              <w:rPr>
                <w:sz w:val="21"/>
                <w:szCs w:val="21"/>
                <w:color w:val="auto"/>
              </w:rPr>
            </w:pP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640,575</w:t>
            </w:r>
          </w:p>
        </w:tc>
        <w:tc>
          <w:tcPr>
            <w:tcW w:w="80" w:type="dxa"/>
            <w:vAlign w:val="bottom"/>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417,522</w:t>
            </w:r>
          </w:p>
        </w:tc>
        <w:tc>
          <w:tcPr>
            <w:tcW w:w="1060" w:type="dxa"/>
            <w:vAlign w:val="bottom"/>
            <w:gridSpan w:val="2"/>
          </w:tcPr>
          <w:p>
            <w:pPr>
              <w:jc w:val="right"/>
              <w:ind w:right="20"/>
              <w:spacing w:after="0"/>
              <w:rPr>
                <w:sz w:val="20"/>
                <w:szCs w:val="20"/>
                <w:color w:val="auto"/>
              </w:rPr>
            </w:pPr>
            <w:r>
              <w:rPr>
                <w:rFonts w:ascii="Arial" w:cs="Arial" w:eastAsia="Arial" w:hAnsi="Arial"/>
                <w:sz w:val="20"/>
                <w:szCs w:val="20"/>
                <w:color w:val="auto"/>
              </w:rPr>
              <w:t>65 %</w:t>
            </w:r>
          </w:p>
        </w:tc>
        <w:tc>
          <w:tcPr>
            <w:tcW w:w="0" w:type="dxa"/>
            <w:vAlign w:val="bottom"/>
          </w:tcPr>
          <w:p>
            <w:pPr>
              <w:spacing w:after="0"/>
              <w:rPr>
                <w:sz w:val="1"/>
                <w:szCs w:val="1"/>
                <w:color w:val="auto"/>
              </w:rPr>
            </w:pPr>
          </w:p>
        </w:tc>
      </w:tr>
      <w:tr>
        <w:trPr>
          <w:trHeight w:val="20"/>
        </w:trPr>
        <w:tc>
          <w:tcPr>
            <w:tcW w:w="17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7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1740" w:type="dxa"/>
            <w:vAlign w:val="bottom"/>
          </w:tcPr>
          <w:p>
            <w:pPr>
              <w:ind w:left="20"/>
              <w:spacing w:after="0"/>
              <w:rPr>
                <w:sz w:val="20"/>
                <w:szCs w:val="20"/>
                <w:color w:val="auto"/>
              </w:rPr>
            </w:pPr>
            <w:r>
              <w:rPr>
                <w:rFonts w:ascii="Arial" w:cs="Arial" w:eastAsia="Arial" w:hAnsi="Arial"/>
                <w:sz w:val="20"/>
                <w:szCs w:val="20"/>
                <w:color w:val="auto"/>
              </w:rPr>
              <w:t>Gross profit</w:t>
            </w:r>
          </w:p>
        </w:tc>
        <w:tc>
          <w:tcPr>
            <w:tcW w:w="16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89"/>
        </w:trPr>
        <w:tc>
          <w:tcPr>
            <w:tcW w:w="1740" w:type="dxa"/>
            <w:vAlign w:val="bottom"/>
            <w:shd w:val="clear" w:color="auto" w:fill="CCEEFF"/>
          </w:tcPr>
          <w:p>
            <w:pPr>
              <w:ind w:left="240"/>
              <w:spacing w:after="0" w:line="189" w:lineRule="exact"/>
              <w:rPr>
                <w:sz w:val="20"/>
                <w:szCs w:val="20"/>
                <w:color w:val="auto"/>
              </w:rPr>
            </w:pPr>
            <w:r>
              <w:rPr>
                <w:rFonts w:ascii="Arial" w:cs="Arial" w:eastAsia="Arial" w:hAnsi="Arial"/>
                <w:sz w:val="20"/>
                <w:szCs w:val="20"/>
                <w:color w:val="auto"/>
              </w:rPr>
              <w:t>Array Legacy</w:t>
            </w: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20"/>
                <w:szCs w:val="20"/>
                <w:color w:val="auto"/>
              </w:rPr>
              <w:t>102,127</w:t>
            </w:r>
          </w:p>
        </w:tc>
        <w:tc>
          <w:tcPr>
            <w:tcW w:w="100" w:type="dxa"/>
            <w:vAlign w:val="bottom"/>
            <w:shd w:val="clear" w:color="auto" w:fill="CCEEFF"/>
          </w:tcPr>
          <w:p>
            <w:pPr>
              <w:spacing w:after="0"/>
              <w:rPr>
                <w:sz w:val="16"/>
                <w:szCs w:val="16"/>
                <w:color w:val="auto"/>
              </w:rPr>
            </w:pPr>
          </w:p>
        </w:tc>
        <w:tc>
          <w:tcPr>
            <w:tcW w:w="200" w:type="dxa"/>
            <w:vAlign w:val="bottom"/>
            <w:vMerge w:val="restart"/>
            <w:shd w:val="clear" w:color="auto" w:fill="CCEEFF"/>
          </w:tcPr>
          <w:p>
            <w:pPr>
              <w:jc w:val="right"/>
              <w:spacing w:after="0"/>
              <w:rPr>
                <w:sz w:val="20"/>
                <w:szCs w:val="20"/>
                <w:color w:val="auto"/>
              </w:rPr>
            </w:pPr>
            <w:r>
              <w:rPr>
                <w:rFonts w:ascii="Arial" w:cs="Arial" w:eastAsia="Arial" w:hAnsi="Arial"/>
                <w:sz w:val="20"/>
                <w:szCs w:val="20"/>
                <w:color w:val="auto"/>
                <w:w w:val="89"/>
              </w:rPr>
              <w:t>$</w:t>
            </w: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20"/>
                <w:szCs w:val="20"/>
                <w:color w:val="auto"/>
              </w:rPr>
              <w:t>65,726</w:t>
            </w:r>
          </w:p>
        </w:tc>
        <w:tc>
          <w:tcPr>
            <w:tcW w:w="80" w:type="dxa"/>
            <w:vAlign w:val="bottom"/>
            <w:shd w:val="clear" w:color="auto" w:fill="CCEEFF"/>
          </w:tcPr>
          <w:p>
            <w:pPr>
              <w:spacing w:after="0"/>
              <w:rPr>
                <w:sz w:val="16"/>
                <w:szCs w:val="16"/>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20"/>
                <w:szCs w:val="20"/>
                <w:color w:val="auto"/>
                <w:w w:val="89"/>
              </w:rPr>
              <w:t>$</w:t>
            </w: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20"/>
                <w:szCs w:val="20"/>
                <w:color w:val="auto"/>
              </w:rPr>
              <w:t>36,401</w:t>
            </w:r>
          </w:p>
        </w:tc>
        <w:tc>
          <w:tcPr>
            <w:tcW w:w="118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20"/>
                <w:szCs w:val="20"/>
                <w:color w:val="auto"/>
              </w:rPr>
              <w:t>55 %</w:t>
            </w:r>
          </w:p>
        </w:tc>
        <w:tc>
          <w:tcPr>
            <w:tcW w:w="80" w:type="dxa"/>
            <w:vAlign w:val="bottom"/>
            <w:shd w:val="clear" w:color="auto" w:fill="CCEEFF"/>
          </w:tcPr>
          <w:p>
            <w:pPr>
              <w:spacing w:after="0"/>
              <w:rPr>
                <w:sz w:val="16"/>
                <w:szCs w:val="16"/>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20"/>
                <w:szCs w:val="20"/>
                <w:color w:val="auto"/>
                <w:w w:val="89"/>
              </w:rPr>
              <w:t>$</w:t>
            </w: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20"/>
                <w:szCs w:val="20"/>
                <w:color w:val="auto"/>
              </w:rPr>
              <w:t>251,813</w:t>
            </w:r>
          </w:p>
        </w:tc>
        <w:tc>
          <w:tcPr>
            <w:tcW w:w="80" w:type="dxa"/>
            <w:vAlign w:val="bottom"/>
            <w:shd w:val="clear" w:color="auto" w:fill="CCEEFF"/>
          </w:tcPr>
          <w:p>
            <w:pPr>
              <w:spacing w:after="0"/>
              <w:rPr>
                <w:sz w:val="16"/>
                <w:szCs w:val="16"/>
                <w:color w:val="auto"/>
              </w:rPr>
            </w:pPr>
          </w:p>
        </w:tc>
        <w:tc>
          <w:tcPr>
            <w:tcW w:w="220" w:type="dxa"/>
            <w:vAlign w:val="bottom"/>
            <w:vMerge w:val="restart"/>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20"/>
                <w:szCs w:val="20"/>
                <w:color w:val="auto"/>
              </w:rPr>
              <w:t>192,118</w:t>
            </w:r>
          </w:p>
        </w:tc>
        <w:tc>
          <w:tcPr>
            <w:tcW w:w="80" w:type="dxa"/>
            <w:vAlign w:val="bottom"/>
            <w:shd w:val="clear" w:color="auto" w:fill="CCEEFF"/>
          </w:tcPr>
          <w:p>
            <w:pPr>
              <w:spacing w:after="0"/>
              <w:rPr>
                <w:sz w:val="16"/>
                <w:szCs w:val="16"/>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20"/>
                <w:szCs w:val="20"/>
                <w:color w:val="auto"/>
              </w:rPr>
              <w:t>59,695</w:t>
            </w:r>
          </w:p>
        </w:tc>
        <w:tc>
          <w:tcPr>
            <w:tcW w:w="106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20"/>
                <w:szCs w:val="20"/>
                <w:color w:val="auto"/>
              </w:rPr>
              <w:t>31 %</w:t>
            </w:r>
          </w:p>
        </w:tc>
        <w:tc>
          <w:tcPr>
            <w:tcW w:w="0" w:type="dxa"/>
            <w:vAlign w:val="bottom"/>
          </w:tcPr>
          <w:p>
            <w:pPr>
              <w:spacing w:after="0"/>
              <w:rPr>
                <w:sz w:val="1"/>
                <w:szCs w:val="1"/>
                <w:color w:val="auto"/>
              </w:rPr>
            </w:pPr>
          </w:p>
        </w:tc>
      </w:tr>
      <w:tr>
        <w:trPr>
          <w:trHeight w:val="257"/>
        </w:trPr>
        <w:tc>
          <w:tcPr>
            <w:tcW w:w="1740" w:type="dxa"/>
            <w:vAlign w:val="bottom"/>
            <w:shd w:val="clear" w:color="auto" w:fill="CCEEFF"/>
          </w:tcPr>
          <w:p>
            <w:pPr>
              <w:ind w:left="240"/>
              <w:spacing w:after="0"/>
              <w:rPr>
                <w:sz w:val="20"/>
                <w:szCs w:val="20"/>
                <w:color w:val="auto"/>
              </w:rPr>
            </w:pPr>
            <w:r>
              <w:rPr>
                <w:rFonts w:ascii="Arial" w:cs="Arial" w:eastAsia="Arial" w:hAnsi="Arial"/>
                <w:sz w:val="20"/>
                <w:szCs w:val="20"/>
                <w:color w:val="auto"/>
              </w:rPr>
              <w:t>Operations</w:t>
            </w:r>
          </w:p>
        </w:tc>
        <w:tc>
          <w:tcPr>
            <w:tcW w:w="160" w:type="dxa"/>
            <w:vAlign w:val="bottom"/>
            <w:vMerge w:val="continue"/>
            <w:shd w:val="clear" w:color="auto" w:fill="CCEEFF"/>
          </w:tcPr>
          <w:p>
            <w:pPr>
              <w:spacing w:after="0"/>
              <w:rPr>
                <w:sz w:val="22"/>
                <w:szCs w:val="22"/>
                <w:color w:val="auto"/>
              </w:rPr>
            </w:pPr>
          </w:p>
        </w:tc>
        <w:tc>
          <w:tcPr>
            <w:tcW w:w="920" w:type="dxa"/>
            <w:vAlign w:val="bottom"/>
            <w:vMerge w:val="continue"/>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0" w:type="dxa"/>
            <w:vAlign w:val="bottom"/>
            <w:vMerge w:val="continue"/>
            <w:shd w:val="clear" w:color="auto" w:fill="CCEEFF"/>
          </w:tcPr>
          <w:p>
            <w:pPr>
              <w:spacing w:after="0"/>
              <w:rPr>
                <w:sz w:val="22"/>
                <w:szCs w:val="22"/>
                <w:color w:val="auto"/>
              </w:rPr>
            </w:pPr>
          </w:p>
        </w:tc>
        <w:tc>
          <w:tcPr>
            <w:tcW w:w="900" w:type="dxa"/>
            <w:vAlign w:val="bottom"/>
            <w:vMerge w:val="continue"/>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80" w:type="dxa"/>
            <w:vAlign w:val="bottom"/>
            <w:vMerge w:val="continue"/>
            <w:shd w:val="clear" w:color="auto" w:fill="CCEEFF"/>
          </w:tcPr>
          <w:p>
            <w:pPr>
              <w:spacing w:after="0"/>
              <w:rPr>
                <w:sz w:val="22"/>
                <w:szCs w:val="22"/>
                <w:color w:val="auto"/>
              </w:rPr>
            </w:pPr>
          </w:p>
        </w:tc>
        <w:tc>
          <w:tcPr>
            <w:tcW w:w="980" w:type="dxa"/>
            <w:vAlign w:val="bottom"/>
            <w:vMerge w:val="continue"/>
            <w:shd w:val="clear" w:color="auto" w:fill="CCEEFF"/>
          </w:tcPr>
          <w:p>
            <w:pPr>
              <w:spacing w:after="0"/>
              <w:rPr>
                <w:sz w:val="22"/>
                <w:szCs w:val="22"/>
                <w:color w:val="auto"/>
              </w:rPr>
            </w:pPr>
          </w:p>
        </w:tc>
        <w:tc>
          <w:tcPr>
            <w:tcW w:w="1180" w:type="dxa"/>
            <w:vAlign w:val="bottom"/>
            <w:gridSpan w:val="2"/>
            <w:vMerge w:val="continue"/>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80" w:type="dxa"/>
            <w:vAlign w:val="bottom"/>
            <w:vMerge w:val="continue"/>
            <w:shd w:val="clear" w:color="auto" w:fill="CCEEFF"/>
          </w:tcPr>
          <w:p>
            <w:pPr>
              <w:spacing w:after="0"/>
              <w:rPr>
                <w:sz w:val="22"/>
                <w:szCs w:val="22"/>
                <w:color w:val="auto"/>
              </w:rPr>
            </w:pPr>
          </w:p>
        </w:tc>
        <w:tc>
          <w:tcPr>
            <w:tcW w:w="1000" w:type="dxa"/>
            <w:vAlign w:val="bottom"/>
            <w:vMerge w:val="continue"/>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20" w:type="dxa"/>
            <w:vAlign w:val="bottom"/>
            <w:vMerge w:val="continue"/>
            <w:shd w:val="clear" w:color="auto" w:fill="CCEEFF"/>
          </w:tcPr>
          <w:p>
            <w:pPr>
              <w:spacing w:after="0"/>
              <w:rPr>
                <w:sz w:val="22"/>
                <w:szCs w:val="22"/>
                <w:color w:val="auto"/>
              </w:rPr>
            </w:pPr>
          </w:p>
        </w:tc>
        <w:tc>
          <w:tcPr>
            <w:tcW w:w="900" w:type="dxa"/>
            <w:vAlign w:val="bottom"/>
            <w:vMerge w:val="continue"/>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60" w:type="dxa"/>
            <w:vAlign w:val="bottom"/>
            <w:vMerge w:val="continue"/>
            <w:shd w:val="clear" w:color="auto" w:fill="CCEEFF"/>
          </w:tcPr>
          <w:p>
            <w:pPr>
              <w:spacing w:after="0"/>
              <w:rPr>
                <w:sz w:val="22"/>
                <w:szCs w:val="22"/>
                <w:color w:val="auto"/>
              </w:rPr>
            </w:pPr>
          </w:p>
        </w:tc>
        <w:tc>
          <w:tcPr>
            <w:tcW w:w="1040" w:type="dxa"/>
            <w:vAlign w:val="bottom"/>
            <w:vMerge w:val="continue"/>
            <w:shd w:val="clear" w:color="auto" w:fill="CCEEFF"/>
          </w:tcPr>
          <w:p>
            <w:pPr>
              <w:spacing w:after="0"/>
              <w:rPr>
                <w:sz w:val="22"/>
                <w:szCs w:val="22"/>
                <w:color w:val="auto"/>
              </w:rPr>
            </w:pPr>
          </w:p>
        </w:tc>
        <w:tc>
          <w:tcPr>
            <w:tcW w:w="1060" w:type="dxa"/>
            <w:vAlign w:val="bottom"/>
            <w:gridSpan w:val="2"/>
            <w:vMerge w:val="continue"/>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1740" w:type="dxa"/>
            <w:vAlign w:val="bottom"/>
            <w:tcBorders>
              <w:bottom w:val="single" w:sz="8" w:color="CCEEFF"/>
            </w:tcBorders>
          </w:tcPr>
          <w:p>
            <w:pPr>
              <w:ind w:left="240"/>
              <w:spacing w:after="0"/>
              <w:rPr>
                <w:sz w:val="20"/>
                <w:szCs w:val="20"/>
                <w:color w:val="auto"/>
              </w:rPr>
            </w:pPr>
            <w:r>
              <w:rPr>
                <w:rFonts w:ascii="Arial" w:cs="Arial" w:eastAsia="Arial" w:hAnsi="Arial"/>
                <w:sz w:val="20"/>
                <w:szCs w:val="20"/>
                <w:color w:val="auto"/>
              </w:rPr>
              <w:t>STI Operations</w:t>
            </w:r>
          </w:p>
        </w:tc>
        <w:tc>
          <w:tcPr>
            <w:tcW w:w="16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3,544</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12,589</w:t>
            </w:r>
          </w:p>
        </w:tc>
        <w:tc>
          <w:tcPr>
            <w:tcW w:w="8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(9,045)</w:t>
            </w:r>
          </w:p>
        </w:tc>
        <w:tc>
          <w:tcPr>
            <w:tcW w:w="1180" w:type="dxa"/>
            <w:vAlign w:val="bottom"/>
            <w:tcBorders>
              <w:bottom w:val="single" w:sz="8" w:color="CCEEFF"/>
            </w:tcBorders>
            <w:gridSpan w:val="2"/>
          </w:tcPr>
          <w:p>
            <w:pPr>
              <w:jc w:val="right"/>
              <w:ind w:right="20"/>
              <w:spacing w:after="0"/>
              <w:rPr>
                <w:sz w:val="20"/>
                <w:szCs w:val="20"/>
                <w:color w:val="auto"/>
              </w:rPr>
            </w:pPr>
            <w:r>
              <w:rPr>
                <w:rFonts w:ascii="Arial" w:cs="Arial" w:eastAsia="Arial" w:hAnsi="Arial"/>
                <w:sz w:val="20"/>
                <w:szCs w:val="20"/>
                <w:color w:val="auto"/>
              </w:rPr>
              <w:t>(72)%</w:t>
            </w:r>
          </w:p>
        </w:tc>
        <w:tc>
          <w:tcPr>
            <w:tcW w:w="8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27,410</w:t>
            </w:r>
          </w:p>
        </w:tc>
        <w:tc>
          <w:tcPr>
            <w:tcW w:w="8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27,240</w:t>
            </w:r>
          </w:p>
        </w:tc>
        <w:tc>
          <w:tcPr>
            <w:tcW w:w="8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170</w:t>
            </w:r>
          </w:p>
        </w:tc>
        <w:tc>
          <w:tcPr>
            <w:tcW w:w="1060" w:type="dxa"/>
            <w:vAlign w:val="bottom"/>
            <w:tcBorders>
              <w:bottom w:val="single" w:sz="8" w:color="CCEEFF"/>
            </w:tcBorders>
            <w:gridSpan w:val="2"/>
          </w:tcPr>
          <w:p>
            <w:pPr>
              <w:jc w:val="right"/>
              <w:ind w:right="20"/>
              <w:spacing w:after="0"/>
              <w:rPr>
                <w:sz w:val="20"/>
                <w:szCs w:val="20"/>
                <w:color w:val="auto"/>
              </w:rPr>
            </w:pPr>
            <w:r>
              <w:rPr>
                <w:rFonts w:ascii="Arial" w:cs="Arial" w:eastAsia="Arial" w:hAnsi="Arial"/>
                <w:sz w:val="20"/>
                <w:szCs w:val="20"/>
                <w:color w:val="auto"/>
              </w:rPr>
              <w:t>1 %</w:t>
            </w:r>
          </w:p>
        </w:tc>
        <w:tc>
          <w:tcPr>
            <w:tcW w:w="0" w:type="dxa"/>
            <w:vAlign w:val="bottom"/>
          </w:tcPr>
          <w:p>
            <w:pPr>
              <w:spacing w:after="0"/>
              <w:rPr>
                <w:sz w:val="1"/>
                <w:szCs w:val="1"/>
                <w:color w:val="auto"/>
              </w:rPr>
            </w:pPr>
          </w:p>
        </w:tc>
      </w:tr>
      <w:tr>
        <w:trPr>
          <w:trHeight w:val="275"/>
        </w:trPr>
        <w:tc>
          <w:tcPr>
            <w:tcW w:w="1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20"/>
                <w:szCs w:val="20"/>
                <w:color w:val="auto"/>
              </w:rPr>
              <w:t>Total</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105,671</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w w:val="8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78,315</w:t>
            </w:r>
          </w:p>
        </w:tc>
        <w:tc>
          <w:tcPr>
            <w:tcW w:w="8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w w:val="8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27,356</w:t>
            </w:r>
          </w:p>
        </w:tc>
        <w:tc>
          <w:tcPr>
            <w:tcW w:w="11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20"/>
                <w:szCs w:val="20"/>
                <w:color w:val="auto"/>
              </w:rPr>
              <w:t>35 %</w:t>
            </w:r>
          </w:p>
        </w:tc>
        <w:tc>
          <w:tcPr>
            <w:tcW w:w="8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w w:val="8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279,223</w:t>
            </w:r>
          </w:p>
        </w:tc>
        <w:tc>
          <w:tcPr>
            <w:tcW w:w="8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219,358</w:t>
            </w:r>
          </w:p>
        </w:tc>
        <w:tc>
          <w:tcPr>
            <w:tcW w:w="8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59,865</w:t>
            </w:r>
          </w:p>
        </w:tc>
        <w:tc>
          <w:tcPr>
            <w:tcW w:w="10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20"/>
                <w:szCs w:val="20"/>
                <w:color w:val="auto"/>
              </w:rPr>
              <w:t>27 %</w:t>
            </w:r>
          </w:p>
        </w:tc>
        <w:tc>
          <w:tcPr>
            <w:tcW w:w="0" w:type="dxa"/>
            <w:vAlign w:val="bottom"/>
          </w:tcPr>
          <w:p>
            <w:pPr>
              <w:spacing w:after="0"/>
              <w:rPr>
                <w:sz w:val="1"/>
                <w:szCs w:val="1"/>
                <w:color w:val="auto"/>
              </w:rPr>
            </w:pPr>
          </w:p>
        </w:tc>
      </w:tr>
      <w:tr>
        <w:trPr>
          <w:trHeight w:val="20"/>
        </w:trPr>
        <w:tc>
          <w:tcPr>
            <w:tcW w:w="17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Comparison of the three and nine months ended September 30, 2025 and 2024</w:t>
      </w:r>
    </w:p>
    <w:p>
      <w:pPr>
        <w:spacing w:after="0" w:line="27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Revenue</w:t>
      </w:r>
    </w:p>
    <w:p>
      <w:pPr>
        <w:spacing w:after="0" w:line="121" w:lineRule="exact"/>
        <w:rPr>
          <w:sz w:val="20"/>
          <w:szCs w:val="20"/>
          <w:color w:val="auto"/>
        </w:rPr>
      </w:pPr>
    </w:p>
    <w:p>
      <w:pPr>
        <w:jc w:val="both"/>
        <w:spacing w:after="0" w:line="276" w:lineRule="auto"/>
        <w:rPr>
          <w:sz w:val="20"/>
          <w:szCs w:val="20"/>
          <w:color w:val="auto"/>
        </w:rPr>
      </w:pPr>
      <w:r>
        <w:rPr>
          <w:rFonts w:ascii="Arial" w:cs="Arial" w:eastAsia="Arial" w:hAnsi="Arial"/>
          <w:sz w:val="20"/>
          <w:szCs w:val="20"/>
          <w:color w:val="auto"/>
        </w:rPr>
        <w:t>Consolidated revenue increased $162.1 million, or 70%, for the three months ended September 30, 2025, compared to the three months ended September 30, 2024, primarily driven by higher revenue from Array Legacy Operations of 120%, partially offset by a 44% decline in STI revenue.</w:t>
      </w:r>
    </w:p>
    <w:p>
      <w:pPr>
        <w:spacing w:after="0" w:line="192" w:lineRule="exact"/>
        <w:rPr>
          <w:sz w:val="20"/>
          <w:szCs w:val="20"/>
          <w:color w:val="auto"/>
        </w:rPr>
      </w:pPr>
    </w:p>
    <w:p>
      <w:pPr>
        <w:jc w:val="both"/>
        <w:ind w:right="20"/>
        <w:spacing w:after="0" w:line="276" w:lineRule="auto"/>
        <w:rPr>
          <w:sz w:val="20"/>
          <w:szCs w:val="20"/>
          <w:color w:val="auto"/>
        </w:rPr>
      </w:pPr>
      <w:r>
        <w:rPr>
          <w:rFonts w:ascii="Arial" w:cs="Arial" w:eastAsia="Arial" w:hAnsi="Arial"/>
          <w:sz w:val="20"/>
          <w:szCs w:val="20"/>
          <w:color w:val="auto"/>
        </w:rPr>
        <w:t>Revenue from Array Legacy Operations, inclusive of incremental contributions from APA, increased by $193.1 million, or 120%, for the three months ended September 30, 2025 compared to the three months ended September 30, 2024, primarily driven by an increase of approximately 122% in volume.</w:t>
      </w:r>
    </w:p>
    <w:p>
      <w:pPr>
        <w:spacing w:after="0" w:line="192" w:lineRule="exact"/>
        <w:rPr>
          <w:sz w:val="20"/>
          <w:szCs w:val="20"/>
          <w:color w:val="auto"/>
        </w:rPr>
      </w:pPr>
    </w:p>
    <w:p>
      <w:pPr>
        <w:jc w:val="both"/>
        <w:spacing w:after="0" w:line="276" w:lineRule="auto"/>
        <w:rPr>
          <w:sz w:val="20"/>
          <w:szCs w:val="20"/>
          <w:color w:val="auto"/>
        </w:rPr>
      </w:pPr>
      <w:r>
        <w:rPr>
          <w:rFonts w:ascii="Arial" w:cs="Arial" w:eastAsia="Arial" w:hAnsi="Arial"/>
          <w:sz w:val="20"/>
          <w:szCs w:val="20"/>
          <w:color w:val="auto"/>
        </w:rPr>
        <w:t>Revenue from STI Operations decreased by $ 31.0 million, or 44% for the three months ended September 30, 2025 compared to the three months ended September 30, 2024. The decrease was primarily driven by a decrease of approximately 61% in volume and an increase of approximately 39% in ASPs, with a favorable foreign currency impact of approximately 5%.</w:t>
      </w:r>
    </w:p>
    <w:p>
      <w:pPr>
        <w:spacing w:after="0" w:line="192" w:lineRule="exact"/>
        <w:rPr>
          <w:sz w:val="20"/>
          <w:szCs w:val="20"/>
          <w:color w:val="auto"/>
        </w:rPr>
      </w:pPr>
    </w:p>
    <w:p>
      <w:pPr>
        <w:jc w:val="both"/>
        <w:spacing w:after="0" w:line="276" w:lineRule="auto"/>
        <w:rPr>
          <w:sz w:val="20"/>
          <w:szCs w:val="20"/>
          <w:color w:val="auto"/>
        </w:rPr>
      </w:pPr>
      <w:r>
        <w:rPr>
          <w:rFonts w:ascii="Arial" w:cs="Arial" w:eastAsia="Arial" w:hAnsi="Arial"/>
          <w:sz w:val="20"/>
          <w:szCs w:val="20"/>
          <w:color w:val="auto"/>
        </w:rPr>
        <w:t>Consolidated revenue increased $417.5 million, or 65%, for the nine months ended September 30, 2025, compared to the nine months ended September 30, 2024, primarily driven by higher revenue from Array Legacy Operations of 87% and STI Operations of 10%.</w:t>
      </w:r>
    </w:p>
    <w:p>
      <w:pPr>
        <w:spacing w:after="0" w:line="192" w:lineRule="exact"/>
        <w:rPr>
          <w:sz w:val="20"/>
          <w:szCs w:val="20"/>
          <w:color w:val="auto"/>
        </w:rPr>
      </w:pPr>
    </w:p>
    <w:p>
      <w:pPr>
        <w:jc w:val="both"/>
        <w:spacing w:after="0" w:line="269" w:lineRule="auto"/>
        <w:rPr>
          <w:sz w:val="20"/>
          <w:szCs w:val="20"/>
          <w:color w:val="auto"/>
        </w:rPr>
      </w:pPr>
      <w:r>
        <w:rPr>
          <w:rFonts w:ascii="Arial" w:cs="Arial" w:eastAsia="Arial" w:hAnsi="Arial"/>
          <w:sz w:val="20"/>
          <w:szCs w:val="20"/>
          <w:color w:val="auto"/>
        </w:rPr>
        <w:t>Revenue from Array Legacy Operations, inclusive of incremental contributions from APA, increased by $ 398.7 million, or 87%, for the nine months ended September 30, 2025 compared to the nine months ended September 30, 2024 primarily driven by an increase of approximately 104% in volume, partially offset by a decrease of approximately 19% in ASPs, reflecting the commodity price decrease at the time when revenue contracts were executed.</w:t>
      </w:r>
    </w:p>
    <w:p>
      <w:pPr>
        <w:spacing w:after="0" w:line="197" w:lineRule="exact"/>
        <w:rPr>
          <w:sz w:val="20"/>
          <w:szCs w:val="20"/>
          <w:color w:val="auto"/>
        </w:rPr>
      </w:pPr>
    </w:p>
    <w:p>
      <w:pPr>
        <w:jc w:val="both"/>
        <w:spacing w:after="0" w:line="328" w:lineRule="auto"/>
        <w:rPr>
          <w:sz w:val="20"/>
          <w:szCs w:val="20"/>
          <w:color w:val="auto"/>
        </w:rPr>
      </w:pPr>
      <w:r>
        <w:rPr>
          <w:rFonts w:ascii="Arial" w:cs="Arial" w:eastAsia="Arial" w:hAnsi="Arial"/>
          <w:sz w:val="19"/>
          <w:szCs w:val="19"/>
          <w:color w:val="auto"/>
        </w:rPr>
        <w:t>Revenue from STI Operations increased by $18.9 million, or 10% for the nine months ended September 30, 2025 compared to the nine months ended September 30, 2024. The increase was primarily driven by an increase of approximately 12% in volume.</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57" w:name="page58"/>
    <w:bookmarkEnd w:id="57"/>
    <w:p>
      <w:pPr>
        <w:spacing w:after="0"/>
        <w:rPr>
          <w:sz w:val="20"/>
          <w:szCs w:val="20"/>
          <w:color w:val="auto"/>
        </w:rPr>
      </w:pPr>
      <w:r>
        <w:rPr>
          <w:rFonts w:ascii="Arial" w:cs="Arial" w:eastAsia="Arial" w:hAnsi="Arial"/>
          <w:sz w:val="20"/>
          <w:szCs w:val="20"/>
          <w:b w:val="1"/>
          <w:bCs w:val="1"/>
          <w:i w:val="1"/>
          <w:iCs w:val="1"/>
          <w:color w:val="auto"/>
        </w:rPr>
        <w:t>Cost of Revenue and Gross Profit</w:t>
      </w:r>
    </w:p>
    <w:p>
      <w:pPr>
        <w:spacing w:after="0" w:line="121" w:lineRule="exact"/>
        <w:rPr>
          <w:sz w:val="20"/>
          <w:szCs w:val="20"/>
          <w:color w:val="auto"/>
        </w:rPr>
      </w:pPr>
    </w:p>
    <w:p>
      <w:pPr>
        <w:jc w:val="both"/>
        <w:spacing w:after="0" w:line="276" w:lineRule="auto"/>
        <w:rPr>
          <w:sz w:val="20"/>
          <w:szCs w:val="20"/>
          <w:color w:val="auto"/>
        </w:rPr>
      </w:pPr>
      <w:r>
        <w:rPr>
          <w:rFonts w:ascii="Arial" w:cs="Arial" w:eastAsia="Arial" w:hAnsi="Arial"/>
          <w:sz w:val="20"/>
          <w:szCs w:val="20"/>
          <w:color w:val="auto"/>
        </w:rPr>
        <w:t>Consolidated cost of revenue increased by $134.7 million, or 88%, for the three months ended September 30, 2025 compared to the three months ended September 30, 2024. This increase was in line with higher revenues, partially offset by higher 45X benefits during the quarter.</w:t>
      </w:r>
    </w:p>
    <w:p>
      <w:pPr>
        <w:spacing w:after="0" w:line="192" w:lineRule="exact"/>
        <w:rPr>
          <w:sz w:val="20"/>
          <w:szCs w:val="20"/>
          <w:color w:val="auto"/>
        </w:rPr>
      </w:pPr>
    </w:p>
    <w:p>
      <w:pPr>
        <w:jc w:val="both"/>
        <w:spacing w:after="0" w:line="276" w:lineRule="auto"/>
        <w:rPr>
          <w:sz w:val="20"/>
          <w:szCs w:val="20"/>
          <w:color w:val="auto"/>
        </w:rPr>
      </w:pPr>
      <w:r>
        <w:rPr>
          <w:rFonts w:ascii="Arial" w:cs="Arial" w:eastAsia="Arial" w:hAnsi="Arial"/>
          <w:sz w:val="20"/>
          <w:szCs w:val="20"/>
          <w:color w:val="auto"/>
        </w:rPr>
        <w:t>Consolidated gross profit increased by $27.4 million, or 35%, for the three months ended September 30, 2025 compared to the three months ended September 30, 2024. Gross margin decreased to 26.9% for the three months ended September 30, 2025, as compared to 33.8% during the same period in the prior year.</w:t>
      </w:r>
    </w:p>
    <w:p>
      <w:pPr>
        <w:spacing w:after="0" w:line="192" w:lineRule="exact"/>
        <w:rPr>
          <w:sz w:val="20"/>
          <w:szCs w:val="20"/>
          <w:color w:val="auto"/>
        </w:rPr>
      </w:pPr>
    </w:p>
    <w:p>
      <w:pPr>
        <w:jc w:val="both"/>
        <w:spacing w:after="0" w:line="287" w:lineRule="auto"/>
        <w:rPr>
          <w:sz w:val="20"/>
          <w:szCs w:val="20"/>
          <w:color w:val="auto"/>
        </w:rPr>
      </w:pPr>
      <w:r>
        <w:rPr>
          <w:rFonts w:ascii="Arial" w:cs="Arial" w:eastAsia="Arial" w:hAnsi="Arial"/>
          <w:sz w:val="19"/>
          <w:szCs w:val="19"/>
          <w:color w:val="auto"/>
        </w:rPr>
        <w:t>Array Legacy Operations gross profit, inclusive of incremental contributions from APA, increased by $36.4 million, or 55%, for the three months ended September 30, 2025 compared to the three months ended September 30, 2024. However, gross margin decreased to 28.9% from 41.0% for the three months ended September 30, 2025 and 2024, respectively. The decrease in gross margin was primarily driven by a 19% increase in cost per watt, attributable to 6% higher tariffs and 13% rising commodities.</w:t>
      </w:r>
    </w:p>
    <w:p>
      <w:pPr>
        <w:spacing w:after="0" w:line="197" w:lineRule="exact"/>
        <w:rPr>
          <w:sz w:val="20"/>
          <w:szCs w:val="20"/>
          <w:color w:val="auto"/>
        </w:rPr>
      </w:pPr>
    </w:p>
    <w:p>
      <w:pPr>
        <w:jc w:val="both"/>
        <w:spacing w:after="0" w:line="269" w:lineRule="auto"/>
        <w:rPr>
          <w:sz w:val="20"/>
          <w:szCs w:val="20"/>
          <w:color w:val="auto"/>
        </w:rPr>
      </w:pPr>
      <w:r>
        <w:rPr>
          <w:rFonts w:ascii="Arial" w:cs="Arial" w:eastAsia="Arial" w:hAnsi="Arial"/>
          <w:sz w:val="20"/>
          <w:szCs w:val="20"/>
          <w:color w:val="auto"/>
        </w:rPr>
        <w:t>STI Operations gross profit decreased by $9.0 million, or 72%, for the three months ended September 30, 2025 compared to the three months ended September 30, 2024. Gross margin for STI Operations decreased to 8.8% from 17.7% for the three months ended September 30, 2025 and 2024, respectively, driven primarily by a 39% increase in average selling prices and a 54% increase in cost per watt, driven by the mix of services and product sales, net of foreign currency impact.</w:t>
      </w:r>
    </w:p>
    <w:p>
      <w:pPr>
        <w:spacing w:after="0" w:line="197" w:lineRule="exact"/>
        <w:rPr>
          <w:sz w:val="20"/>
          <w:szCs w:val="20"/>
          <w:color w:val="auto"/>
        </w:rPr>
      </w:pPr>
    </w:p>
    <w:p>
      <w:pPr>
        <w:jc w:val="both"/>
        <w:spacing w:after="0" w:line="286" w:lineRule="auto"/>
        <w:rPr>
          <w:sz w:val="20"/>
          <w:szCs w:val="20"/>
          <w:color w:val="auto"/>
        </w:rPr>
      </w:pPr>
      <w:r>
        <w:rPr>
          <w:rFonts w:ascii="Arial" w:cs="Arial" w:eastAsia="Arial" w:hAnsi="Arial"/>
          <w:sz w:val="20"/>
          <w:szCs w:val="20"/>
          <w:color w:val="auto"/>
        </w:rPr>
        <w:t>Consolidated cost of revenue increased by $ 357.7 million, or 85%, for the nine months ended September 30, 2025 compared to the nine months ended September 30, 2024, in line with higher volume.</w:t>
      </w:r>
    </w:p>
    <w:p>
      <w:pPr>
        <w:spacing w:after="0" w:line="194" w:lineRule="exact"/>
        <w:rPr>
          <w:sz w:val="20"/>
          <w:szCs w:val="20"/>
          <w:color w:val="auto"/>
        </w:rPr>
      </w:pPr>
    </w:p>
    <w:p>
      <w:pPr>
        <w:jc w:val="both"/>
        <w:spacing w:after="0" w:line="269" w:lineRule="auto"/>
        <w:rPr>
          <w:sz w:val="20"/>
          <w:szCs w:val="20"/>
          <w:color w:val="auto"/>
        </w:rPr>
      </w:pPr>
      <w:r>
        <w:rPr>
          <w:rFonts w:ascii="Arial" w:cs="Arial" w:eastAsia="Arial" w:hAnsi="Arial"/>
          <w:sz w:val="20"/>
          <w:szCs w:val="20"/>
          <w:color w:val="auto"/>
        </w:rPr>
        <w:t>Consolidated gross profit increased by $59.9 million, or 27%, for the nine months ended September 30, 2025 compared to the nine months ended September 30, 2024. Gross margin decreased to 26.4% for the nine months ended September 30, 2025, as compared to 34.2% during the same period in the prior year.</w:t>
      </w:r>
    </w:p>
    <w:p>
      <w:pPr>
        <w:spacing w:after="0" w:line="212" w:lineRule="exact"/>
        <w:rPr>
          <w:sz w:val="20"/>
          <w:szCs w:val="20"/>
          <w:color w:val="auto"/>
        </w:rPr>
      </w:pPr>
    </w:p>
    <w:p>
      <w:pPr>
        <w:jc w:val="both"/>
        <w:spacing w:after="0" w:line="263" w:lineRule="auto"/>
        <w:rPr>
          <w:sz w:val="20"/>
          <w:szCs w:val="20"/>
          <w:color w:val="auto"/>
        </w:rPr>
      </w:pPr>
      <w:r>
        <w:rPr>
          <w:rFonts w:ascii="Arial" w:cs="Arial" w:eastAsia="Arial" w:hAnsi="Arial"/>
          <w:sz w:val="20"/>
          <w:szCs w:val="20"/>
          <w:color w:val="auto"/>
        </w:rPr>
        <w:t>Array Legacy Operations gross profit, inclusive of incremental contributions from APA, increased by $59.7 million, or 31%, for the nine months ended September 30, 2025 compared to the nine months ended September 30, 2024. However, gross margin decreased to 29.3% from 41.8% for the nine months ended September 30, 2025 and 2024, respectively. The decrease in gross margin was driven by a 19% decrease in average selling prices, reflecting the commodity price at the time when revenue contracts were executed, and an 11% increase in cost per watt, attributable to 3% higher tariffs and 8% rising commodities. In addition, gross margin during the nine months ended September 30, 2024, included a one-time benefit of $4.0 million related to a settlement with a supplier, which was recorded as a reduction to Cost of product and service revenue.</w:t>
      </w:r>
    </w:p>
    <w:p>
      <w:pPr>
        <w:spacing w:after="0" w:line="207" w:lineRule="exact"/>
        <w:rPr>
          <w:sz w:val="20"/>
          <w:szCs w:val="20"/>
          <w:color w:val="auto"/>
        </w:rPr>
      </w:pPr>
    </w:p>
    <w:p>
      <w:pPr>
        <w:jc w:val="both"/>
        <w:spacing w:after="0" w:line="276" w:lineRule="auto"/>
        <w:rPr>
          <w:sz w:val="20"/>
          <w:szCs w:val="20"/>
          <w:color w:val="auto"/>
        </w:rPr>
      </w:pPr>
      <w:r>
        <w:rPr>
          <w:rFonts w:ascii="Arial" w:cs="Arial" w:eastAsia="Arial" w:hAnsi="Arial"/>
          <w:sz w:val="20"/>
          <w:szCs w:val="20"/>
          <w:color w:val="auto"/>
        </w:rPr>
        <w:t>STI Operations gross profit increased by $0.2 million, or 1%, for the nine months ended September 30, 2025 compared to the nine months ended September 30, 2024. Gross margin for STI Operations decreased to 13.7% from 15.1% for the nine months ended September 30, 2025 and 2024, respectively, driven primarily by a nominal increase in cost per watt.</w:t>
      </w:r>
    </w:p>
    <w:p>
      <w:pPr>
        <w:spacing w:after="0" w:line="19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Operating Expenses</w:t>
      </w:r>
    </w:p>
    <w:p>
      <w:pPr>
        <w:spacing w:after="0" w:line="121" w:lineRule="exact"/>
        <w:rPr>
          <w:sz w:val="20"/>
          <w:szCs w:val="20"/>
          <w:color w:val="auto"/>
        </w:rPr>
      </w:pPr>
    </w:p>
    <w:p>
      <w:pPr>
        <w:jc w:val="both"/>
        <w:spacing w:after="0" w:line="265" w:lineRule="auto"/>
        <w:rPr>
          <w:sz w:val="20"/>
          <w:szCs w:val="20"/>
          <w:color w:val="auto"/>
        </w:rPr>
      </w:pPr>
      <w:r>
        <w:rPr>
          <w:rFonts w:ascii="Arial" w:cs="Arial" w:eastAsia="Arial" w:hAnsi="Arial"/>
          <w:sz w:val="20"/>
          <w:szCs w:val="20"/>
          <w:color w:val="auto"/>
        </w:rPr>
        <w:t>Consolidated general and administrative expenses, inclusive of APA, for the three and nine months ended September 30, 2025 increased by $12.1 million, or 30% and increased by $26.2 million, or 23%, respectively, compared to the three and nine months ended September 30, 2024. The increase during the three months ended September 30, 2025 compared to the three months ended September 30, 2024 was primarily due to an increase of $6.8 million in personnel-related expenses, $8.5 million in acquisition-related expenses and deferred compensation, and decrease of $3.2 million in other costs. The increase during the nine months</w:t>
      </w:r>
    </w:p>
    <w:p>
      <w:pPr>
        <w:sectPr>
          <w:pgSz w:w="11900" w:h="16838" w:orient="portrait"/>
          <w:cols w:equalWidth="0" w:num="1">
            <w:col w:w="11240"/>
          </w:cols>
          <w:pgMar w:left="320" w:top="131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19" w:right="339" w:bottom="1440" w:gutter="0" w:footer="0" w:header="0"/>
          <w:type w:val="continuous"/>
        </w:sectPr>
      </w:pPr>
    </w:p>
    <w:bookmarkStart w:id="58" w:name="page59"/>
    <w:bookmarkEnd w:id="58"/>
    <w:p>
      <w:pPr>
        <w:jc w:val="both"/>
        <w:spacing w:after="0" w:line="269" w:lineRule="auto"/>
        <w:rPr>
          <w:sz w:val="20"/>
          <w:szCs w:val="20"/>
          <w:color w:val="auto"/>
        </w:rPr>
      </w:pPr>
      <w:r>
        <w:rPr>
          <w:rFonts w:ascii="Arial" w:cs="Arial" w:eastAsia="Arial" w:hAnsi="Arial"/>
          <w:sz w:val="20"/>
          <w:szCs w:val="20"/>
          <w:color w:val="auto"/>
        </w:rPr>
        <w:t>ended September 30, 2025 compared to the nine months ended September 30, 2024 was primarily due an increase of $12.5 million from personnel-related expenses, $3.0 million from favorable one-time adjustments in variable compensation during the nine months ended September 30, 2024, $11.6 million in acquisition-related expenses and deferred compensation, and a decrease of $0.9 million in other costs.</w:t>
      </w:r>
    </w:p>
    <w:p>
      <w:pPr>
        <w:spacing w:after="0" w:line="197" w:lineRule="exact"/>
        <w:rPr>
          <w:sz w:val="20"/>
          <w:szCs w:val="20"/>
          <w:color w:val="auto"/>
        </w:rPr>
      </w:pPr>
    </w:p>
    <w:p>
      <w:pPr>
        <w:jc w:val="both"/>
        <w:spacing w:after="0" w:line="263" w:lineRule="auto"/>
        <w:rPr>
          <w:sz w:val="20"/>
          <w:szCs w:val="20"/>
          <w:color w:val="auto"/>
        </w:rPr>
      </w:pPr>
      <w:r>
        <w:rPr>
          <w:rFonts w:ascii="Arial" w:cs="Arial" w:eastAsia="Arial" w:hAnsi="Arial"/>
          <w:sz w:val="20"/>
          <w:szCs w:val="20"/>
          <w:color w:val="auto"/>
        </w:rPr>
        <w:t>Change in the fair value of contingent consideration for the three and nine months ended September 30, 2025 resulted in a loss of $1.1 million and a loss of $1.3 million, respectively, compared to the three and nine months ended September 30, 2024. The loss during the three months ended September 30, 2025 compared to the three months ended September 30, 2024 was driven by a $0.7 million change in the fair value of the TRA liability and a $0.4 million change in the fair value of the APA Earnout Consideration. The loss during the nine months ended September 30, 2025 compared to the nine months ended September 30, 2024 driven by a $0.9 million change in the fair value of the TRA liability and a $0.4 million change in the fair value of the APA Earnout Consideration.</w:t>
      </w:r>
    </w:p>
    <w:p>
      <w:pPr>
        <w:spacing w:after="0" w:line="220" w:lineRule="exact"/>
        <w:rPr>
          <w:sz w:val="20"/>
          <w:szCs w:val="20"/>
          <w:color w:val="auto"/>
        </w:rPr>
      </w:pPr>
    </w:p>
    <w:p>
      <w:pPr>
        <w:jc w:val="both"/>
        <w:spacing w:after="0" w:line="265" w:lineRule="auto"/>
        <w:rPr>
          <w:sz w:val="20"/>
          <w:szCs w:val="20"/>
          <w:color w:val="auto"/>
        </w:rPr>
      </w:pPr>
      <w:r>
        <w:rPr>
          <w:rFonts w:ascii="Arial" w:cs="Arial" w:eastAsia="Arial" w:hAnsi="Arial"/>
          <w:sz w:val="20"/>
          <w:szCs w:val="20"/>
          <w:color w:val="auto"/>
        </w:rPr>
        <w:t>Consolidated depreciation and amortization expense, inclusive of APA, for the three and nine months ended September 30, 2025 decreased by $1.9 million and $9.4 million, or 22% and 34%, respectively, compared to the three and nine months ended September 30, 2024. The decrease was primarily due to certain assets acquired becoming fully amortized or fully impaired at December 31, 2024, partially offset by $1.1 million of incremental depreciation and amortization contributed by APA for the three and nine months ended September 30, 2025.</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Other Income (Expense), Net</w:t>
      </w:r>
    </w:p>
    <w:p>
      <w:pPr>
        <w:spacing w:after="0" w:line="135" w:lineRule="exact"/>
        <w:rPr>
          <w:sz w:val="20"/>
          <w:szCs w:val="20"/>
          <w:color w:val="auto"/>
        </w:rPr>
      </w:pPr>
    </w:p>
    <w:p>
      <w:pPr>
        <w:jc w:val="both"/>
        <w:spacing w:after="0" w:line="269" w:lineRule="auto"/>
        <w:rPr>
          <w:sz w:val="20"/>
          <w:szCs w:val="20"/>
          <w:color w:val="auto"/>
        </w:rPr>
      </w:pPr>
      <w:r>
        <w:rPr>
          <w:rFonts w:ascii="Arial" w:cs="Arial" w:eastAsia="Arial" w:hAnsi="Arial"/>
          <w:sz w:val="20"/>
          <w:szCs w:val="20"/>
          <w:color w:val="auto"/>
        </w:rPr>
        <w:t>Other income (expense), net for the three months ended September 30, 2025 and 2024 increased by $ 0.8 million, or 110%, and $1.7 million, or 101%, respectively, compared to the nine months ended September 30, 2025 and 2024, respectively. The increase in both periods was primarily driven by fluctuations in other non-income taxes and miscellaneous income and expense items.</w:t>
      </w:r>
    </w:p>
    <w:p>
      <w:pPr>
        <w:spacing w:after="0" w:line="197"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Interest Income</w:t>
      </w:r>
    </w:p>
    <w:p>
      <w:pPr>
        <w:spacing w:after="0" w:line="121" w:lineRule="exact"/>
        <w:rPr>
          <w:sz w:val="20"/>
          <w:szCs w:val="20"/>
          <w:color w:val="auto"/>
        </w:rPr>
      </w:pPr>
    </w:p>
    <w:p>
      <w:pPr>
        <w:jc w:val="both"/>
        <w:spacing w:after="0" w:line="276" w:lineRule="auto"/>
        <w:rPr>
          <w:sz w:val="20"/>
          <w:szCs w:val="20"/>
          <w:color w:val="auto"/>
        </w:rPr>
      </w:pPr>
      <w:r>
        <w:rPr>
          <w:rFonts w:ascii="Arial" w:cs="Arial" w:eastAsia="Arial" w:hAnsi="Arial"/>
          <w:sz w:val="20"/>
          <w:szCs w:val="20"/>
          <w:color w:val="auto"/>
        </w:rPr>
        <w:t>Consolidated interest income for the three and nine months ended September 30, 2025 decreased by $1.2 million, or 30%, and $2.6 million, or 20%, respectively, compared to the three and nine months ended September 30, 2024, primarily as a result of lower yields on our cash management program.</w:t>
      </w:r>
    </w:p>
    <w:p>
      <w:pPr>
        <w:spacing w:after="0" w:line="19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Interest Expense</w:t>
      </w:r>
    </w:p>
    <w:p>
      <w:pPr>
        <w:spacing w:after="0" w:line="135" w:lineRule="exact"/>
        <w:rPr>
          <w:sz w:val="20"/>
          <w:szCs w:val="20"/>
          <w:color w:val="auto"/>
        </w:rPr>
      </w:pPr>
    </w:p>
    <w:p>
      <w:pPr>
        <w:jc w:val="both"/>
        <w:spacing w:after="0" w:line="269" w:lineRule="auto"/>
        <w:rPr>
          <w:sz w:val="20"/>
          <w:szCs w:val="20"/>
          <w:color w:val="auto"/>
        </w:rPr>
      </w:pPr>
      <w:r>
        <w:rPr>
          <w:rFonts w:ascii="Arial" w:cs="Arial" w:eastAsia="Arial" w:hAnsi="Arial"/>
          <w:sz w:val="20"/>
          <w:szCs w:val="20"/>
          <w:color w:val="auto"/>
        </w:rPr>
        <w:t>Consolidated interest expense for the three and nine months ended September 30, 2025 decreased by $3.2 million, or 39%, and decreased by $4.0 million, or 15%, respectively, compared to the three and nine months ended September 30, 2024, primarily due to reduction of the Company’s outstanding debt and changes in interest rates on our variable rate obligations.</w:t>
      </w:r>
    </w:p>
    <w:p>
      <w:pPr>
        <w:spacing w:after="0" w:line="21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Income Tax Expense</w:t>
      </w:r>
    </w:p>
    <w:p>
      <w:pPr>
        <w:spacing w:after="0" w:line="121" w:lineRule="exact"/>
        <w:rPr>
          <w:sz w:val="20"/>
          <w:szCs w:val="20"/>
          <w:color w:val="auto"/>
        </w:rPr>
      </w:pPr>
    </w:p>
    <w:p>
      <w:pPr>
        <w:jc w:val="both"/>
        <w:spacing w:after="0" w:line="269" w:lineRule="auto"/>
        <w:rPr>
          <w:sz w:val="20"/>
          <w:szCs w:val="20"/>
          <w:color w:val="auto"/>
        </w:rPr>
      </w:pPr>
      <w:r>
        <w:rPr>
          <w:rFonts w:ascii="Arial" w:cs="Arial" w:eastAsia="Arial" w:hAnsi="Arial"/>
          <w:sz w:val="20"/>
          <w:szCs w:val="20"/>
          <w:color w:val="auto"/>
        </w:rPr>
        <w:t>Consolidated income tax expense for the three and nine months ended September 30, 2025 increased by $6.1 million, or 158%, and $17.1 million, or 132%, respectively, compared to the three and nine months ended September 30, 2024. The Company recorded Income tax expense of $9.9 million and $3.9 million for the three months ended September 30, 2025 and 2024, respectively, and $30.1 million and $13.0 million for the nine months ended September 30, 2025 and 2024, respectively.</w:t>
      </w:r>
    </w:p>
    <w:p>
      <w:pPr>
        <w:spacing w:after="0" w:line="197" w:lineRule="exact"/>
        <w:rPr>
          <w:sz w:val="20"/>
          <w:szCs w:val="20"/>
          <w:color w:val="auto"/>
        </w:rPr>
      </w:pPr>
    </w:p>
    <w:p>
      <w:pPr>
        <w:jc w:val="both"/>
        <w:ind w:right="20"/>
        <w:spacing w:after="0" w:line="286" w:lineRule="auto"/>
        <w:rPr>
          <w:sz w:val="20"/>
          <w:szCs w:val="20"/>
          <w:color w:val="auto"/>
        </w:rPr>
      </w:pPr>
      <w:r>
        <w:rPr>
          <w:rFonts w:ascii="Arial" w:cs="Arial" w:eastAsia="Arial" w:hAnsi="Arial"/>
          <w:sz w:val="20"/>
          <w:szCs w:val="20"/>
          <w:color w:val="auto"/>
        </w:rPr>
        <w:t>Our effective tax rate was 22.9% and 24.3% for the three and nine months ended September 30, 2025, respectively, and (2.8)% and (12.9)% for the three and nine months ended September 30, 2024, respectively.</w:t>
      </w:r>
    </w:p>
    <w:p>
      <w:pPr>
        <w:sectPr>
          <w:pgSz w:w="11900" w:h="16838" w:orient="portrait"/>
          <w:cols w:equalWidth="0" w:num="1">
            <w:col w:w="11240"/>
          </w:cols>
          <w:pgMar w:left="320" w:top="131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19" w:right="339" w:bottom="1440" w:gutter="0" w:footer="0" w:header="0"/>
          <w:type w:val="continuous"/>
        </w:sectPr>
      </w:pPr>
    </w:p>
    <w:bookmarkStart w:id="59" w:name="page60"/>
    <w:bookmarkEnd w:id="59"/>
    <w:p>
      <w:pPr>
        <w:jc w:val="both"/>
        <w:spacing w:after="0" w:line="283" w:lineRule="auto"/>
        <w:rPr>
          <w:sz w:val="20"/>
          <w:szCs w:val="20"/>
          <w:color w:val="auto"/>
        </w:rPr>
      </w:pPr>
      <w:r>
        <w:rPr>
          <w:rFonts w:ascii="Arial" w:cs="Arial" w:eastAsia="Arial" w:hAnsi="Arial"/>
          <w:sz w:val="20"/>
          <w:szCs w:val="20"/>
          <w:color w:val="auto"/>
        </w:rPr>
        <w:t>No tax benefit was recorded from the goodwill impairment recorded for the three months ended September 30, 2024, as the goodwill is non-deductible for income tax purposes. Our effective tax rate, excluding the impact of the goodwill impairment was 15.7% and 21.1% for the three and nine months ended September 30, 2024.</w:t>
      </w:r>
    </w:p>
    <w:p>
      <w:pPr>
        <w:spacing w:after="0" w:line="199" w:lineRule="exact"/>
        <w:rPr>
          <w:sz w:val="20"/>
          <w:szCs w:val="20"/>
          <w:color w:val="auto"/>
        </w:rPr>
      </w:pPr>
    </w:p>
    <w:p>
      <w:pPr>
        <w:jc w:val="both"/>
        <w:spacing w:after="0" w:line="269" w:lineRule="auto"/>
        <w:rPr>
          <w:sz w:val="20"/>
          <w:szCs w:val="20"/>
          <w:color w:val="auto"/>
        </w:rPr>
      </w:pPr>
      <w:r>
        <w:rPr>
          <w:rFonts w:ascii="Arial" w:cs="Arial" w:eastAsia="Arial" w:hAnsi="Arial"/>
          <w:sz w:val="20"/>
          <w:szCs w:val="20"/>
          <w:color w:val="auto"/>
        </w:rPr>
        <w:t>The income tax expense for the three and nine months ended September 30, 2025 was favorably impacted by tax credits recorded during the periods. Additionally, tax expense of zero and $1.2 million related to equity-based compensation was recorded discretely for the three and nine months ended September 30, 2025, respectively.</w:t>
      </w:r>
    </w:p>
    <w:p>
      <w:pPr>
        <w:spacing w:after="0" w:line="212" w:lineRule="exact"/>
        <w:rPr>
          <w:sz w:val="20"/>
          <w:szCs w:val="20"/>
          <w:color w:val="auto"/>
        </w:rPr>
      </w:pPr>
    </w:p>
    <w:p>
      <w:pPr>
        <w:jc w:val="both"/>
        <w:spacing w:after="0" w:line="269" w:lineRule="auto"/>
        <w:rPr>
          <w:sz w:val="20"/>
          <w:szCs w:val="20"/>
          <w:color w:val="auto"/>
        </w:rPr>
      </w:pPr>
      <w:r>
        <w:rPr>
          <w:rFonts w:ascii="Arial" w:cs="Arial" w:eastAsia="Arial" w:hAnsi="Arial"/>
          <w:sz w:val="20"/>
          <w:szCs w:val="20"/>
          <w:color w:val="auto"/>
        </w:rPr>
        <w:t>The income tax expense for the three and nine months ended September 30, 2024 was favorably impacted by lower profits in non-US jurisdictions and additional tax credits reported during the periods. Additionally, tax expense of zero and $0.5 million related to equity-based compensation was recorded discretely for the three and nine months ended September 30, 2024.</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73"/>
        </w:trPr>
        <w:tc>
          <w:tcPr>
            <w:tcW w:w="6520" w:type="dxa"/>
            <w:vAlign w:val="bottom"/>
          </w:tcPr>
          <w:p>
            <w:pPr>
              <w:spacing w:after="0"/>
              <w:rPr>
                <w:sz w:val="20"/>
                <w:szCs w:val="20"/>
                <w:color w:val="auto"/>
              </w:rPr>
            </w:pPr>
            <w:r>
              <w:rPr>
                <w:rFonts w:ascii="Arial" w:cs="Arial" w:eastAsia="Arial" w:hAnsi="Arial"/>
                <w:sz w:val="20"/>
                <w:szCs w:val="20"/>
                <w:b w:val="1"/>
                <w:bCs w:val="1"/>
                <w:color w:val="auto"/>
              </w:rPr>
              <w:t>Liquidity and Capital Resources</w:t>
            </w:r>
          </w:p>
        </w:tc>
        <w:tc>
          <w:tcPr>
            <w:tcW w:w="14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7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51"/>
        </w:trPr>
        <w:tc>
          <w:tcPr>
            <w:tcW w:w="6520" w:type="dxa"/>
            <w:vAlign w:val="bottom"/>
          </w:tcPr>
          <w:p>
            <w:pPr>
              <w:spacing w:after="0"/>
              <w:rPr>
                <w:sz w:val="20"/>
                <w:szCs w:val="20"/>
                <w:color w:val="auto"/>
              </w:rPr>
            </w:pPr>
            <w:r>
              <w:rPr>
                <w:rFonts w:ascii="Arial" w:cs="Arial" w:eastAsia="Arial" w:hAnsi="Arial"/>
                <w:sz w:val="20"/>
                <w:szCs w:val="20"/>
                <w:b w:val="1"/>
                <w:bCs w:val="1"/>
                <w:color w:val="auto"/>
              </w:rPr>
              <w:t xml:space="preserve">Cash Flows </w:t>
            </w:r>
            <w:r>
              <w:rPr>
                <w:rFonts w:ascii="Arial" w:cs="Arial" w:eastAsia="Arial" w:hAnsi="Arial"/>
                <w:sz w:val="20"/>
                <w:szCs w:val="20"/>
                <w:i w:val="1"/>
                <w:iCs w:val="1"/>
                <w:color w:val="auto"/>
              </w:rPr>
              <w:t>(in thousands)</w:t>
            </w:r>
          </w:p>
        </w:tc>
        <w:tc>
          <w:tcPr>
            <w:tcW w:w="4720" w:type="dxa"/>
            <w:vAlign w:val="bottom"/>
            <w:gridSpan w:val="5"/>
            <w:vMerge w:val="restart"/>
          </w:tcPr>
          <w:p>
            <w:pPr>
              <w:jc w:val="right"/>
              <w:ind w:right="621"/>
              <w:spacing w:after="0"/>
              <w:rPr>
                <w:sz w:val="20"/>
                <w:szCs w:val="20"/>
                <w:color w:val="auto"/>
              </w:rPr>
            </w:pPr>
            <w:r>
              <w:rPr>
                <w:rFonts w:ascii="Arial" w:cs="Arial" w:eastAsia="Arial" w:hAnsi="Arial"/>
                <w:sz w:val="20"/>
                <w:szCs w:val="20"/>
                <w:b w:val="1"/>
                <w:bCs w:val="1"/>
                <w:color w:val="auto"/>
              </w:rPr>
              <w:t>Nine Months Ended September 30,</w:t>
            </w:r>
          </w:p>
        </w:tc>
        <w:tc>
          <w:tcPr>
            <w:tcW w:w="0" w:type="dxa"/>
            <w:vAlign w:val="bottom"/>
          </w:tcPr>
          <w:p>
            <w:pPr>
              <w:spacing w:after="0"/>
              <w:rPr>
                <w:sz w:val="1"/>
                <w:szCs w:val="1"/>
                <w:color w:val="auto"/>
              </w:rPr>
            </w:pPr>
          </w:p>
        </w:tc>
      </w:tr>
      <w:tr>
        <w:trPr>
          <w:trHeight w:val="268"/>
        </w:trPr>
        <w:tc>
          <w:tcPr>
            <w:tcW w:w="6520" w:type="dxa"/>
            <w:vAlign w:val="bottom"/>
          </w:tcPr>
          <w:p>
            <w:pPr>
              <w:spacing w:after="0"/>
              <w:rPr>
                <w:sz w:val="22"/>
                <w:szCs w:val="22"/>
                <w:color w:val="auto"/>
              </w:rPr>
            </w:pPr>
          </w:p>
        </w:tc>
        <w:tc>
          <w:tcPr>
            <w:tcW w:w="4720" w:type="dxa"/>
            <w:vAlign w:val="bottom"/>
            <w:tcBorders>
              <w:bottom w:val="single" w:sz="8" w:color="auto"/>
            </w:tcBorders>
            <w:gridSpan w:val="5"/>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6520" w:type="dxa"/>
            <w:vAlign w:val="bottom"/>
            <w:tcBorders>
              <w:bottom w:val="single" w:sz="8" w:color="CCEEFF"/>
            </w:tcBorders>
          </w:tcPr>
          <w:p>
            <w:pPr>
              <w:spacing w:after="0"/>
              <w:rPr>
                <w:sz w:val="21"/>
                <w:szCs w:val="21"/>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2025</w:t>
            </w:r>
          </w:p>
        </w:tc>
        <w:tc>
          <w:tcPr>
            <w:tcW w:w="920" w:type="dxa"/>
            <w:vAlign w:val="bottom"/>
            <w:tcBorders>
              <w:bottom w:val="single" w:sz="8" w:color="auto"/>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520" w:type="dxa"/>
            <w:vAlign w:val="bottom"/>
            <w:tcBorders>
              <w:bottom w:val="single" w:sz="8" w:color="auto"/>
            </w:tcBorders>
          </w:tcPr>
          <w:p>
            <w:pPr>
              <w:spacing w:after="0"/>
              <w:rPr>
                <w:sz w:val="21"/>
                <w:szCs w:val="21"/>
                <w:color w:val="auto"/>
              </w:rPr>
            </w:pPr>
          </w:p>
        </w:tc>
        <w:tc>
          <w:tcPr>
            <w:tcW w:w="1780" w:type="dxa"/>
            <w:vAlign w:val="bottom"/>
            <w:tcBorders>
              <w:bottom w:val="single" w:sz="8" w:color="auto"/>
            </w:tcBorders>
          </w:tcPr>
          <w:p>
            <w:pPr>
              <w:jc w:val="right"/>
              <w:ind w:right="841"/>
              <w:spacing w:after="0"/>
              <w:rPr>
                <w:sz w:val="20"/>
                <w:szCs w:val="20"/>
                <w:color w:val="auto"/>
              </w:rPr>
            </w:pPr>
            <w:r>
              <w:rPr>
                <w:rFonts w:ascii="Arial" w:cs="Arial" w:eastAsia="Arial" w:hAnsi="Arial"/>
                <w:sz w:val="20"/>
                <w:szCs w:val="20"/>
                <w:b w:val="1"/>
                <w:bCs w:val="1"/>
                <w:color w:val="auto"/>
              </w:rPr>
              <w:t>2024</w:t>
            </w:r>
          </w:p>
        </w:tc>
        <w:tc>
          <w:tcPr>
            <w:tcW w:w="0" w:type="dxa"/>
            <w:vAlign w:val="bottom"/>
          </w:tcPr>
          <w:p>
            <w:pPr>
              <w:spacing w:after="0"/>
              <w:rPr>
                <w:sz w:val="1"/>
                <w:szCs w:val="1"/>
                <w:color w:val="auto"/>
              </w:rPr>
            </w:pPr>
          </w:p>
        </w:tc>
      </w:tr>
      <w:tr>
        <w:trPr>
          <w:trHeight w:val="263"/>
        </w:trPr>
        <w:tc>
          <w:tcPr>
            <w:tcW w:w="6520" w:type="dxa"/>
            <w:vAlign w:val="bottom"/>
            <w:shd w:val="clear" w:color="auto" w:fill="CCEEFF"/>
          </w:tcPr>
          <w:p>
            <w:pPr>
              <w:ind w:left="20"/>
              <w:spacing w:after="0"/>
              <w:rPr>
                <w:sz w:val="20"/>
                <w:szCs w:val="20"/>
                <w:color w:val="auto"/>
              </w:rPr>
            </w:pPr>
            <w:r>
              <w:rPr>
                <w:rFonts w:ascii="Arial" w:cs="Arial" w:eastAsia="Arial" w:hAnsi="Arial"/>
                <w:sz w:val="20"/>
                <w:szCs w:val="20"/>
                <w:color w:val="auto"/>
              </w:rPr>
              <w:t>Net cash provided by operating activities</w:t>
            </w:r>
          </w:p>
        </w:tc>
        <w:tc>
          <w:tcPr>
            <w:tcW w:w="1420" w:type="dxa"/>
            <w:vAlign w:val="bottom"/>
            <w:shd w:val="clear" w:color="auto" w:fill="CCEEFF"/>
          </w:tcPr>
          <w:p>
            <w:pPr>
              <w:jc w:val="right"/>
              <w:ind w:right="1181"/>
              <w:spacing w:after="0"/>
              <w:rPr>
                <w:sz w:val="20"/>
                <w:szCs w:val="20"/>
                <w:color w:val="auto"/>
              </w:rPr>
            </w:pPr>
            <w:r>
              <w:rPr>
                <w:rFonts w:ascii="Arial" w:cs="Arial" w:eastAsia="Arial" w:hAnsi="Arial"/>
                <w:sz w:val="20"/>
                <w:szCs w:val="20"/>
                <w:color w:val="auto"/>
              </w:rPr>
              <w:t>$</w:t>
            </w:r>
          </w:p>
        </w:tc>
        <w:tc>
          <w:tcPr>
            <w:tcW w:w="920" w:type="dxa"/>
            <w:vAlign w:val="bottom"/>
            <w:shd w:val="clear" w:color="auto" w:fill="CCEEFF"/>
          </w:tcPr>
          <w:p>
            <w:pPr>
              <w:jc w:val="right"/>
              <w:ind w:right="1"/>
              <w:spacing w:after="0"/>
              <w:rPr>
                <w:sz w:val="20"/>
                <w:szCs w:val="20"/>
                <w:color w:val="auto"/>
              </w:rPr>
            </w:pPr>
            <w:r>
              <w:rPr>
                <w:rFonts w:ascii="Arial" w:cs="Arial" w:eastAsia="Arial" w:hAnsi="Arial"/>
                <w:sz w:val="20"/>
                <w:szCs w:val="20"/>
                <w:color w:val="auto"/>
              </w:rPr>
              <w:t>58,145</w:t>
            </w:r>
          </w:p>
        </w:tc>
        <w:tc>
          <w:tcPr>
            <w:tcW w:w="600" w:type="dxa"/>
            <w:vAlign w:val="bottom"/>
            <w:gridSpan w:val="2"/>
            <w:shd w:val="clear" w:color="auto" w:fill="CCEEFF"/>
          </w:tcPr>
          <w:p>
            <w:pPr>
              <w:jc w:val="right"/>
              <w:ind w:right="400"/>
              <w:spacing w:after="0"/>
              <w:rPr>
                <w:sz w:val="20"/>
                <w:szCs w:val="20"/>
                <w:color w:val="auto"/>
              </w:rPr>
            </w:pPr>
            <w:r>
              <w:rPr>
                <w:rFonts w:ascii="Arial" w:cs="Arial" w:eastAsia="Arial" w:hAnsi="Arial"/>
                <w:sz w:val="20"/>
                <w:szCs w:val="20"/>
                <w:color w:val="auto"/>
              </w:rPr>
              <w:t>$</w:t>
            </w:r>
          </w:p>
        </w:tc>
        <w:tc>
          <w:tcPr>
            <w:tcW w:w="17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96,394</w:t>
            </w:r>
          </w:p>
        </w:tc>
        <w:tc>
          <w:tcPr>
            <w:tcW w:w="0" w:type="dxa"/>
            <w:vAlign w:val="bottom"/>
          </w:tcPr>
          <w:p>
            <w:pPr>
              <w:spacing w:after="0"/>
              <w:rPr>
                <w:sz w:val="1"/>
                <w:szCs w:val="1"/>
                <w:color w:val="auto"/>
              </w:rPr>
            </w:pPr>
          </w:p>
        </w:tc>
      </w:tr>
      <w:tr>
        <w:trPr>
          <w:trHeight w:val="282"/>
        </w:trPr>
        <w:tc>
          <w:tcPr>
            <w:tcW w:w="6520" w:type="dxa"/>
            <w:vAlign w:val="bottom"/>
          </w:tcPr>
          <w:p>
            <w:pPr>
              <w:ind w:left="20"/>
              <w:spacing w:after="0"/>
              <w:rPr>
                <w:sz w:val="20"/>
                <w:szCs w:val="20"/>
                <w:color w:val="auto"/>
              </w:rPr>
            </w:pPr>
            <w:r>
              <w:rPr>
                <w:rFonts w:ascii="Arial" w:cs="Arial" w:eastAsia="Arial" w:hAnsi="Arial"/>
                <w:sz w:val="20"/>
                <w:szCs w:val="20"/>
                <w:color w:val="auto"/>
              </w:rPr>
              <w:t>Net cash (used in) provided by investing activities</w:t>
            </w:r>
          </w:p>
        </w:tc>
        <w:tc>
          <w:tcPr>
            <w:tcW w:w="142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20"/>
                <w:szCs w:val="20"/>
                <w:color w:val="auto"/>
              </w:rPr>
              <w:t>(179,412)</w:t>
            </w: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780" w:type="dxa"/>
            <w:vAlign w:val="bottom"/>
          </w:tcPr>
          <w:p>
            <w:pPr>
              <w:jc w:val="right"/>
              <w:spacing w:after="0"/>
              <w:rPr>
                <w:sz w:val="20"/>
                <w:szCs w:val="20"/>
                <w:color w:val="auto"/>
              </w:rPr>
            </w:pPr>
            <w:r>
              <w:rPr>
                <w:rFonts w:ascii="Arial" w:cs="Arial" w:eastAsia="Arial" w:hAnsi="Arial"/>
                <w:sz w:val="20"/>
                <w:szCs w:val="20"/>
                <w:color w:val="auto"/>
              </w:rPr>
              <w:t>6,409</w:t>
            </w:r>
          </w:p>
        </w:tc>
        <w:tc>
          <w:tcPr>
            <w:tcW w:w="0" w:type="dxa"/>
            <w:vAlign w:val="bottom"/>
          </w:tcPr>
          <w:p>
            <w:pPr>
              <w:spacing w:after="0"/>
              <w:rPr>
                <w:sz w:val="1"/>
                <w:szCs w:val="1"/>
                <w:color w:val="auto"/>
              </w:rPr>
            </w:pPr>
          </w:p>
        </w:tc>
      </w:tr>
      <w:tr>
        <w:trPr>
          <w:trHeight w:val="285"/>
        </w:trPr>
        <w:tc>
          <w:tcPr>
            <w:tcW w:w="6520" w:type="dxa"/>
            <w:vAlign w:val="bottom"/>
            <w:shd w:val="clear" w:color="auto" w:fill="CCEEFF"/>
          </w:tcPr>
          <w:p>
            <w:pPr>
              <w:ind w:left="20"/>
              <w:spacing w:after="0"/>
              <w:rPr>
                <w:sz w:val="20"/>
                <w:szCs w:val="20"/>
                <w:color w:val="auto"/>
              </w:rPr>
            </w:pPr>
            <w:r>
              <w:rPr>
                <w:rFonts w:ascii="Arial" w:cs="Arial" w:eastAsia="Arial" w:hAnsi="Arial"/>
                <w:sz w:val="20"/>
                <w:szCs w:val="20"/>
                <w:color w:val="auto"/>
              </w:rPr>
              <w:t>Net cash used in financing activities</w:t>
            </w:r>
          </w:p>
        </w:tc>
        <w:tc>
          <w:tcPr>
            <w:tcW w:w="1420" w:type="dxa"/>
            <w:vAlign w:val="bottom"/>
            <w:shd w:val="clear" w:color="auto" w:fill="CCEEFF"/>
          </w:tcPr>
          <w:p>
            <w:pPr>
              <w:spacing w:after="0"/>
              <w:rPr>
                <w:sz w:val="24"/>
                <w:szCs w:val="2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(25,518)</w:t>
            </w:r>
          </w:p>
        </w:tc>
        <w:tc>
          <w:tcPr>
            <w:tcW w:w="8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(12,241)</w:t>
            </w:r>
          </w:p>
        </w:tc>
        <w:tc>
          <w:tcPr>
            <w:tcW w:w="0" w:type="dxa"/>
            <w:vAlign w:val="bottom"/>
          </w:tcPr>
          <w:p>
            <w:pPr>
              <w:spacing w:after="0"/>
              <w:rPr>
                <w:sz w:val="1"/>
                <w:szCs w:val="1"/>
                <w:color w:val="auto"/>
              </w:rPr>
            </w:pPr>
          </w:p>
        </w:tc>
      </w:tr>
      <w:tr>
        <w:trPr>
          <w:trHeight w:val="277"/>
        </w:trPr>
        <w:tc>
          <w:tcPr>
            <w:tcW w:w="6520" w:type="dxa"/>
            <w:vAlign w:val="bottom"/>
            <w:tcBorders>
              <w:bottom w:val="single" w:sz="8" w:color="CCEEFF"/>
            </w:tcBorders>
          </w:tcPr>
          <w:p>
            <w:pPr>
              <w:ind w:left="20"/>
              <w:spacing w:after="0"/>
              <w:rPr>
                <w:sz w:val="20"/>
                <w:szCs w:val="20"/>
                <w:color w:val="auto"/>
              </w:rPr>
            </w:pPr>
            <w:r>
              <w:rPr>
                <w:rFonts w:ascii="Arial" w:cs="Arial" w:eastAsia="Arial" w:hAnsi="Arial"/>
                <w:sz w:val="20"/>
                <w:szCs w:val="20"/>
                <w:color w:val="auto"/>
              </w:rPr>
              <w:t>Effect of exchange rate changes on cash and cash equivalent balances</w:t>
            </w:r>
          </w:p>
        </w:tc>
        <w:tc>
          <w:tcPr>
            <w:tcW w:w="14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1"/>
              <w:spacing w:after="0"/>
              <w:rPr>
                <w:sz w:val="20"/>
                <w:szCs w:val="20"/>
                <w:color w:val="auto"/>
              </w:rPr>
            </w:pPr>
            <w:r>
              <w:rPr>
                <w:rFonts w:ascii="Arial" w:cs="Arial" w:eastAsia="Arial" w:hAnsi="Arial"/>
                <w:sz w:val="20"/>
                <w:szCs w:val="20"/>
                <w:color w:val="auto"/>
              </w:rPr>
              <w:t>5,747</w:t>
            </w:r>
          </w:p>
        </w:tc>
        <w:tc>
          <w:tcPr>
            <w:tcW w:w="80" w:type="dxa"/>
            <w:vAlign w:val="bottom"/>
            <w:tcBorders>
              <w:bottom w:val="single" w:sz="8" w:color="CCEEFF"/>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(7,270)</w:t>
            </w:r>
          </w:p>
        </w:tc>
        <w:tc>
          <w:tcPr>
            <w:tcW w:w="0" w:type="dxa"/>
            <w:vAlign w:val="bottom"/>
          </w:tcPr>
          <w:p>
            <w:pPr>
              <w:spacing w:after="0"/>
              <w:rPr>
                <w:sz w:val="1"/>
                <w:szCs w:val="1"/>
                <w:color w:val="auto"/>
              </w:rPr>
            </w:pPr>
          </w:p>
        </w:tc>
      </w:tr>
      <w:tr>
        <w:trPr>
          <w:trHeight w:val="297"/>
        </w:trPr>
        <w:tc>
          <w:tcPr>
            <w:tcW w:w="6520" w:type="dxa"/>
            <w:vAlign w:val="bottom"/>
            <w:shd w:val="clear" w:color="auto" w:fill="CCEEFF"/>
          </w:tcPr>
          <w:p>
            <w:pPr>
              <w:ind w:left="20"/>
              <w:spacing w:after="0"/>
              <w:rPr>
                <w:sz w:val="20"/>
                <w:szCs w:val="20"/>
                <w:color w:val="auto"/>
              </w:rPr>
            </w:pPr>
            <w:r>
              <w:rPr>
                <w:rFonts w:ascii="Arial" w:cs="Arial" w:eastAsia="Arial" w:hAnsi="Arial"/>
                <w:sz w:val="20"/>
                <w:szCs w:val="20"/>
                <w:color w:val="auto"/>
              </w:rPr>
              <w:t>Net change in cash and cash equivalents and restricted cash</w:t>
            </w:r>
          </w:p>
        </w:tc>
        <w:tc>
          <w:tcPr>
            <w:tcW w:w="1420" w:type="dxa"/>
            <w:vAlign w:val="bottom"/>
            <w:shd w:val="clear" w:color="auto" w:fill="CCEEFF"/>
          </w:tcPr>
          <w:p>
            <w:pPr>
              <w:jc w:val="right"/>
              <w:ind w:right="1161"/>
              <w:spacing w:after="0"/>
              <w:rPr>
                <w:sz w:val="20"/>
                <w:szCs w:val="20"/>
                <w:color w:val="auto"/>
              </w:rPr>
            </w:pPr>
            <w:r>
              <w:rPr>
                <w:rFonts w:ascii="Arial" w:cs="Arial" w:eastAsia="Arial" w:hAnsi="Arial"/>
                <w:sz w:val="20"/>
                <w:szCs w:val="20"/>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(141,038)</w:t>
            </w:r>
          </w:p>
        </w:tc>
        <w:tc>
          <w:tcPr>
            <w:tcW w:w="600" w:type="dxa"/>
            <w:vAlign w:val="bottom"/>
            <w:gridSpan w:val="2"/>
            <w:shd w:val="clear" w:color="auto" w:fill="CCEEFF"/>
          </w:tcPr>
          <w:p>
            <w:pPr>
              <w:jc w:val="right"/>
              <w:ind w:right="420"/>
              <w:spacing w:after="0"/>
              <w:rPr>
                <w:sz w:val="20"/>
                <w:szCs w:val="20"/>
                <w:color w:val="auto"/>
              </w:rPr>
            </w:pPr>
            <w:r>
              <w:rPr>
                <w:rFonts w:ascii="Arial" w:cs="Arial" w:eastAsia="Arial" w:hAnsi="Arial"/>
                <w:sz w:val="20"/>
                <w:szCs w:val="20"/>
                <w:color w:val="auto"/>
              </w:rPr>
              <w:t>$</w:t>
            </w:r>
          </w:p>
        </w:tc>
        <w:tc>
          <w:tcPr>
            <w:tcW w:w="17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83,292</w:t>
            </w:r>
          </w:p>
        </w:tc>
        <w:tc>
          <w:tcPr>
            <w:tcW w:w="0" w:type="dxa"/>
            <w:vAlign w:val="bottom"/>
          </w:tcPr>
          <w:p>
            <w:pPr>
              <w:spacing w:after="0"/>
              <w:rPr>
                <w:sz w:val="1"/>
                <w:szCs w:val="1"/>
                <w:color w:val="auto"/>
              </w:rPr>
            </w:pPr>
          </w:p>
        </w:tc>
      </w:tr>
      <w:tr>
        <w:trPr>
          <w:trHeight w:val="20"/>
        </w:trPr>
        <w:tc>
          <w:tcPr>
            <w:tcW w:w="652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7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9" w:lineRule="exact"/>
        <w:rPr>
          <w:sz w:val="20"/>
          <w:szCs w:val="20"/>
          <w:color w:val="auto"/>
        </w:rPr>
      </w:pPr>
    </w:p>
    <w:p>
      <w:pPr>
        <w:jc w:val="both"/>
        <w:spacing w:after="0" w:line="269" w:lineRule="auto"/>
        <w:rPr>
          <w:sz w:val="20"/>
          <w:szCs w:val="20"/>
          <w:color w:val="auto"/>
        </w:rPr>
      </w:pPr>
      <w:r>
        <w:rPr>
          <w:rFonts w:ascii="Arial" w:cs="Arial" w:eastAsia="Arial" w:hAnsi="Arial"/>
          <w:sz w:val="20"/>
          <w:szCs w:val="20"/>
          <w:color w:val="auto"/>
        </w:rPr>
        <w:t>Historically, we have financed our operations with the proceeds from operating cash flows, capital contributions and short and long-term borrowings. Our ability to generate positive cash flow from operations is dependent on the strength of our gross margins as well as our ability to quickly turn our working capital. Based on our past performance and current expectations, we believe that operating cash flows will be sufficient to meet our liquidity needs in the next 12 months and beyond.</w:t>
      </w:r>
    </w:p>
    <w:p>
      <w:pPr>
        <w:spacing w:after="0" w:line="197" w:lineRule="exact"/>
        <w:rPr>
          <w:sz w:val="20"/>
          <w:szCs w:val="20"/>
          <w:color w:val="auto"/>
        </w:rPr>
      </w:pPr>
    </w:p>
    <w:p>
      <w:pPr>
        <w:jc w:val="both"/>
        <w:spacing w:after="0" w:line="276" w:lineRule="auto"/>
        <w:rPr>
          <w:sz w:val="20"/>
          <w:szCs w:val="20"/>
          <w:color w:val="auto"/>
        </w:rPr>
      </w:pPr>
      <w:r>
        <w:rPr>
          <w:rFonts w:ascii="Arial" w:cs="Arial" w:eastAsia="Arial" w:hAnsi="Arial"/>
          <w:sz w:val="20"/>
          <w:szCs w:val="20"/>
          <w:color w:val="auto"/>
        </w:rPr>
        <w:t>As of September 30, 2025, our cash balance was $221.5 million, of which $34.5 million was held outside the U.S., and our net working capital, including cash and cash equivalents, was $408.1 million. We had $145.3 million available to us under our $166 million Revolving Credit Facility.</w:t>
      </w:r>
    </w:p>
    <w:p>
      <w:pPr>
        <w:spacing w:after="0" w:line="192" w:lineRule="exact"/>
        <w:rPr>
          <w:sz w:val="20"/>
          <w:szCs w:val="20"/>
          <w:color w:val="auto"/>
        </w:rPr>
      </w:pPr>
    </w:p>
    <w:p>
      <w:pPr>
        <w:jc w:val="both"/>
        <w:spacing w:after="0" w:line="269" w:lineRule="auto"/>
        <w:rPr>
          <w:sz w:val="20"/>
          <w:szCs w:val="20"/>
          <w:color w:val="auto"/>
        </w:rPr>
      </w:pPr>
      <w:r>
        <w:rPr>
          <w:rFonts w:ascii="Arial" w:cs="Arial" w:eastAsia="Arial" w:hAnsi="Arial"/>
          <w:sz w:val="20"/>
          <w:szCs w:val="20"/>
          <w:color w:val="auto"/>
        </w:rPr>
        <w:t>On May 1, 2025, Array Tech, Inc. and ATI Investment Sub, Inc., both wholly owned subsidiaries of the Company, entered into the Fourth Amendment to the Credit Agreement. The Fourth Amendment, among other things, (i) refinanced the Revolving Credit Facility with new revolving commitments and loans thereunder and (ii) revised the Consolidated First Lien Secured Leverage Ratio as applicable under Section 7.09 (Financial Covenant) of the Credit Agreement from 7.10:1.00 to 5.50:1.00.</w:t>
      </w:r>
    </w:p>
    <w:p>
      <w:pPr>
        <w:spacing w:after="0" w:line="211" w:lineRule="exact"/>
        <w:rPr>
          <w:sz w:val="20"/>
          <w:szCs w:val="20"/>
          <w:color w:val="auto"/>
        </w:rPr>
      </w:pPr>
    </w:p>
    <w:p>
      <w:pPr>
        <w:jc w:val="both"/>
        <w:spacing w:after="0" w:line="286" w:lineRule="auto"/>
        <w:rPr>
          <w:sz w:val="20"/>
          <w:szCs w:val="20"/>
          <w:color w:val="auto"/>
        </w:rPr>
      </w:pPr>
      <w:r>
        <w:rPr>
          <w:rFonts w:ascii="Arial" w:cs="Arial" w:eastAsia="Arial" w:hAnsi="Arial"/>
          <w:sz w:val="20"/>
          <w:szCs w:val="20"/>
          <w:color w:val="auto"/>
        </w:rPr>
        <w:t>As amended by the Fourth Amendment, the Revolving Credit Facility has total commitments of $166 million and a maturity date of October 14, 2028.</w:t>
      </w:r>
    </w:p>
    <w:p>
      <w:pPr>
        <w:spacing w:after="0" w:line="181" w:lineRule="exact"/>
        <w:rPr>
          <w:sz w:val="20"/>
          <w:szCs w:val="20"/>
          <w:color w:val="auto"/>
        </w:rPr>
      </w:pPr>
    </w:p>
    <w:p>
      <w:pPr>
        <w:jc w:val="both"/>
        <w:spacing w:after="0" w:line="269" w:lineRule="auto"/>
        <w:rPr>
          <w:sz w:val="20"/>
          <w:szCs w:val="20"/>
          <w:color w:val="auto"/>
        </w:rPr>
      </w:pPr>
      <w:r>
        <w:rPr>
          <w:rFonts w:ascii="Arial" w:cs="Arial" w:eastAsia="Arial" w:hAnsi="Arial"/>
          <w:sz w:val="20"/>
          <w:szCs w:val="20"/>
          <w:color w:val="auto"/>
        </w:rPr>
        <w:t>On June 27, 2025, we completed a private placement of $345 million in aggregate principal amount of 2031 Convertible Notes, resulting in net proceeds of $334.6 million, after deducting initial purchasers’ discounts and offering expenses. The proceeds were used to repay in full our Term Loan Facility and to repurchase $100.0 million aggregate principal amount of the 2028 Convertible Notes. The repurchased 2028 Convertible Notes</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78105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19" w:right="339" w:bottom="1440" w:gutter="0" w:footer="0" w:header="0"/>
        </w:sectPr>
      </w:pPr>
    </w:p>
    <w:bookmarkStart w:id="60" w:name="page61"/>
    <w:bookmarkEnd w:id="60"/>
    <w:p>
      <w:pPr>
        <w:jc w:val="both"/>
        <w:spacing w:after="0" w:line="286" w:lineRule="auto"/>
        <w:rPr>
          <w:sz w:val="20"/>
          <w:szCs w:val="20"/>
          <w:color w:val="auto"/>
        </w:rPr>
      </w:pPr>
      <w:r>
        <w:rPr>
          <w:rFonts w:ascii="Arial" w:cs="Arial" w:eastAsia="Arial" w:hAnsi="Arial"/>
          <w:sz w:val="20"/>
          <w:szCs w:val="20"/>
          <w:color w:val="auto"/>
        </w:rPr>
        <w:t>had a net carrying value of $98.5 million, inclusive of unamortized debt discount, resulting in a gain on extinguishment of debt of approximately $20.1 million.</w:t>
      </w:r>
    </w:p>
    <w:p>
      <w:pPr>
        <w:spacing w:after="0" w:line="194" w:lineRule="exact"/>
        <w:rPr>
          <w:sz w:val="20"/>
          <w:szCs w:val="20"/>
          <w:color w:val="auto"/>
        </w:rPr>
      </w:pPr>
    </w:p>
    <w:p>
      <w:pPr>
        <w:jc w:val="both"/>
        <w:spacing w:after="0" w:line="279" w:lineRule="auto"/>
        <w:rPr>
          <w:sz w:val="20"/>
          <w:szCs w:val="20"/>
          <w:color w:val="auto"/>
        </w:rPr>
      </w:pPr>
      <w:r>
        <w:rPr>
          <w:rFonts w:ascii="Arial" w:cs="Arial" w:eastAsia="Arial" w:hAnsi="Arial"/>
          <w:sz w:val="19"/>
          <w:szCs w:val="19"/>
          <w:color w:val="auto"/>
        </w:rPr>
        <w:t>In connection with the issuance of the 2031 Convertible Notes, we also entered into capped call transactions designed to reduce potential dilution to common stockholders upon conversion of the notes (the “2031 Capped Calls”). These instruments cover approximately 42.5 million shares of common stock, with an initial strike price of $8.12 and a cap price of $12.74 per share, subject to anti-dilution adjustments. These instruments are scheduled to expire on July 1, 2031. The net effect of the 2031 Capped Calls is to raise the conversion price on the 2031 Convertible Notes from $8.12 to $ 12.74. However, these transactions are separate from the 2031 Convertible Notes and do not affect the terms of the notes or the rights of note holders.</w:t>
      </w:r>
    </w:p>
    <w:p>
      <w:pPr>
        <w:spacing w:after="0" w:line="204" w:lineRule="exact"/>
        <w:rPr>
          <w:sz w:val="20"/>
          <w:szCs w:val="20"/>
          <w:color w:val="auto"/>
        </w:rPr>
      </w:pPr>
    </w:p>
    <w:p>
      <w:pPr>
        <w:jc w:val="both"/>
        <w:spacing w:after="0" w:line="269" w:lineRule="auto"/>
        <w:rPr>
          <w:sz w:val="20"/>
          <w:szCs w:val="20"/>
          <w:color w:val="auto"/>
        </w:rPr>
      </w:pPr>
      <w:r>
        <w:rPr>
          <w:rFonts w:ascii="Arial" w:cs="Arial" w:eastAsia="Arial" w:hAnsi="Arial"/>
          <w:sz w:val="20"/>
          <w:szCs w:val="20"/>
          <w:color w:val="auto"/>
        </w:rPr>
        <w:t>We continually monitor and review our liquidity position and funding needs. Our management believes that our ability to generate operating cash flows in the future and available borrowing capacity under our Senior Secured Credit Facility will be sufficient to meet our future liquidity needs.</w:t>
      </w:r>
    </w:p>
    <w:p>
      <w:pPr>
        <w:spacing w:after="0" w:line="21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Operating Activities</w:t>
      </w:r>
    </w:p>
    <w:p>
      <w:pPr>
        <w:spacing w:after="0" w:line="121" w:lineRule="exact"/>
        <w:rPr>
          <w:sz w:val="20"/>
          <w:szCs w:val="20"/>
          <w:color w:val="auto"/>
        </w:rPr>
      </w:pPr>
    </w:p>
    <w:p>
      <w:pPr>
        <w:jc w:val="both"/>
        <w:spacing w:after="0" w:line="269" w:lineRule="auto"/>
        <w:rPr>
          <w:sz w:val="20"/>
          <w:szCs w:val="20"/>
          <w:color w:val="auto"/>
        </w:rPr>
      </w:pPr>
      <w:r>
        <w:rPr>
          <w:rFonts w:ascii="Arial" w:cs="Arial" w:eastAsia="Arial" w:hAnsi="Arial"/>
          <w:sz w:val="20"/>
          <w:szCs w:val="20"/>
          <w:color w:val="auto"/>
        </w:rPr>
        <w:t>For the nine months ended September 30, 2025, cash provided by operating activities was $58.1 million, attributable to net income of $93.5 million and $53.6 million of non-cash adjustments, mainly consisting of depreciation and amortization expense, gain on extinguishment of debts, net, and equity-based compensation, partially offset by a net cash outflow of $88.9 million from changes in our operating assets and liabilities.</w:t>
      </w:r>
    </w:p>
    <w:p>
      <w:pPr>
        <w:spacing w:after="0" w:line="197" w:lineRule="exact"/>
        <w:rPr>
          <w:sz w:val="20"/>
          <w:szCs w:val="20"/>
          <w:color w:val="auto"/>
        </w:rPr>
      </w:pPr>
    </w:p>
    <w:p>
      <w:pPr>
        <w:jc w:val="both"/>
        <w:spacing w:after="0" w:line="276" w:lineRule="auto"/>
        <w:rPr>
          <w:sz w:val="20"/>
          <w:szCs w:val="20"/>
          <w:color w:val="auto"/>
        </w:rPr>
      </w:pPr>
      <w:r>
        <w:rPr>
          <w:rFonts w:ascii="Arial" w:cs="Arial" w:eastAsia="Arial" w:hAnsi="Arial"/>
          <w:sz w:val="20"/>
          <w:szCs w:val="20"/>
          <w:color w:val="auto"/>
        </w:rPr>
        <w:t>For the nine months ended September 30, 2024, cash provided by operating activities was $96.4 million, attributable to net loss of $113.5 million and $211.8 million of non-cash adjustments, mainly consisting of goodwill impairment, depreciation and amortization, amortization of developed technology and backlog, and equity-based compensation.</w:t>
      </w:r>
    </w:p>
    <w:p>
      <w:pPr>
        <w:spacing w:after="0" w:line="19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Investing Activities</w:t>
      </w:r>
    </w:p>
    <w:p>
      <w:pPr>
        <w:spacing w:after="0" w:line="135" w:lineRule="exact"/>
        <w:rPr>
          <w:sz w:val="20"/>
          <w:szCs w:val="20"/>
          <w:color w:val="auto"/>
        </w:rPr>
      </w:pPr>
    </w:p>
    <w:p>
      <w:pPr>
        <w:jc w:val="both"/>
        <w:ind w:right="20"/>
        <w:spacing w:after="0" w:line="286" w:lineRule="auto"/>
        <w:rPr>
          <w:sz w:val="20"/>
          <w:szCs w:val="20"/>
          <w:color w:val="auto"/>
        </w:rPr>
      </w:pPr>
      <w:r>
        <w:rPr>
          <w:rFonts w:ascii="Arial" w:cs="Arial" w:eastAsia="Arial" w:hAnsi="Arial"/>
          <w:sz w:val="20"/>
          <w:szCs w:val="20"/>
          <w:color w:val="auto"/>
        </w:rPr>
        <w:t>For the nine months ended September 30, 2025 and 2024, net cash used in investing activities was $ 179.4 million and $6.4 million, respectively, primarily due to acquisition-related expenses and the purchase of property, plant and equipment.</w:t>
      </w:r>
    </w:p>
    <w:p>
      <w:pPr>
        <w:spacing w:after="0" w:line="181"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Financing Activities</w:t>
      </w:r>
    </w:p>
    <w:p>
      <w:pPr>
        <w:spacing w:after="0" w:line="135" w:lineRule="exact"/>
        <w:rPr>
          <w:sz w:val="20"/>
          <w:szCs w:val="20"/>
          <w:color w:val="auto"/>
        </w:rPr>
      </w:pPr>
    </w:p>
    <w:p>
      <w:pPr>
        <w:jc w:val="both"/>
        <w:spacing w:after="0" w:line="272" w:lineRule="auto"/>
        <w:rPr>
          <w:sz w:val="20"/>
          <w:szCs w:val="20"/>
          <w:color w:val="auto"/>
        </w:rPr>
      </w:pPr>
      <w:r>
        <w:rPr>
          <w:rFonts w:ascii="Arial" w:cs="Arial" w:eastAsia="Arial" w:hAnsi="Arial"/>
          <w:sz w:val="20"/>
          <w:szCs w:val="20"/>
          <w:color w:val="auto"/>
        </w:rPr>
        <w:t>For the nine months ended September 30, 2025, cash used in financing activities was $25.5 million. This was primarily driven by a $233.9 million repayment on our Term Loan Facility, $119.2 million repayment of Other Debt, $78.4 million repurchase of 2028 Convertible Notes, and $35.1 million premium paid in connection with the purchase of the 2031 Capped Calls, partially offset by an increase of $334.6 million and $108.7 million from net proceeds from the issuance of 2031 Convertible Notes and proceeds from the issuance of Other Debt, respectively, after deducting initial purchasers’ discounts and offering expenses.</w:t>
      </w:r>
    </w:p>
    <w:p>
      <w:pPr>
        <w:spacing w:after="0" w:line="195" w:lineRule="exact"/>
        <w:rPr>
          <w:sz w:val="20"/>
          <w:szCs w:val="20"/>
          <w:color w:val="auto"/>
        </w:rPr>
      </w:pPr>
    </w:p>
    <w:p>
      <w:pPr>
        <w:jc w:val="both"/>
        <w:spacing w:after="0" w:line="276" w:lineRule="auto"/>
        <w:rPr>
          <w:sz w:val="20"/>
          <w:szCs w:val="20"/>
          <w:color w:val="auto"/>
        </w:rPr>
      </w:pPr>
      <w:r>
        <w:rPr>
          <w:rFonts w:ascii="Arial" w:cs="Arial" w:eastAsia="Arial" w:hAnsi="Arial"/>
          <w:sz w:val="20"/>
          <w:szCs w:val="20"/>
          <w:color w:val="auto"/>
        </w:rPr>
        <w:t>For the nine months ended September 30, 2024, cash used in financing activities was $12.2 million. This was primarily driven by a $24.9 million net reduction of Other Debt and $3.2 million in payments on our Term Loan Facility, as well as $1.4 million in TRA payments issued, partially offset by $19.0 million in proceeds from the issuance of Other Debt.</w:t>
      </w:r>
    </w:p>
    <w:p>
      <w:pPr>
        <w:spacing w:after="0" w:line="19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Contractual Obligations and Commitments</w:t>
      </w:r>
    </w:p>
    <w:p>
      <w:pPr>
        <w:spacing w:after="0" w:line="123" w:lineRule="exact"/>
        <w:rPr>
          <w:sz w:val="20"/>
          <w:szCs w:val="20"/>
          <w:color w:val="auto"/>
        </w:rPr>
      </w:pPr>
    </w:p>
    <w:p>
      <w:pPr>
        <w:jc w:val="both"/>
        <w:ind w:right="20"/>
        <w:spacing w:after="0" w:line="300" w:lineRule="auto"/>
        <w:rPr>
          <w:sz w:val="20"/>
          <w:szCs w:val="20"/>
          <w:color w:val="auto"/>
        </w:rPr>
      </w:pPr>
      <w:r>
        <w:rPr>
          <w:rFonts w:ascii="Arial" w:cs="Arial" w:eastAsia="Arial" w:hAnsi="Arial"/>
          <w:sz w:val="20"/>
          <w:szCs w:val="20"/>
          <w:color w:val="auto"/>
        </w:rPr>
        <w:t>Information regarding our debt obligations, lease commitments and other commitments is provided in Item 7, “Management’s Discussion and Analysis of Financial Condition and Results of Operations” in our 2024 Annual</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78105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19" w:right="339" w:bottom="1440" w:gutter="0" w:footer="0" w:header="0"/>
        </w:sectPr>
      </w:pPr>
    </w:p>
    <w:bookmarkStart w:id="61" w:name="page62"/>
    <w:bookmarkEnd w:id="61"/>
    <w:p>
      <w:pPr>
        <w:jc w:val="both"/>
        <w:spacing w:after="0" w:line="286" w:lineRule="auto"/>
        <w:rPr>
          <w:sz w:val="20"/>
          <w:szCs w:val="20"/>
          <w:color w:val="auto"/>
        </w:rPr>
      </w:pPr>
      <w:r>
        <w:rPr>
          <w:rFonts w:ascii="Arial" w:cs="Arial" w:eastAsia="Arial" w:hAnsi="Arial"/>
          <w:sz w:val="20"/>
          <w:szCs w:val="20"/>
          <w:color w:val="auto"/>
        </w:rPr>
        <w:t>Report on form 10-K. Other than as set forth below, there were no material changes in our contractual obligations and commitments as of September 30, 2025.</w:t>
      </w:r>
    </w:p>
    <w:p>
      <w:pPr>
        <w:spacing w:after="0" w:line="19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APA Acquisition Earnout Consideration and Deferred Consideration</w:t>
      </w:r>
    </w:p>
    <w:p>
      <w:pPr>
        <w:spacing w:after="0" w:line="123" w:lineRule="exact"/>
        <w:rPr>
          <w:sz w:val="20"/>
          <w:szCs w:val="20"/>
          <w:color w:val="auto"/>
        </w:rPr>
      </w:pPr>
    </w:p>
    <w:p>
      <w:pPr>
        <w:jc w:val="both"/>
        <w:ind w:right="20"/>
        <w:spacing w:after="0" w:line="276" w:lineRule="auto"/>
        <w:rPr>
          <w:sz w:val="20"/>
          <w:szCs w:val="20"/>
          <w:color w:val="auto"/>
        </w:rPr>
      </w:pPr>
      <w:r>
        <w:rPr>
          <w:rFonts w:ascii="Arial" w:cs="Arial" w:eastAsia="Arial" w:hAnsi="Arial"/>
          <w:sz w:val="20"/>
          <w:szCs w:val="20"/>
          <w:color w:val="auto"/>
        </w:rPr>
        <w:t>The Purchase Agreement includes provisions providing for the Earnout Consideration and the payment of the Deferred Consideration of approximately $40.0 million. Each of the Deferred Consideration and the Earnout Consideration are described in more detail below.</w:t>
      </w:r>
    </w:p>
    <w:p>
      <w:pPr>
        <w:spacing w:after="0" w:line="192"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Earnout Consideration</w:t>
      </w:r>
    </w:p>
    <w:p>
      <w:pPr>
        <w:spacing w:after="0" w:line="121" w:lineRule="exact"/>
        <w:rPr>
          <w:sz w:val="20"/>
          <w:szCs w:val="20"/>
          <w:color w:val="auto"/>
        </w:rPr>
      </w:pPr>
    </w:p>
    <w:p>
      <w:pPr>
        <w:jc w:val="both"/>
        <w:spacing w:after="0" w:line="261" w:lineRule="auto"/>
        <w:rPr>
          <w:sz w:val="20"/>
          <w:szCs w:val="20"/>
          <w:color w:val="auto"/>
        </w:rPr>
      </w:pPr>
      <w:r>
        <w:rPr>
          <w:rFonts w:ascii="Arial" w:cs="Arial" w:eastAsia="Arial" w:hAnsi="Arial"/>
          <w:sz w:val="20"/>
          <w:szCs w:val="20"/>
          <w:color w:val="auto"/>
        </w:rPr>
        <w:t>The Purchase Agreement includes an earnout provision pursuant to which Seller may be granted shares of the Company’s common stock, or equivalent cash value at the Buyer’s discretion, based upon APA’s achievement of certain financial performance targets during the three-year period ending September 30, 2028. The maximum number of shares payable as Earnout Consideration is 4,686,530 shares of common stock, which was determined by dividing $40 million by the volume weighted average price of the Company’s common stock for the 10 trading days immediately following the Closing Date. The number of shares payable will be subject to reduction if the cumulative value of the Earnout Consideration earned (measured on each date such shares are issued) exceeds $90 million. The Purchase Agreement provides that, to the extent the issuance of any Earnout Consideration or Deferred Consideration Shares would require stockholder approval under Nasdaq Listing Rule 5635(a), the Company will pay cash in lieu of issuing such shares, unless such stockholder approval has been obtained. For a discussion of the accounting of the Earnout Consideration, see “Business Combinations” below.</w:t>
      </w:r>
    </w:p>
    <w:p>
      <w:pPr>
        <w:spacing w:after="0" w:line="226"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Deferred Consideration</w:t>
      </w:r>
    </w:p>
    <w:p>
      <w:pPr>
        <w:spacing w:after="0" w:line="121" w:lineRule="exact"/>
        <w:rPr>
          <w:sz w:val="20"/>
          <w:szCs w:val="20"/>
          <w:color w:val="auto"/>
        </w:rPr>
      </w:pPr>
    </w:p>
    <w:p>
      <w:pPr>
        <w:spacing w:after="0"/>
        <w:rPr>
          <w:sz w:val="20"/>
          <w:szCs w:val="20"/>
          <w:color w:val="auto"/>
        </w:rPr>
      </w:pPr>
      <w:r>
        <w:rPr>
          <w:rFonts w:ascii="Arial" w:cs="Arial" w:eastAsia="Arial" w:hAnsi="Arial"/>
          <w:sz w:val="20"/>
          <w:szCs w:val="20"/>
          <w:color w:val="auto"/>
        </w:rPr>
        <w:t>The Deferred Consideration which will be payable to Seller in three installments (each, a “Deferred Consideration Installment”):</w:t>
      </w:r>
    </w:p>
    <w:p>
      <w:pPr>
        <w:spacing w:after="0" w:line="31" w:lineRule="exact"/>
        <w:rPr>
          <w:sz w:val="20"/>
          <w:szCs w:val="20"/>
          <w:color w:val="auto"/>
        </w:rPr>
      </w:pPr>
    </w:p>
    <w:p>
      <w:pPr>
        <w:jc w:val="both"/>
        <w:ind w:firstLine="8"/>
        <w:spacing w:after="0" w:line="260" w:lineRule="auto"/>
        <w:tabs>
          <w:tab w:leader="none" w:pos="291" w:val="left"/>
        </w:tabs>
        <w:numPr>
          <w:ilvl w:val="0"/>
          <w:numId w:val="26"/>
        </w:numPr>
        <w:rPr>
          <w:rFonts w:ascii="Arial" w:cs="Arial" w:eastAsia="Arial" w:hAnsi="Arial"/>
          <w:sz w:val="20"/>
          <w:szCs w:val="20"/>
          <w:color w:val="auto"/>
        </w:rPr>
      </w:pPr>
      <w:r>
        <w:rPr>
          <w:rFonts w:ascii="Arial" w:cs="Arial" w:eastAsia="Arial" w:hAnsi="Arial"/>
          <w:sz w:val="20"/>
          <w:szCs w:val="20"/>
          <w:color w:val="auto"/>
        </w:rPr>
        <w:t>within five business days after the first anniversary of the Closing Date, an amount equal to 50% of the Deferred Consideration, (ii) on December 31, 2026, an amount equal to (A) 50% of the Deferred Consideration multiplied by (B) the proportion of the two-year period from the Closing Date to the second anniversary of the Closing Date that has elapsed as of December 31, 2026 and (iii) within five business days after the second anniversary of the Closing Date, an amount equal to the remaining balance of the Deferred Consideration. As more fully described in the Purchase Agreement, the Deferred Consideration Installments are subject to reduction if certain equity holders of Seller cease to be employees of the Company under certain circumstances. Each Deferred Consideration Installment will, at the Company’s election, be paid (i) in cash, (ii) through the issuance of shares of Company common stock, par value $0.001 per share, valued at the closing price on the trading day immediately preceding the applicable Deferred Consideration Anniversary (if any such shares are issued, the “Deferred Consideration Shares”) or (iii) by any combination of the foregoing. As the Deferred Consideration Installments are tied to future service to the Company, they are considered compensatory and not included in purchase consideration.</w:t>
      </w:r>
    </w:p>
    <w:p>
      <w:pPr>
        <w:spacing w:after="0" w:line="31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Series A Redeemable Perpetual Preferred Stock</w:t>
      </w:r>
    </w:p>
    <w:p>
      <w:pPr>
        <w:spacing w:after="0" w:line="123" w:lineRule="exact"/>
        <w:rPr>
          <w:sz w:val="20"/>
          <w:szCs w:val="20"/>
          <w:color w:val="auto"/>
        </w:rPr>
      </w:pPr>
    </w:p>
    <w:p>
      <w:pPr>
        <w:jc w:val="both"/>
        <w:spacing w:after="0" w:line="276" w:lineRule="auto"/>
        <w:rPr>
          <w:sz w:val="20"/>
          <w:szCs w:val="20"/>
          <w:color w:val="auto"/>
        </w:rPr>
      </w:pPr>
      <w:r>
        <w:rPr>
          <w:rFonts w:ascii="Arial" w:cs="Arial" w:eastAsia="Arial" w:hAnsi="Arial"/>
          <w:sz w:val="20"/>
          <w:szCs w:val="20"/>
          <w:color w:val="auto"/>
        </w:rPr>
        <w:t>On August 10, 2021, we entered into a Securities Purchase Agreement, pursuant to which we issued 400,000 shares of its Series A Redeemable Perpetual Preferred Stock (the “Series A Shares”) and 9,000,000 shares of our common stock for an aggregate purchase price of approximately $395.4 million.</w:t>
      </w:r>
    </w:p>
    <w:p>
      <w:pPr>
        <w:spacing w:after="0" w:line="192" w:lineRule="exact"/>
        <w:rPr>
          <w:sz w:val="20"/>
          <w:szCs w:val="20"/>
          <w:color w:val="auto"/>
        </w:rPr>
      </w:pPr>
    </w:p>
    <w:p>
      <w:pPr>
        <w:jc w:val="both"/>
        <w:ind w:right="20"/>
        <w:spacing w:after="0" w:line="286" w:lineRule="auto"/>
        <w:rPr>
          <w:sz w:val="20"/>
          <w:szCs w:val="20"/>
          <w:color w:val="auto"/>
        </w:rPr>
      </w:pPr>
      <w:r>
        <w:rPr>
          <w:rFonts w:ascii="Arial" w:cs="Arial" w:eastAsia="Arial" w:hAnsi="Arial"/>
          <w:sz w:val="20"/>
          <w:szCs w:val="20"/>
          <w:color w:val="auto"/>
        </w:rPr>
        <w:t xml:space="preserve">For more information related to the Series A Shares, see </w:t>
      </w:r>
      <w:r>
        <w:rPr>
          <w:rFonts w:ascii="Arial" w:cs="Arial" w:eastAsia="Arial" w:hAnsi="Arial"/>
          <w:sz w:val="20"/>
          <w:szCs w:val="20"/>
          <w:u w:val="single" w:color="auto"/>
          <w:color w:val="0000FF"/>
        </w:rPr>
        <w:t>Note 9 – Redeemable Perpetual Preferred Stock</w:t>
      </w:r>
      <w:r>
        <w:rPr>
          <w:rFonts w:ascii="Arial" w:cs="Arial" w:eastAsia="Arial" w:hAnsi="Arial"/>
          <w:sz w:val="20"/>
          <w:szCs w:val="20"/>
          <w:color w:val="auto"/>
        </w:rPr>
        <w:t>, to the accompanying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78105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19" w:right="339" w:bottom="1440" w:gutter="0" w:footer="0" w:header="0"/>
        </w:sectPr>
      </w:pPr>
    </w:p>
    <w:bookmarkStart w:id="62" w:name="page63"/>
    <w:bookmarkEnd w:id="62"/>
    <w:p>
      <w:pPr>
        <w:spacing w:after="0" w:line="12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Debt Obligations</w:t>
      </w:r>
    </w:p>
    <w:p>
      <w:pPr>
        <w:spacing w:after="0" w:line="123" w:lineRule="exact"/>
        <w:rPr>
          <w:sz w:val="20"/>
          <w:szCs w:val="20"/>
          <w:color w:val="auto"/>
        </w:rPr>
      </w:pPr>
    </w:p>
    <w:p>
      <w:pPr>
        <w:jc w:val="both"/>
        <w:spacing w:after="0" w:line="300" w:lineRule="auto"/>
        <w:rPr>
          <w:sz w:val="20"/>
          <w:szCs w:val="20"/>
          <w:color w:val="auto"/>
        </w:rPr>
      </w:pPr>
      <w:r>
        <w:rPr>
          <w:rFonts w:ascii="Arial" w:cs="Arial" w:eastAsia="Arial" w:hAnsi="Arial"/>
          <w:sz w:val="20"/>
          <w:szCs w:val="20"/>
          <w:color w:val="auto"/>
        </w:rPr>
        <w:t xml:space="preserve">For a discussion of our debt obligations see </w:t>
      </w:r>
      <w:r>
        <w:rPr>
          <w:rFonts w:ascii="Arial" w:cs="Arial" w:eastAsia="Arial" w:hAnsi="Arial"/>
          <w:sz w:val="20"/>
          <w:szCs w:val="20"/>
          <w:u w:val="single" w:color="auto"/>
          <w:color w:val="0000FF"/>
        </w:rPr>
        <w:t>Note 8 – Debt</w:t>
      </w:r>
      <w:r>
        <w:rPr>
          <w:rFonts w:ascii="Arial" w:cs="Arial" w:eastAsia="Arial" w:hAnsi="Arial"/>
          <w:sz w:val="20"/>
          <w:szCs w:val="20"/>
          <w:color w:val="auto"/>
        </w:rPr>
        <w:t xml:space="preserve"> to our condensed consolidated financial statements included in this Quarterly Report.</w:t>
      </w:r>
    </w:p>
    <w:p>
      <w:pPr>
        <w:spacing w:after="0" w:line="16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Surety Bonds</w:t>
      </w:r>
    </w:p>
    <w:p>
      <w:pPr>
        <w:spacing w:after="0" w:line="123" w:lineRule="exact"/>
        <w:rPr>
          <w:sz w:val="20"/>
          <w:szCs w:val="20"/>
          <w:color w:val="auto"/>
        </w:rPr>
      </w:pPr>
    </w:p>
    <w:p>
      <w:pPr>
        <w:jc w:val="both"/>
        <w:spacing w:after="0" w:line="269" w:lineRule="auto"/>
        <w:rPr>
          <w:sz w:val="20"/>
          <w:szCs w:val="20"/>
          <w:color w:val="auto"/>
        </w:rPr>
      </w:pPr>
      <w:r>
        <w:rPr>
          <w:rFonts w:ascii="Arial" w:cs="Arial" w:eastAsia="Arial" w:hAnsi="Arial"/>
          <w:sz w:val="20"/>
          <w:szCs w:val="20"/>
          <w:color w:val="auto"/>
        </w:rPr>
        <w:t>We are required to provide surety bonds to various parties as required for certain transactions initiated during the ordinary course of business to guarantee our performance in accordance with contractual or legal obligations. As of September 30, 2025, we posted surety bonds in the total amount of approximately $227.4 million. These off-balance sheet arrangements do not adversely impact our liquidity or capital resources.</w:t>
      </w:r>
    </w:p>
    <w:p>
      <w:pPr>
        <w:spacing w:after="0" w:line="20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Critical Accounting Policies and Significant Management Estimates</w:t>
      </w:r>
    </w:p>
    <w:p>
      <w:pPr>
        <w:spacing w:after="0" w:line="123" w:lineRule="exact"/>
        <w:rPr>
          <w:sz w:val="20"/>
          <w:szCs w:val="20"/>
          <w:color w:val="auto"/>
        </w:rPr>
      </w:pPr>
    </w:p>
    <w:p>
      <w:pPr>
        <w:jc w:val="both"/>
        <w:spacing w:after="0" w:line="261" w:lineRule="auto"/>
        <w:rPr>
          <w:sz w:val="20"/>
          <w:szCs w:val="20"/>
          <w:color w:val="auto"/>
        </w:rPr>
      </w:pPr>
      <w:r>
        <w:rPr>
          <w:rFonts w:ascii="Arial" w:cs="Arial" w:eastAsia="Arial" w:hAnsi="Arial"/>
          <w:sz w:val="20"/>
          <w:szCs w:val="20"/>
          <w:color w:val="auto"/>
        </w:rPr>
        <w:t>In preparing our condensed consolidated financial statements in conformity with U.S. GAAP, we make estimates and assumptions that affect the amounts of reported assets, liabilities, revenues, and expenses, as well as the disclosure of contingent liabilities. Some of our accounting policies require the application of significant judgment in the selection of the appropriate assumptions for making these estimates. By their nature, these judgments are subject to an inherent degree of uncertainty. We base our judgments and estimates on our historical experience, our forecasts, and other available information as appropriate. We believe the judgments and estimates involved in accrued solar module collection and recycling, product warranties, and government grants have the greatest potential impact on our condensed consolidated financial statements. The actual results experienced by us may differ materially and adversely from our estimates. To the extent there are material differences between our estimates and the actual results, our future results of operations will be affected. For a description of the accounting policies that require the most significant judgment and estimates in the preparation of our condensed consolidated financial statements, refer to our Annual Report on Form 10-K for the year ended December 31, 2024.</w:t>
      </w:r>
    </w:p>
    <w:p>
      <w:pPr>
        <w:spacing w:after="0" w:line="21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Business Combinations</w:t>
      </w:r>
    </w:p>
    <w:p>
      <w:pPr>
        <w:spacing w:after="0" w:line="123" w:lineRule="exact"/>
        <w:rPr>
          <w:sz w:val="20"/>
          <w:szCs w:val="20"/>
          <w:color w:val="auto"/>
        </w:rPr>
      </w:pPr>
    </w:p>
    <w:p>
      <w:pPr>
        <w:jc w:val="both"/>
        <w:spacing w:after="0" w:line="261" w:lineRule="auto"/>
        <w:rPr>
          <w:sz w:val="20"/>
          <w:szCs w:val="20"/>
          <w:color w:val="auto"/>
        </w:rPr>
      </w:pPr>
      <w:r>
        <w:rPr>
          <w:rFonts w:ascii="Arial" w:cs="Arial" w:eastAsia="Arial" w:hAnsi="Arial"/>
          <w:sz w:val="20"/>
          <w:szCs w:val="20"/>
          <w:color w:val="auto"/>
        </w:rPr>
        <w:t>We completed one business combination for purchase consideration of $186.1 million during the nine months ended September 30, 2025. In accordance with Topic 805 Business Combinations, total consideration was first allocated to the fair value of assets acquired and liabilities assumed, with the excess being recorded as Goodwill. We use our best estimates and assumptions to assign fair value to the tangible and intangible assets acquired and liabilities assumed at the acquisition date. Intangible assets have been recognized apart from goodwill whenever an acquired intangible asset arises from contractual or other legal rights, or whenever it is capable of being separated or divided from the acquired entity. Determining these fair values required us to make significant estimates and assumptions, particularly with respect to acquired intangible assets. The determination of fair value required considerable judgment and were sensitive to changes in underlying assumptions, estimates and market factors. The preliminary fair value of the identifiable intangible assets has been estimated using the Multi-Period Excess Earnings Method (Customer relationships and Backlog), Relief from Royalty Method (Trade name), and Replacement Cost Method (Developed technology and Computer software and other). The significant fair value inputs used to estimate the fair value of the identifiable intangible assets include a discount rate and revenue and expense projections.</w:t>
      </w:r>
    </w:p>
    <w:p>
      <w:pPr>
        <w:spacing w:after="0" w:line="212" w:lineRule="exact"/>
        <w:rPr>
          <w:sz w:val="20"/>
          <w:szCs w:val="20"/>
          <w:color w:val="auto"/>
        </w:rPr>
      </w:pPr>
    </w:p>
    <w:p>
      <w:pPr>
        <w:jc w:val="both"/>
        <w:spacing w:after="0" w:line="262" w:lineRule="auto"/>
        <w:rPr>
          <w:sz w:val="20"/>
          <w:szCs w:val="20"/>
          <w:color w:val="auto"/>
        </w:rPr>
      </w:pPr>
      <w:r>
        <w:rPr>
          <w:rFonts w:ascii="Arial" w:cs="Arial" w:eastAsia="Arial" w:hAnsi="Arial"/>
          <w:sz w:val="20"/>
          <w:szCs w:val="20"/>
          <w:color w:val="auto"/>
        </w:rPr>
        <w:t>As discussed, the Purchase Agreement includes a provision for the Earnout Consideration. The maximum number of shares payable as Earnout Consideration is 4,686,530 shares of common stock, which was determined by dividing $40 million by the volume weighted average price of the Company’s common stock for the 10 trading days immediately following the Closing Date. The number of shares payable will be subject to reduction if the cumulative value of the Earnout Consideration earned (measured on each date such shares are issued) exceeds $90 million. The Purchase Agreement provides that, to the extent the issuance of any</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63" w:name="page64"/>
    <w:bookmarkEnd w:id="63"/>
    <w:p>
      <w:pPr>
        <w:jc w:val="both"/>
        <w:ind w:right="20"/>
        <w:spacing w:after="0" w:line="286" w:lineRule="auto"/>
        <w:rPr>
          <w:sz w:val="20"/>
          <w:szCs w:val="20"/>
          <w:color w:val="auto"/>
        </w:rPr>
      </w:pPr>
      <w:r>
        <w:rPr>
          <w:rFonts w:ascii="Arial" w:cs="Arial" w:eastAsia="Arial" w:hAnsi="Arial"/>
          <w:sz w:val="20"/>
          <w:szCs w:val="20"/>
          <w:color w:val="auto"/>
        </w:rPr>
        <w:t>Earnout Consideration or Deferred Consideration Shares would require stockholder approval under Nasdaq Listing Rule 5635(a), the Company will pay cash in lieu of issuing such shares, unless such stockholder approval has been obtained.</w:t>
      </w:r>
    </w:p>
    <w:p>
      <w:pPr>
        <w:spacing w:after="0" w:line="194" w:lineRule="exact"/>
        <w:rPr>
          <w:sz w:val="20"/>
          <w:szCs w:val="20"/>
          <w:color w:val="auto"/>
        </w:rPr>
      </w:pPr>
    </w:p>
    <w:p>
      <w:pPr>
        <w:jc w:val="both"/>
        <w:spacing w:after="0" w:line="279" w:lineRule="auto"/>
        <w:rPr>
          <w:sz w:val="20"/>
          <w:szCs w:val="20"/>
          <w:color w:val="auto"/>
        </w:rPr>
      </w:pPr>
      <w:r>
        <w:rPr>
          <w:rFonts w:ascii="Arial" w:cs="Arial" w:eastAsia="Arial" w:hAnsi="Arial"/>
          <w:sz w:val="19"/>
          <w:szCs w:val="19"/>
          <w:color w:val="auto"/>
        </w:rPr>
        <w:t>The Earnout Consideration is accounted for as contingent consideration, and the fair value is estimated each reporting period. As of September 30, 2025, the Earnout Consideration was estimated to have a fair value of $20.4 million using a Monte-Carlo simulation method. Changes in fair value of the contingent liability are recognized in contingent consideration on the condensed consolidated statements of operations. Estimating the amount of payments that may be made under the Earnout Consideration is by nature imprecise. The significant fair value inputs used to estimate the future expected Earnout Consideration payments to Seller include a discount rate, earnings forecasts, and actual and estimated future volatility in the Company’s stock price.</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Adoption of New and Recently Issued Accounting Pronouncements</w:t>
      </w:r>
    </w:p>
    <w:p>
      <w:pPr>
        <w:spacing w:after="0" w:line="123" w:lineRule="exact"/>
        <w:rPr>
          <w:sz w:val="20"/>
          <w:szCs w:val="20"/>
          <w:color w:val="auto"/>
        </w:rPr>
      </w:pPr>
    </w:p>
    <w:p>
      <w:pPr>
        <w:jc w:val="both"/>
        <w:ind w:right="20"/>
        <w:spacing w:after="0" w:line="286" w:lineRule="auto"/>
        <w:rPr>
          <w:sz w:val="20"/>
          <w:szCs w:val="20"/>
          <w:color w:val="auto"/>
        </w:rPr>
      </w:pPr>
      <w:r>
        <w:rPr>
          <w:rFonts w:ascii="Arial" w:cs="Arial" w:eastAsia="Arial" w:hAnsi="Arial"/>
          <w:sz w:val="20"/>
          <w:szCs w:val="20"/>
          <w:color w:val="auto"/>
        </w:rPr>
        <w:t xml:space="preserve">Refer to </w:t>
      </w:r>
      <w:r>
        <w:rPr>
          <w:rFonts w:ascii="Arial" w:cs="Arial" w:eastAsia="Arial" w:hAnsi="Arial"/>
          <w:sz w:val="20"/>
          <w:szCs w:val="20"/>
          <w:u w:val="single" w:color="auto"/>
          <w:color w:val="0000FF"/>
        </w:rPr>
        <w:t>Note 2 – Summary of Significant Accounting Policies</w:t>
      </w:r>
      <w:r>
        <w:rPr>
          <w:rFonts w:ascii="Arial" w:cs="Arial" w:eastAsia="Arial" w:hAnsi="Arial"/>
          <w:sz w:val="20"/>
          <w:szCs w:val="20"/>
          <w:color w:val="auto"/>
        </w:rPr>
        <w:t xml:space="preserve"> to our condensed consolidated financial statements for a discussion of adoption of new and recently issued accounting pronouncements.</w:t>
      </w:r>
    </w:p>
    <w:p>
      <w:pPr>
        <w:spacing w:after="0" w:line="19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3. Quantitative and Qualitative Disclosures About Market Risk</w:t>
      </w:r>
    </w:p>
    <w:p>
      <w:pPr>
        <w:spacing w:after="0" w:line="258" w:lineRule="exact"/>
        <w:rPr>
          <w:sz w:val="20"/>
          <w:szCs w:val="20"/>
          <w:color w:val="auto"/>
        </w:rPr>
      </w:pPr>
    </w:p>
    <w:p>
      <w:pPr>
        <w:jc w:val="both"/>
        <w:spacing w:after="0" w:line="269" w:lineRule="auto"/>
        <w:rPr>
          <w:sz w:val="20"/>
          <w:szCs w:val="20"/>
          <w:color w:val="auto"/>
        </w:rPr>
      </w:pPr>
      <w:r>
        <w:rPr>
          <w:rFonts w:ascii="Arial" w:cs="Arial" w:eastAsia="Arial" w:hAnsi="Arial"/>
          <w:sz w:val="20"/>
          <w:szCs w:val="20"/>
          <w:color w:val="auto"/>
        </w:rPr>
        <w:t>We are exposed to market risk in the ordinary course of our business. Market risk represents the risk of loss that may impact our financial position due to adverse changes in financial market prices and rates. Our market risk exposure is primarily a result of fluctuations in steel and aluminum prices and customer concentrations. We do not hold or issue financial instruments for trading purposes.</w:t>
      </w:r>
    </w:p>
    <w:p>
      <w:pPr>
        <w:spacing w:after="0" w:line="197" w:lineRule="exact"/>
        <w:rPr>
          <w:sz w:val="20"/>
          <w:szCs w:val="20"/>
          <w:color w:val="auto"/>
        </w:rPr>
      </w:pPr>
    </w:p>
    <w:p>
      <w:pPr>
        <w:spacing w:after="0"/>
        <w:rPr>
          <w:sz w:val="20"/>
          <w:szCs w:val="20"/>
          <w:color w:val="auto"/>
        </w:rPr>
      </w:pPr>
      <w:r>
        <w:rPr>
          <w:rFonts w:ascii="Arial" w:cs="Arial" w:eastAsia="Arial" w:hAnsi="Arial"/>
          <w:sz w:val="20"/>
          <w:szCs w:val="20"/>
          <w:color w:val="auto"/>
        </w:rPr>
        <w:t>There have been no material changes to the information previously provided under Item 7A of our 2024 Annual Report.</w:t>
      </w:r>
    </w:p>
    <w:p>
      <w:pPr>
        <w:spacing w:after="0" w:line="26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4. Controls and Procedures</w:t>
      </w:r>
    </w:p>
    <w:p>
      <w:pPr>
        <w:spacing w:after="0" w:line="25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Evaluation of Disclosure Controls and Procedures</w:t>
      </w:r>
    </w:p>
    <w:p>
      <w:pPr>
        <w:spacing w:after="0" w:line="123" w:lineRule="exact"/>
        <w:rPr>
          <w:sz w:val="20"/>
          <w:szCs w:val="20"/>
          <w:color w:val="auto"/>
        </w:rPr>
      </w:pPr>
    </w:p>
    <w:p>
      <w:pPr>
        <w:jc w:val="both"/>
        <w:spacing w:after="0" w:line="264" w:lineRule="auto"/>
        <w:rPr>
          <w:sz w:val="20"/>
          <w:szCs w:val="20"/>
          <w:color w:val="auto"/>
        </w:rPr>
      </w:pPr>
      <w:r>
        <w:rPr>
          <w:rFonts w:ascii="Arial" w:cs="Arial" w:eastAsia="Arial" w:hAnsi="Arial"/>
          <w:sz w:val="20"/>
          <w:szCs w:val="20"/>
          <w:color w:val="auto"/>
        </w:rPr>
        <w:t>We maintain “disclosure controls and procedures,” as defined in Rules 13a-15(e) and 15d-15(e) under the Securities Exchange Act of 1934, as amended (the “Exchange Act”), that are designed to ensure that information required to be disclosed in the reports that we file or submit under the Exchange Act is (1) recorded, processed, summarized and reported, within the time periods specified in the SEC’s rules and forms and (2) accumulated and communicated to our management, including our principal executive officer and principal financial officer,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w:t>
      </w:r>
    </w:p>
    <w:p>
      <w:pPr>
        <w:spacing w:after="0" w:line="204" w:lineRule="exact"/>
        <w:rPr>
          <w:sz w:val="20"/>
          <w:szCs w:val="20"/>
          <w:color w:val="auto"/>
        </w:rPr>
      </w:pPr>
    </w:p>
    <w:p>
      <w:pPr>
        <w:jc w:val="both"/>
        <w:spacing w:after="0" w:line="265" w:lineRule="auto"/>
        <w:rPr>
          <w:sz w:val="20"/>
          <w:szCs w:val="20"/>
          <w:color w:val="auto"/>
        </w:rPr>
      </w:pPr>
      <w:r>
        <w:rPr>
          <w:rFonts w:ascii="Arial" w:cs="Arial" w:eastAsia="Arial" w:hAnsi="Arial"/>
          <w:sz w:val="20"/>
          <w:szCs w:val="20"/>
          <w:color w:val="auto"/>
        </w:rPr>
        <w:t>Our management, with the participation of our Chief Executive Officer and Chief Financial Officer, evaluated the effectiveness of our disclosure controls and procedures as of September 30, 2025. Based upon that evaluation, our Chief Executive Officer and Chief Financial Officer concluded that, as of such date, our disclosure controls and procedures were effective at a reasonable assurance level to ensure that information required to be disclosed by us in reports that we file or submit under the Exchange Act is recorded, processed, summarized and reported within the time periods specified in SEC rules and forms, and that such information</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78105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19" w:right="339" w:bottom="1440" w:gutter="0" w:footer="0" w:header="0"/>
        </w:sectPr>
      </w:pPr>
    </w:p>
    <w:bookmarkStart w:id="64" w:name="page65"/>
    <w:bookmarkEnd w:id="64"/>
    <w:p>
      <w:pPr>
        <w:jc w:val="both"/>
        <w:spacing w:after="0" w:line="286" w:lineRule="auto"/>
        <w:rPr>
          <w:sz w:val="20"/>
          <w:szCs w:val="20"/>
          <w:color w:val="auto"/>
        </w:rPr>
      </w:pPr>
      <w:r>
        <w:rPr>
          <w:rFonts w:ascii="Arial" w:cs="Arial" w:eastAsia="Arial" w:hAnsi="Arial"/>
          <w:sz w:val="20"/>
          <w:szCs w:val="20"/>
          <w:color w:val="auto"/>
        </w:rPr>
        <w:t>is accumulated and communicated to our management, including our principal executive officer and principal financial officer, as appropriate, to allow timely decisions regarding required disclosure.</w:t>
      </w:r>
    </w:p>
    <w:p>
      <w:pPr>
        <w:spacing w:after="0" w:line="194" w:lineRule="exact"/>
        <w:rPr>
          <w:sz w:val="20"/>
          <w:szCs w:val="20"/>
          <w:color w:val="auto"/>
        </w:rPr>
      </w:pPr>
    </w:p>
    <w:p>
      <w:pPr>
        <w:jc w:val="both"/>
        <w:spacing w:after="0" w:line="269" w:lineRule="auto"/>
        <w:rPr>
          <w:sz w:val="20"/>
          <w:szCs w:val="20"/>
          <w:color w:val="auto"/>
        </w:rPr>
      </w:pPr>
      <w:r>
        <w:rPr>
          <w:rFonts w:ascii="Arial" w:cs="Arial" w:eastAsia="Arial" w:hAnsi="Arial"/>
          <w:sz w:val="20"/>
          <w:szCs w:val="20"/>
          <w:color w:val="auto"/>
        </w:rPr>
        <w:t>We completed the acquisition of APA during the quarter ended September 30, 2025, and are in the process of integrating their operations and internal controls, which we expect to finish within one year of acquisition. In accordance with SEC guidance, our December 31, 2025 assessment of internal controls will exclude APA’s controls because our integration will not be complete by that date.</w:t>
      </w:r>
    </w:p>
    <w:p>
      <w:pPr>
        <w:spacing w:after="0" w:line="19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Changes in Internal Control over Financial Reporting</w:t>
      </w:r>
    </w:p>
    <w:p>
      <w:pPr>
        <w:spacing w:after="0" w:line="123" w:lineRule="exact"/>
        <w:rPr>
          <w:sz w:val="20"/>
          <w:szCs w:val="20"/>
          <w:color w:val="auto"/>
        </w:rPr>
      </w:pPr>
    </w:p>
    <w:p>
      <w:pPr>
        <w:jc w:val="both"/>
        <w:spacing w:after="0" w:line="286" w:lineRule="auto"/>
        <w:rPr>
          <w:sz w:val="20"/>
          <w:szCs w:val="20"/>
          <w:color w:val="auto"/>
        </w:rPr>
      </w:pPr>
      <w:r>
        <w:rPr>
          <w:rFonts w:ascii="Arial" w:cs="Arial" w:eastAsia="Arial" w:hAnsi="Arial"/>
          <w:sz w:val="19"/>
          <w:szCs w:val="19"/>
          <w:color w:val="auto"/>
        </w:rPr>
        <w:t>We also carried out an evaluation, under the supervision and with participation of management, including our principal executive officer and principal financial officer, of our “internal control over financial reporting” to determine whether any changes in our internal control over financial reporting occurred during the three months ended September 30, 2025 that materially affected or were reasonably likely to materially affect our internal control over financial reporting. Based on that evaluation, there were no such changes in our internal control over financial reporting that occurred during the three months ended September 30, 2025.</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PART II—OTHER INFORMATION</w:t>
      </w:r>
    </w:p>
    <w:p>
      <w:pPr>
        <w:spacing w:after="0" w:line="27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1. Legal Proceedings</w:t>
      </w:r>
    </w:p>
    <w:p>
      <w:pPr>
        <w:spacing w:after="0" w:line="258" w:lineRule="exact"/>
        <w:rPr>
          <w:sz w:val="20"/>
          <w:szCs w:val="20"/>
          <w:color w:val="auto"/>
        </w:rPr>
      </w:pPr>
    </w:p>
    <w:p>
      <w:pPr>
        <w:jc w:val="both"/>
        <w:spacing w:after="0" w:line="276" w:lineRule="auto"/>
        <w:rPr>
          <w:sz w:val="20"/>
          <w:szCs w:val="20"/>
          <w:color w:val="auto"/>
        </w:rPr>
      </w:pPr>
      <w:r>
        <w:rPr>
          <w:rFonts w:ascii="Arial" w:cs="Arial" w:eastAsia="Arial" w:hAnsi="Arial"/>
          <w:sz w:val="20"/>
          <w:szCs w:val="20"/>
          <w:color w:val="auto"/>
        </w:rPr>
        <w:t xml:space="preserve">The information required by this item is incorporated by reference to the information set forth in </w:t>
      </w:r>
      <w:r>
        <w:rPr>
          <w:rFonts w:ascii="Arial" w:cs="Arial" w:eastAsia="Arial" w:hAnsi="Arial"/>
          <w:sz w:val="20"/>
          <w:szCs w:val="20"/>
          <w:u w:val="single" w:color="auto"/>
          <w:color w:val="0000FF"/>
        </w:rPr>
        <w:t>Note 12 – Commitments and</w:t>
      </w:r>
      <w:r>
        <w:rPr>
          <w:rFonts w:ascii="Arial" w:cs="Arial" w:eastAsia="Arial" w:hAnsi="Arial"/>
          <w:sz w:val="20"/>
          <w:szCs w:val="20"/>
          <w:color w:val="auto"/>
        </w:rPr>
        <w:t xml:space="preserve"> </w:t>
      </w:r>
      <w:r>
        <w:rPr>
          <w:rFonts w:ascii="Arial" w:cs="Arial" w:eastAsia="Arial" w:hAnsi="Arial"/>
          <w:sz w:val="20"/>
          <w:szCs w:val="20"/>
          <w:u w:val="single" w:color="auto"/>
          <w:color w:val="0000FF"/>
        </w:rPr>
        <w:t>Contingencies</w:t>
      </w:r>
      <w:r>
        <w:rPr>
          <w:rFonts w:ascii="Arial" w:cs="Arial" w:eastAsia="Arial" w:hAnsi="Arial"/>
          <w:sz w:val="20"/>
          <w:szCs w:val="20"/>
          <w:color w:val="0000FF"/>
        </w:rPr>
        <w:t xml:space="preserve"> </w:t>
      </w:r>
      <w:r>
        <w:rPr>
          <w:rFonts w:ascii="Arial" w:cs="Arial" w:eastAsia="Arial" w:hAnsi="Arial"/>
          <w:sz w:val="20"/>
          <w:szCs w:val="20"/>
          <w:color w:val="000000"/>
        </w:rPr>
        <w:t>under the heading “Legal Proceedings” of our condensed consolidated financial statements for legal proceedings</w:t>
      </w:r>
      <w:r>
        <w:rPr>
          <w:rFonts w:ascii="Arial" w:cs="Arial" w:eastAsia="Arial" w:hAnsi="Arial"/>
          <w:sz w:val="20"/>
          <w:szCs w:val="20"/>
          <w:color w:val="0000FF"/>
        </w:rPr>
        <w:t xml:space="preserve"> </w:t>
      </w:r>
      <w:r>
        <w:rPr>
          <w:rFonts w:ascii="Arial" w:cs="Arial" w:eastAsia="Arial" w:hAnsi="Arial"/>
          <w:sz w:val="20"/>
          <w:szCs w:val="20"/>
          <w:color w:val="000000"/>
        </w:rPr>
        <w:t>and related matters, included in this Quarterly Report.</w:t>
      </w:r>
    </w:p>
    <w:p>
      <w:pPr>
        <w:spacing w:after="0" w:line="19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1A. Risk Factors</w:t>
      </w:r>
    </w:p>
    <w:p>
      <w:pPr>
        <w:spacing w:after="0" w:line="258" w:lineRule="exact"/>
        <w:rPr>
          <w:sz w:val="20"/>
          <w:szCs w:val="20"/>
          <w:color w:val="auto"/>
        </w:rPr>
      </w:pPr>
    </w:p>
    <w:p>
      <w:pPr>
        <w:jc w:val="both"/>
        <w:spacing w:after="0" w:line="269" w:lineRule="auto"/>
        <w:rPr>
          <w:rFonts w:ascii="Arial" w:cs="Arial" w:eastAsia="Arial" w:hAnsi="Arial"/>
          <w:sz w:val="20"/>
          <w:szCs w:val="20"/>
          <w:color w:val="000000"/>
        </w:rPr>
      </w:pPr>
      <w:r>
        <w:rPr>
          <w:rFonts w:ascii="Arial" w:cs="Arial" w:eastAsia="Arial" w:hAnsi="Arial"/>
          <w:sz w:val="20"/>
          <w:szCs w:val="20"/>
          <w:color w:val="auto"/>
        </w:rPr>
        <w:t xml:space="preserve">Except as set forth below and to the extent additional factual information disclosed elsewhere in this Quarterly Report relates to such risk factors (including, without limitation, the matters discussed in </w:t>
      </w:r>
      <w:r>
        <w:rPr>
          <w:rFonts w:ascii="Arial" w:cs="Arial" w:eastAsia="Arial" w:hAnsi="Arial"/>
          <w:sz w:val="20"/>
          <w:szCs w:val="20"/>
          <w:u w:val="single" w:color="auto"/>
          <w:color w:val="0000FF"/>
        </w:rPr>
        <w:t>Part I, Item 2, “Management’s Discussion and Analysis of</w:t>
      </w:r>
      <w:r>
        <w:rPr>
          <w:rFonts w:ascii="Arial" w:cs="Arial" w:eastAsia="Arial" w:hAnsi="Arial"/>
          <w:sz w:val="20"/>
          <w:szCs w:val="20"/>
          <w:color w:val="auto"/>
        </w:rPr>
        <w:t xml:space="preserve"> </w:t>
      </w:r>
      <w:r>
        <w:rPr>
          <w:rFonts w:ascii="Arial" w:cs="Arial" w:eastAsia="Arial" w:hAnsi="Arial"/>
          <w:sz w:val="20"/>
          <w:szCs w:val="20"/>
          <w:u w:val="single" w:color="auto"/>
          <w:color w:val="0000FF"/>
        </w:rPr>
        <w:t>Financial Condition and Results of Operations”</w:t>
      </w:r>
      <w:r>
        <w:rPr>
          <w:rFonts w:ascii="Arial" w:cs="Arial" w:eastAsia="Arial" w:hAnsi="Arial"/>
          <w:sz w:val="20"/>
          <w:szCs w:val="20"/>
          <w:color w:val="000000"/>
        </w:rPr>
        <w:t>), there were no material changes to the risk factors disclosed in Part I, Item 1A,</w:t>
      </w:r>
      <w:r>
        <w:rPr>
          <w:rFonts w:ascii="Arial" w:cs="Arial" w:eastAsia="Arial" w:hAnsi="Arial"/>
          <w:sz w:val="20"/>
          <w:szCs w:val="20"/>
          <w:color w:val="0000FF"/>
        </w:rPr>
        <w:t xml:space="preserve"> </w:t>
      </w:r>
      <w:r>
        <w:rPr>
          <w:rFonts w:ascii="Arial" w:cs="Arial" w:eastAsia="Arial" w:hAnsi="Arial"/>
          <w:sz w:val="20"/>
          <w:szCs w:val="20"/>
          <w:color w:val="000000"/>
        </w:rPr>
        <w:t xml:space="preserve">in our </w:t>
      </w:r>
      <w:hyperlink r:id="rId73">
        <w:r>
          <w:rPr>
            <w:rFonts w:ascii="Arial" w:cs="Arial" w:eastAsia="Arial" w:hAnsi="Arial"/>
            <w:sz w:val="20"/>
            <w:szCs w:val="20"/>
            <w:u w:val="single" w:color="auto"/>
            <w:color w:val="0000FF"/>
          </w:rPr>
          <w:t>2024 Annual Report</w:t>
        </w:r>
      </w:hyperlink>
      <w:r>
        <w:rPr>
          <w:rFonts w:ascii="Arial" w:cs="Arial" w:eastAsia="Arial" w:hAnsi="Arial"/>
          <w:sz w:val="20"/>
          <w:szCs w:val="20"/>
          <w:color w:val="000000"/>
        </w:rPr>
        <w:t>.</w:t>
      </w:r>
    </w:p>
    <w:p>
      <w:pPr>
        <w:spacing w:after="0" w:line="197"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We will incur significant transaction costs in connection with the APA integration.</w:t>
      </w:r>
    </w:p>
    <w:p>
      <w:pPr>
        <w:spacing w:after="0" w:line="135" w:lineRule="exact"/>
        <w:rPr>
          <w:sz w:val="20"/>
          <w:szCs w:val="20"/>
          <w:color w:val="auto"/>
        </w:rPr>
      </w:pPr>
    </w:p>
    <w:p>
      <w:pPr>
        <w:jc w:val="both"/>
        <w:spacing w:after="0" w:line="263" w:lineRule="auto"/>
        <w:rPr>
          <w:sz w:val="20"/>
          <w:szCs w:val="20"/>
          <w:color w:val="auto"/>
        </w:rPr>
      </w:pPr>
      <w:r>
        <w:rPr>
          <w:rFonts w:ascii="Arial" w:cs="Arial" w:eastAsia="Arial" w:hAnsi="Arial"/>
          <w:sz w:val="20"/>
          <w:szCs w:val="20"/>
          <w:color w:val="auto"/>
        </w:rPr>
        <w:t>We have incurred and are expected to continue to incur a number of non-recurring costs associated with the APA integration, combining the operations of APA with ours and achieving desired synergies. These costs have been, and will continue to be, substantial. A substantial majority of non-recurring expenses will consist of transaction costs and may include, among others, fees paid to financial, legal, accounting and other advisors and employee retention, severance, and benefit costs. We will also incur costs related to formulating and implementing integration plans. Although we expect that the elimination of duplicative costs, as well as the realization of synergies and efficiencies related to the integration of APA’s business, should allow us to offset these transaction costs over time, this net benefit may not be achieved in the near term or at all.</w:t>
      </w:r>
    </w:p>
    <w:p>
      <w:pPr>
        <w:spacing w:after="0" w:line="193" w:lineRule="exact"/>
        <w:rPr>
          <w:sz w:val="20"/>
          <w:szCs w:val="20"/>
          <w:color w:val="auto"/>
        </w:rPr>
      </w:pPr>
    </w:p>
    <w:p>
      <w:pPr>
        <w:jc w:val="both"/>
        <w:spacing w:after="0" w:line="296" w:lineRule="auto"/>
        <w:rPr>
          <w:sz w:val="20"/>
          <w:szCs w:val="20"/>
          <w:color w:val="auto"/>
        </w:rPr>
      </w:pPr>
      <w:r>
        <w:rPr>
          <w:rFonts w:ascii="Arial" w:cs="Arial" w:eastAsia="Arial" w:hAnsi="Arial"/>
          <w:sz w:val="20"/>
          <w:szCs w:val="20"/>
          <w:b w:val="1"/>
          <w:bCs w:val="1"/>
          <w:i w:val="1"/>
          <w:iCs w:val="1"/>
          <w:color w:val="auto"/>
        </w:rPr>
        <w:t>We may be unable to successfully integrate APA’s business into our business or achieve the anticipated benefits or synergies of the APA Acquisition.</w:t>
      </w:r>
    </w:p>
    <w:p>
      <w:pPr>
        <w:spacing w:after="0" w:line="27" w:lineRule="exact"/>
        <w:rPr>
          <w:sz w:val="20"/>
          <w:szCs w:val="20"/>
          <w:color w:val="auto"/>
        </w:rPr>
      </w:pPr>
    </w:p>
    <w:p>
      <w:pPr>
        <w:jc w:val="both"/>
        <w:spacing w:after="0" w:line="269" w:lineRule="auto"/>
        <w:rPr>
          <w:sz w:val="20"/>
          <w:szCs w:val="20"/>
          <w:color w:val="auto"/>
        </w:rPr>
      </w:pPr>
      <w:r>
        <w:rPr>
          <w:rFonts w:ascii="Arial" w:cs="Arial" w:eastAsia="Arial" w:hAnsi="Arial"/>
          <w:sz w:val="20"/>
          <w:szCs w:val="20"/>
          <w:color w:val="auto"/>
        </w:rPr>
        <w:t>Our ability to achieve the anticipated benefits or synergies of the APA Acquisition will depend in part upon whether we can integrate APA’s business into our existing business in an efficient and effective manner. We may not be able to accomplish this integration process successfully. The successful integration of APA’s business requires an assessment and implementation of several factors, including:</w:t>
      </w:r>
    </w:p>
    <w:p>
      <w:pPr>
        <w:sectPr>
          <w:pgSz w:w="11900" w:h="16838" w:orient="portrait"/>
          <w:cols w:equalWidth="0" w:num="1">
            <w:col w:w="11240"/>
          </w:cols>
          <w:pgMar w:left="320" w:top="131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19" w:right="339" w:bottom="1440" w:gutter="0" w:footer="0" w:header="0"/>
          <w:type w:val="continuous"/>
        </w:sectPr>
      </w:pPr>
    </w:p>
    <w:bookmarkStart w:id="65" w:name="page66"/>
    <w:bookmarkEnd w:id="65"/>
    <w:p>
      <w:pPr>
        <w:ind w:left="660" w:right="20" w:hanging="328"/>
        <w:spacing w:after="0" w:line="286" w:lineRule="auto"/>
        <w:tabs>
          <w:tab w:leader="none" w:pos="648" w:val="left"/>
        </w:tabs>
        <w:numPr>
          <w:ilvl w:val="0"/>
          <w:numId w:val="27"/>
        </w:numPr>
        <w:rPr>
          <w:rFonts w:ascii="Arial" w:cs="Arial" w:eastAsia="Arial" w:hAnsi="Arial"/>
          <w:sz w:val="20"/>
          <w:szCs w:val="20"/>
          <w:color w:val="auto"/>
        </w:rPr>
      </w:pPr>
      <w:r>
        <w:rPr>
          <w:rFonts w:ascii="Arial" w:cs="Arial" w:eastAsia="Arial" w:hAnsi="Arial"/>
          <w:sz w:val="20"/>
          <w:szCs w:val="20"/>
          <w:color w:val="auto"/>
        </w:rPr>
        <w:t>the ability to successfully combine our respective businesses in a manner that permits us to achieve the cost savings, synergies and other anticipated benefits from the APA Acquisition;</w:t>
      </w:r>
    </w:p>
    <w:p>
      <w:pPr>
        <w:spacing w:after="0" w:line="194" w:lineRule="exact"/>
        <w:rPr>
          <w:rFonts w:ascii="Arial" w:cs="Arial" w:eastAsia="Arial" w:hAnsi="Arial"/>
          <w:sz w:val="20"/>
          <w:szCs w:val="20"/>
          <w:color w:val="auto"/>
        </w:rPr>
      </w:pPr>
    </w:p>
    <w:p>
      <w:pPr>
        <w:jc w:val="both"/>
        <w:ind w:left="660" w:hanging="328"/>
        <w:spacing w:after="0" w:line="269" w:lineRule="auto"/>
        <w:tabs>
          <w:tab w:leader="none" w:pos="648" w:val="left"/>
        </w:tabs>
        <w:numPr>
          <w:ilvl w:val="0"/>
          <w:numId w:val="27"/>
        </w:numPr>
        <w:rPr>
          <w:rFonts w:ascii="Arial" w:cs="Arial" w:eastAsia="Arial" w:hAnsi="Arial"/>
          <w:sz w:val="20"/>
          <w:szCs w:val="20"/>
          <w:color w:val="auto"/>
        </w:rPr>
      </w:pPr>
      <w:r>
        <w:rPr>
          <w:rFonts w:ascii="Arial" w:cs="Arial" w:eastAsia="Arial" w:hAnsi="Arial"/>
          <w:sz w:val="20"/>
          <w:szCs w:val="20"/>
          <w:color w:val="auto"/>
        </w:rPr>
        <w:t>integrating complex systems, operating procedures, compliance programs, technology, networks and other assets while carrying on our ongoing business in a manner that minimizes any adverse impact on customers, suppliers, employees and other constituencies; and</w:t>
      </w:r>
    </w:p>
    <w:p>
      <w:pPr>
        <w:spacing w:after="0" w:line="212" w:lineRule="exact"/>
        <w:rPr>
          <w:rFonts w:ascii="Arial" w:cs="Arial" w:eastAsia="Arial" w:hAnsi="Arial"/>
          <w:sz w:val="20"/>
          <w:szCs w:val="20"/>
          <w:color w:val="auto"/>
        </w:rPr>
      </w:pPr>
    </w:p>
    <w:p>
      <w:pPr>
        <w:ind w:left="640" w:hanging="308"/>
        <w:spacing w:after="0"/>
        <w:tabs>
          <w:tab w:leader="none" w:pos="640" w:val="left"/>
        </w:tabs>
        <w:numPr>
          <w:ilvl w:val="0"/>
          <w:numId w:val="27"/>
        </w:numPr>
        <w:rPr>
          <w:rFonts w:ascii="Arial" w:cs="Arial" w:eastAsia="Arial" w:hAnsi="Arial"/>
          <w:sz w:val="20"/>
          <w:szCs w:val="20"/>
          <w:color w:val="auto"/>
        </w:rPr>
      </w:pPr>
      <w:r>
        <w:rPr>
          <w:rFonts w:ascii="Arial" w:cs="Arial" w:eastAsia="Arial" w:hAnsi="Arial"/>
          <w:sz w:val="20"/>
          <w:szCs w:val="20"/>
          <w:color w:val="auto"/>
        </w:rPr>
        <w:t>managing the expanded operations of a larger and more complex company.</w:t>
      </w:r>
    </w:p>
    <w:p>
      <w:pPr>
        <w:spacing w:after="0" w:line="256" w:lineRule="exact"/>
        <w:rPr>
          <w:sz w:val="20"/>
          <w:szCs w:val="20"/>
          <w:color w:val="auto"/>
        </w:rPr>
      </w:pPr>
    </w:p>
    <w:p>
      <w:pPr>
        <w:jc w:val="both"/>
        <w:spacing w:after="0" w:line="265" w:lineRule="auto"/>
        <w:rPr>
          <w:sz w:val="20"/>
          <w:szCs w:val="20"/>
          <w:color w:val="auto"/>
        </w:rPr>
      </w:pPr>
      <w:r>
        <w:rPr>
          <w:rFonts w:ascii="Arial" w:cs="Arial" w:eastAsia="Arial" w:hAnsi="Arial"/>
          <w:sz w:val="20"/>
          <w:szCs w:val="20"/>
          <w:color w:val="auto"/>
        </w:rPr>
        <w:t>In addition, any potential unknown liabilities, liabilities that are significantly larger than we currently anticipate, and unforeseen increased expenses or delays associated with APA, including cash costs of integration, may exceed what we currently anticipate. Any one of these factors could result in increased costs, decreases in the amount of anticipated benefits and diversion of management’s attention, which could materially impact our business, financial condition and results of operations. In addition, even following successful integration, the anticipated benefits or synergies of APA may not be realized fully, or at all, or may take longer to realize than expected.</w:t>
      </w:r>
    </w:p>
    <w:p>
      <w:pPr>
        <w:spacing w:after="0" w:line="191" w:lineRule="exact"/>
        <w:rPr>
          <w:sz w:val="20"/>
          <w:szCs w:val="20"/>
          <w:color w:val="auto"/>
        </w:rPr>
      </w:pPr>
    </w:p>
    <w:p>
      <w:pPr>
        <w:jc w:val="both"/>
        <w:spacing w:after="0" w:line="296" w:lineRule="auto"/>
        <w:rPr>
          <w:sz w:val="20"/>
          <w:szCs w:val="20"/>
          <w:color w:val="auto"/>
        </w:rPr>
      </w:pPr>
      <w:r>
        <w:rPr>
          <w:rFonts w:ascii="Arial" w:cs="Arial" w:eastAsia="Arial" w:hAnsi="Arial"/>
          <w:sz w:val="20"/>
          <w:szCs w:val="20"/>
          <w:b w:val="1"/>
          <w:bCs w:val="1"/>
          <w:i w:val="1"/>
          <w:iCs w:val="1"/>
          <w:color w:val="auto"/>
        </w:rPr>
        <w:t>We and APA will be subject to business uncertainties following the acquisition, which could adversely affect our business.</w:t>
      </w:r>
    </w:p>
    <w:p>
      <w:pPr>
        <w:spacing w:after="0" w:line="13" w:lineRule="exact"/>
        <w:rPr>
          <w:sz w:val="20"/>
          <w:szCs w:val="20"/>
          <w:color w:val="auto"/>
        </w:rPr>
      </w:pPr>
    </w:p>
    <w:p>
      <w:pPr>
        <w:jc w:val="both"/>
        <w:spacing w:after="0" w:line="254" w:lineRule="auto"/>
        <w:rPr>
          <w:sz w:val="20"/>
          <w:szCs w:val="20"/>
          <w:color w:val="auto"/>
        </w:rPr>
      </w:pPr>
      <w:r>
        <w:rPr>
          <w:rFonts w:ascii="Arial" w:cs="Arial" w:eastAsia="Arial" w:hAnsi="Arial"/>
          <w:sz w:val="20"/>
          <w:szCs w:val="20"/>
          <w:color w:val="auto"/>
        </w:rPr>
        <w:t>In connection with the acquisition of APA, it is possible that certain persons with whom we or APA have a business relationship may delay or defer certain business decisions or might decide to seek to terminate, change or renegotiate their relationships with us or APA, as the case may be, as a result of the APA acquisition, which could negatively affect our revenues, earnings and cash flows as well as the market price of our common stock. Also, our and APA’s ability to attract, retain and motivate employees may be impaired for a period of time following the APA acquisition, as current and prospective employees may experience uncertainty about their roles within the Company following the APA acquisition.</w:t>
      </w:r>
    </w:p>
    <w:p>
      <w:pPr>
        <w:spacing w:after="0" w:line="227" w:lineRule="exact"/>
        <w:rPr>
          <w:sz w:val="20"/>
          <w:szCs w:val="20"/>
          <w:color w:val="auto"/>
        </w:rPr>
      </w:pPr>
    </w:p>
    <w:p>
      <w:pPr>
        <w:jc w:val="both"/>
        <w:spacing w:after="0" w:line="296" w:lineRule="auto"/>
        <w:rPr>
          <w:sz w:val="20"/>
          <w:szCs w:val="20"/>
          <w:color w:val="auto"/>
        </w:rPr>
      </w:pPr>
      <w:r>
        <w:rPr>
          <w:rFonts w:ascii="Arial" w:cs="Arial" w:eastAsia="Arial" w:hAnsi="Arial"/>
          <w:sz w:val="20"/>
          <w:szCs w:val="20"/>
          <w:b w:val="1"/>
          <w:bCs w:val="1"/>
          <w:i w:val="1"/>
          <w:iCs w:val="1"/>
          <w:color w:val="auto"/>
        </w:rPr>
        <w:t>We may not be able to implement effective internal controls over financial reporting for the APA business in a timely manner or once implemented, such controls may not operate effectively.</w:t>
      </w:r>
    </w:p>
    <w:p>
      <w:pPr>
        <w:spacing w:after="0" w:line="27" w:lineRule="exact"/>
        <w:rPr>
          <w:sz w:val="20"/>
          <w:szCs w:val="20"/>
          <w:color w:val="auto"/>
        </w:rPr>
      </w:pPr>
    </w:p>
    <w:p>
      <w:pPr>
        <w:jc w:val="both"/>
        <w:spacing w:after="0" w:line="261" w:lineRule="auto"/>
        <w:rPr>
          <w:sz w:val="20"/>
          <w:szCs w:val="20"/>
          <w:color w:val="auto"/>
        </w:rPr>
      </w:pPr>
      <w:r>
        <w:rPr>
          <w:rFonts w:ascii="Arial" w:cs="Arial" w:eastAsia="Arial" w:hAnsi="Arial"/>
          <w:sz w:val="20"/>
          <w:szCs w:val="20"/>
          <w:color w:val="auto"/>
        </w:rPr>
        <w:t>Our management is responsible for establishing and maintaining adequate internal controls over financial reporting, as defined in Rule 13a-15(f) under the Exchange Act. As a privately held company and prior to our acquisition thereof, APA had not been required to implement or maintain disclosure controls and procedures or internal controls over financial reporting that a public company is required to have, implement and maintain. As a result, APA did not have such effective internal controls over financial reporting in place. Under the SEC rules, we have one year from the date of the acquisition of APA to implement such disclosure controls and procedures and internal controls over financial reporting at APA. Although we are developing a plan designed to implement effective disclosure controls and procedures and internal controls over financial reporting at APA, we cannot assure you that such plans will be fully implemented in a timely manner or that we will be able to successfully implement and maintain the effectiveness of such plans by the time management assesses the effectiveness of our internal controls, including APA, for fiscal year 2026. In addition, during the continuation of our integration efforts, we may identify deficiencies in APA’s controls. Any failure to timely implement effective internal controls could result in, among other things, a decline in the market price of our stock, restatement of our consolidated financial statements, or other reputational harm.</w:t>
      </w:r>
    </w:p>
    <w:p>
      <w:pPr>
        <w:spacing w:after="0" w:line="212" w:lineRule="exact"/>
        <w:rPr>
          <w:sz w:val="20"/>
          <w:szCs w:val="20"/>
          <w:color w:val="auto"/>
        </w:rPr>
      </w:pPr>
    </w:p>
    <w:p>
      <w:pPr>
        <w:jc w:val="both"/>
        <w:spacing w:after="0" w:line="282" w:lineRule="auto"/>
        <w:rPr>
          <w:sz w:val="20"/>
          <w:szCs w:val="20"/>
          <w:color w:val="auto"/>
        </w:rPr>
      </w:pPr>
      <w:r>
        <w:rPr>
          <w:rFonts w:ascii="Arial" w:cs="Arial" w:eastAsia="Arial" w:hAnsi="Arial"/>
          <w:sz w:val="20"/>
          <w:szCs w:val="20"/>
          <w:b w:val="1"/>
          <w:bCs w:val="1"/>
          <w:i w:val="1"/>
          <w:iCs w:val="1"/>
          <w:color w:val="auto"/>
        </w:rPr>
        <w:t>Geopolitical, macroeconomic and other market conditions could adversely affect our business, results of operations and financial condition, including our revenue growth and profitability, which in turn could adversely affect our stock price.</w:t>
      </w:r>
    </w:p>
    <w:p>
      <w:pPr>
        <w:spacing w:after="0" w:line="40" w:lineRule="exact"/>
        <w:rPr>
          <w:sz w:val="20"/>
          <w:szCs w:val="20"/>
          <w:color w:val="auto"/>
        </w:rPr>
      </w:pPr>
    </w:p>
    <w:p>
      <w:pPr>
        <w:jc w:val="both"/>
        <w:spacing w:after="0" w:line="300" w:lineRule="auto"/>
        <w:rPr>
          <w:sz w:val="20"/>
          <w:szCs w:val="20"/>
          <w:color w:val="auto"/>
        </w:rPr>
      </w:pPr>
      <w:r>
        <w:rPr>
          <w:rFonts w:ascii="Arial" w:cs="Arial" w:eastAsia="Arial" w:hAnsi="Arial"/>
          <w:sz w:val="20"/>
          <w:szCs w:val="20"/>
          <w:color w:val="auto"/>
        </w:rPr>
        <w:t>Geopolitical and macroeconomic developments such as the global or regional economic effects resulting from the current Russia-Ukraine war and ongoing instability in the Middle East (including, but not limited to, the</w:t>
      </w:r>
    </w:p>
    <w:p>
      <w:pPr>
        <w:sectPr>
          <w:pgSz w:w="11900" w:h="16838" w:orient="portrait"/>
          <w:cols w:equalWidth="0" w:num="1">
            <w:col w:w="11240"/>
          </w:cols>
          <w:pgMar w:left="320" w:top="131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19" w:right="339" w:bottom="1440" w:gutter="0" w:footer="0" w:header="0"/>
          <w:type w:val="continuous"/>
        </w:sectPr>
      </w:pPr>
    </w:p>
    <w:bookmarkStart w:id="66" w:name="page67"/>
    <w:bookmarkEnd w:id="66"/>
    <w:p>
      <w:pPr>
        <w:jc w:val="both"/>
        <w:spacing w:after="0" w:line="260" w:lineRule="auto"/>
        <w:rPr>
          <w:sz w:val="20"/>
          <w:szCs w:val="20"/>
          <w:color w:val="auto"/>
        </w:rPr>
      </w:pPr>
      <w:r>
        <w:rPr>
          <w:rFonts w:ascii="Arial" w:cs="Arial" w:eastAsia="Arial" w:hAnsi="Arial"/>
          <w:sz w:val="20"/>
          <w:szCs w:val="20"/>
          <w:color w:val="auto"/>
        </w:rPr>
        <w:t>Israel-Iran conflict and disruptions in the transportation of goods through the Suez canal and to shipping in the Red Sea), inflation and related economic curtailment initiatives, evolving trade policies between the U.S. and international trade partners, or the occurrence of similar events in other countries that lead to uncertainty or instability in economic, political or market conditions could negatively affect our business, operating results, financial condition and outlook, which, in turn, could adversely affect our stock price. Political issues and conflicts could have a material adverse effect on our results of operations and financial condition if they escalate into geographies in which we do business or obtain our components. A local conflict, such as the Ukraine-Russian war or the Middle East instability, could also have a significant adverse impact on regional or global macroeconomic conditions, give rise to regional instability or result in heightened economic tariffs, sanctions and import export restrictions in a manner that adversely affects us, including to the extent that any such actions cause material business interruptions or restrict our ability to conduct business with certain suppliers. Additionally, such conflict or sanctions may significantly devalue various global currencies and have a negative impact on economies in geographies in which we do business. Any general weakening of, and related declining corporate confidence in, the global economy could cause current or potential customers to reduce or eliminate their budgets and spending, which could cause customers to delay, decrease or cancel projects with us which could have a negative effect on our business, operating results and financial condition.</w:t>
      </w:r>
    </w:p>
    <w:p>
      <w:pPr>
        <w:spacing w:after="0" w:line="224" w:lineRule="exact"/>
        <w:rPr>
          <w:sz w:val="20"/>
          <w:szCs w:val="20"/>
          <w:color w:val="auto"/>
        </w:rPr>
      </w:pPr>
    </w:p>
    <w:p>
      <w:pPr>
        <w:jc w:val="both"/>
        <w:spacing w:after="0" w:line="296" w:lineRule="auto"/>
        <w:rPr>
          <w:sz w:val="20"/>
          <w:szCs w:val="20"/>
          <w:color w:val="auto"/>
        </w:rPr>
      </w:pPr>
      <w:r>
        <w:rPr>
          <w:rFonts w:ascii="Arial" w:cs="Arial" w:eastAsia="Arial" w:hAnsi="Arial"/>
          <w:sz w:val="20"/>
          <w:szCs w:val="20"/>
          <w:b w:val="1"/>
          <w:bCs w:val="1"/>
          <w:i w:val="1"/>
          <w:iCs w:val="1"/>
          <w:color w:val="auto"/>
        </w:rPr>
        <w:t>Changes in the global trade environment, including the imposition of import tariffs, could adversely affect the amount or timing of our revenues, results of operations or cash flows.</w:t>
      </w:r>
    </w:p>
    <w:p>
      <w:pPr>
        <w:spacing w:after="0" w:line="27" w:lineRule="exact"/>
        <w:rPr>
          <w:sz w:val="20"/>
          <w:szCs w:val="20"/>
          <w:color w:val="auto"/>
        </w:rPr>
      </w:pPr>
    </w:p>
    <w:p>
      <w:pPr>
        <w:jc w:val="both"/>
        <w:spacing w:after="0" w:line="268" w:lineRule="auto"/>
        <w:rPr>
          <w:sz w:val="20"/>
          <w:szCs w:val="20"/>
          <w:color w:val="auto"/>
        </w:rPr>
      </w:pPr>
      <w:r>
        <w:rPr>
          <w:rFonts w:ascii="Arial" w:cs="Arial" w:eastAsia="Arial" w:hAnsi="Arial"/>
          <w:sz w:val="20"/>
          <w:szCs w:val="20"/>
          <w:color w:val="auto"/>
        </w:rPr>
        <w:t>Escalating trade tensions, particularly between the U.S. and China, have led to increased tariffs and trade restrictions, including tariffs applicable to certain materials and components for our products or for products used in solar energy projects more broadly, such as module supply and availability. The U.S. has recently imposed significant new tariffs on nearly all products and components imported into the U.S. and could propose additional tariffs or increases to those already in place. To the extent we continue to use overseas suppliers of steel and aluminum, these tariffs could result in interruptions in the supply chain and impact costs and our gross margins. In addition, the threat of potential tariffs can create uncertainty among our customers and slow down the rate of existing projects and projects in our orderbook.</w:t>
      </w:r>
    </w:p>
    <w:p>
      <w:pPr>
        <w:spacing w:after="0" w:line="200" w:lineRule="exact"/>
        <w:rPr>
          <w:sz w:val="20"/>
          <w:szCs w:val="20"/>
          <w:color w:val="auto"/>
        </w:rPr>
      </w:pPr>
    </w:p>
    <w:p>
      <w:pPr>
        <w:jc w:val="both"/>
        <w:spacing w:after="0" w:line="266" w:lineRule="auto"/>
        <w:rPr>
          <w:sz w:val="20"/>
          <w:szCs w:val="20"/>
          <w:color w:val="auto"/>
        </w:rPr>
      </w:pPr>
      <w:r>
        <w:rPr>
          <w:rFonts w:ascii="Arial" w:cs="Arial" w:eastAsia="Arial" w:hAnsi="Arial"/>
          <w:sz w:val="20"/>
          <w:szCs w:val="20"/>
          <w:color w:val="auto"/>
        </w:rPr>
        <w:t>More specifically, in March 2018, the U.S. imposed a 25% tariff on steel imports and a 10% tariff on aluminum imports pursuant to Section 232 of the Trade Expansion Act of 1962 and extended these tariffs to cover imports of derivative steel and aluminum articles on February 2020 under the same legal authority. These tariffs were increased on February 10, 2025, pursuant to two executive orders from President Trump (the “February 2025 Executive Orders”), resulting in across-the-board 25% duties on steel and aluminum imports. Additionally, all previous alternative arrangements, such as complete exemptions, hard quotas, or tariff rate quotas, with trading partners on imports of steel and aluminum products, have been eliminated. The February 2025 Executive Orders also eliminated the system for exclusions, under which thousands of products were allowed to enter the U.S. free of these additional duties and create a process by which additional “derivative” products could be added to the scope of the tariffs by request of the domestic producer.</w:t>
      </w:r>
    </w:p>
    <w:p>
      <w:pPr>
        <w:spacing w:after="0" w:line="203" w:lineRule="exact"/>
        <w:rPr>
          <w:sz w:val="20"/>
          <w:szCs w:val="20"/>
          <w:color w:val="auto"/>
        </w:rPr>
      </w:pPr>
    </w:p>
    <w:p>
      <w:pPr>
        <w:jc w:val="both"/>
        <w:spacing w:after="0" w:line="261" w:lineRule="auto"/>
        <w:rPr>
          <w:sz w:val="20"/>
          <w:szCs w:val="20"/>
          <w:color w:val="auto"/>
        </w:rPr>
      </w:pPr>
      <w:r>
        <w:rPr>
          <w:rFonts w:ascii="Arial" w:cs="Arial" w:eastAsia="Arial" w:hAnsi="Arial"/>
          <w:sz w:val="20"/>
          <w:szCs w:val="20"/>
          <w:color w:val="auto"/>
        </w:rPr>
        <w:t>On February 1, 2025, President Trump issued executive orders directing the U.S. to impose new tariffs on imports from Canada, Mexico, and China, to take effect on February 4, 2025. On February 3, 2025, President Trump announced his intention to pause these tariffs on Canada and Mexico for a one-month period. The tariffs impose an additional 25% ad valorem rate of duty on all imports from Canada and Mexico (other than imports of Canadian energy resources exports, which are subject to a 10% ad valorem rate of duty) and an additional 10% ad valorem rate of duty on all imports from China. On March 3, 2025, the announced 25% tariff on Canadian and Mexican goods took effect and the tariff on Chinese goods was doubled to 20%. On March 12, 2025 tariffs on steel and aluminum increased from 25% to 50% on all steel and aluminum coming from Canada. On April 2, 2025, President Trump introduced tariffs on most countries of a baseline rate of 10%, and individualized rates on some countries of up to 50%. On April 9, 2025, President Trump increased tariffs for</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78105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19" w:right="339" w:bottom="1440" w:gutter="0" w:footer="0" w:header="0"/>
        </w:sectPr>
      </w:pPr>
    </w:p>
    <w:bookmarkStart w:id="67" w:name="page68"/>
    <w:bookmarkEnd w:id="67"/>
    <w:p>
      <w:pPr>
        <w:jc w:val="both"/>
        <w:spacing w:after="0" w:line="269" w:lineRule="auto"/>
        <w:rPr>
          <w:sz w:val="20"/>
          <w:szCs w:val="20"/>
          <w:color w:val="auto"/>
        </w:rPr>
      </w:pPr>
      <w:r>
        <w:rPr>
          <w:rFonts w:ascii="Arial" w:cs="Arial" w:eastAsia="Arial" w:hAnsi="Arial"/>
          <w:sz w:val="20"/>
          <w:szCs w:val="20"/>
          <w:color w:val="auto"/>
        </w:rPr>
        <w:t>Chinese goods to 125% and subsequently to 145%, while the tariffs announced on April 2, 2025 for all other countries was reduced to a baseline rate of 10% for a period of 90 days. On July 7, 2025, President Trump extended the initial 90-day period for the 10% baseline rate until August 1, 2025 while also announcing increased tariffs for certain countries. These modifications were announced via an executive order on July 31, 2025 and became effective as of August 7, 2025.</w:t>
      </w:r>
    </w:p>
    <w:p>
      <w:pPr>
        <w:spacing w:after="0" w:line="197" w:lineRule="exact"/>
        <w:rPr>
          <w:sz w:val="20"/>
          <w:szCs w:val="20"/>
          <w:color w:val="auto"/>
        </w:rPr>
      </w:pPr>
    </w:p>
    <w:p>
      <w:pPr>
        <w:jc w:val="both"/>
        <w:spacing w:after="0" w:line="265" w:lineRule="auto"/>
        <w:rPr>
          <w:sz w:val="20"/>
          <w:szCs w:val="20"/>
          <w:color w:val="auto"/>
        </w:rPr>
      </w:pPr>
      <w:r>
        <w:rPr>
          <w:rFonts w:ascii="Arial" w:cs="Arial" w:eastAsia="Arial" w:hAnsi="Arial"/>
          <w:sz w:val="20"/>
          <w:szCs w:val="20"/>
          <w:color w:val="auto"/>
        </w:rPr>
        <w:t>President Trump also launched a new Section 301 investigation into Brazil’s alleged unreasonable or discriminatory trade practices; initiated a new Section 232 investigation into imports of polysilicon and its derivatives; initiated a new Section 232 investigation into imports of unmanned aircraft systems and their parts and components; and announced a 50% tariff on imports of copper following the conclusion of a Section 232 investigation, effective August 1, 2025. Finally, President Trump has most recently threatened to increase tariffs on imports from Canada to 35% and on imports from Mexico to 30%. Initially, Canada and Mexico were not subject to reciprocal tariffs as they were subject to earlier tariff actions.</w:t>
      </w:r>
    </w:p>
    <w:p>
      <w:pPr>
        <w:spacing w:after="0" w:line="204" w:lineRule="exact"/>
        <w:rPr>
          <w:sz w:val="20"/>
          <w:szCs w:val="20"/>
          <w:color w:val="auto"/>
        </w:rPr>
      </w:pPr>
    </w:p>
    <w:p>
      <w:pPr>
        <w:jc w:val="both"/>
        <w:spacing w:after="0" w:line="265" w:lineRule="auto"/>
        <w:rPr>
          <w:sz w:val="20"/>
          <w:szCs w:val="20"/>
          <w:color w:val="auto"/>
        </w:rPr>
      </w:pPr>
      <w:r>
        <w:rPr>
          <w:rFonts w:ascii="Arial" w:cs="Arial" w:eastAsia="Arial" w:hAnsi="Arial"/>
          <w:sz w:val="20"/>
          <w:szCs w:val="20"/>
          <w:color w:val="auto"/>
        </w:rPr>
        <w:t>We are currently evaluating the potential impact of the imposition of the announced tariffs, and any additional or retaliatory tariffs, to our business and financial condition. While we do not believe that the tariffs announced by the U.S. in 2025 will have a material adverse effect upon our results of operations, financial condition, or liquidity, the actual impact of the new tariffs is subject to a number of factors including the effective date and duration of such tariffs, changes in the amount, scope and nature of the tariffs in the future, any countermeasures that the target countries may take and any mitigating actions that may become available.</w:t>
      </w:r>
    </w:p>
    <w:p>
      <w:pPr>
        <w:spacing w:after="0" w:line="204" w:lineRule="exact"/>
        <w:rPr>
          <w:sz w:val="20"/>
          <w:szCs w:val="20"/>
          <w:color w:val="auto"/>
        </w:rPr>
      </w:pPr>
    </w:p>
    <w:p>
      <w:pPr>
        <w:jc w:val="both"/>
        <w:spacing w:after="0" w:line="268" w:lineRule="auto"/>
        <w:rPr>
          <w:sz w:val="20"/>
          <w:szCs w:val="20"/>
          <w:color w:val="auto"/>
        </w:rPr>
      </w:pPr>
      <w:r>
        <w:rPr>
          <w:rFonts w:ascii="Arial" w:cs="Arial" w:eastAsia="Arial" w:hAnsi="Arial"/>
          <w:sz w:val="20"/>
          <w:szCs w:val="20"/>
          <w:color w:val="auto"/>
        </w:rPr>
        <w:t>More broadly, President Trump has directed the USDOC, the U.S. Trade Representative (the “USTR”), and other agencies, to review and identify unfair trade practices by other countries and recommend appropriate actions, as well as recommend modifications of AD/CVD laws to further induce compliance by foreign respondents and governments involved in those proceedings. These directives have been issued under the America First Trade Policy and Reciprocal Trade and Tariffs Presidential Memoranda, and the effects on the global trading system can be far-reaching.</w:t>
      </w:r>
    </w:p>
    <w:p>
      <w:pPr>
        <w:spacing w:after="0" w:line="201" w:lineRule="exact"/>
        <w:rPr>
          <w:sz w:val="20"/>
          <w:szCs w:val="20"/>
          <w:color w:val="auto"/>
        </w:rPr>
      </w:pPr>
    </w:p>
    <w:p>
      <w:pPr>
        <w:jc w:val="both"/>
        <w:spacing w:after="0" w:line="261" w:lineRule="auto"/>
        <w:rPr>
          <w:sz w:val="20"/>
          <w:szCs w:val="20"/>
          <w:color w:val="auto"/>
        </w:rPr>
      </w:pPr>
      <w:r>
        <w:rPr>
          <w:rFonts w:ascii="Arial" w:cs="Arial" w:eastAsia="Arial" w:hAnsi="Arial"/>
          <w:sz w:val="20"/>
          <w:szCs w:val="20"/>
          <w:color w:val="auto"/>
        </w:rPr>
        <w:t>In January 2018, the U.S. adopted a tariff on imported solar modules and cells pursuant to Section 201 of the Trade Act of 1974. The tariff was initially set at 30%, with a gradual reduction over four years to 15%. While this tariff does not apply directly to the components we import, it may indirectly affect us by impacting the financial viability of solar energy projects, which could in turn reduce demand for our products. On February 4, 2022, former President Biden extended the safeguard tariff for an additional four years, starting at a rate of 14.75% and reducing that rate each year to 14% in 2026, and directed the USTR to conclude agreements with Canada and Mexico on trade in solar products. On July 7, 2022, the U.S. and Canada entered into a non-binding memorandum of understanding in which the U.S. agreed to suspend application of the safeguard tariff to Canadian crystalline silicon photovoltaic cells imported as of February 1, 2022. While this tariff does not apply directly to the components we import, it may indirectly affect us by impacting the financial viability of solar energy projects, which could in turn reduce demand for our products.</w:t>
      </w:r>
    </w:p>
    <w:p>
      <w:pPr>
        <w:spacing w:after="0" w:line="212" w:lineRule="exact"/>
        <w:rPr>
          <w:sz w:val="20"/>
          <w:szCs w:val="20"/>
          <w:color w:val="auto"/>
        </w:rPr>
      </w:pPr>
    </w:p>
    <w:p>
      <w:pPr>
        <w:jc w:val="both"/>
        <w:spacing w:after="0" w:line="265" w:lineRule="auto"/>
        <w:rPr>
          <w:sz w:val="20"/>
          <w:szCs w:val="20"/>
          <w:color w:val="auto"/>
        </w:rPr>
      </w:pPr>
      <w:r>
        <w:rPr>
          <w:rFonts w:ascii="Arial" w:cs="Arial" w:eastAsia="Arial" w:hAnsi="Arial"/>
          <w:sz w:val="20"/>
          <w:szCs w:val="20"/>
          <w:color w:val="auto"/>
        </w:rPr>
        <w:t>Furthermore, starting in July 2018, the U.S. adopted four lists of tariffs (Lists 1,2,3, and 4A) on $550 billion worth of Chinese imports, including, inverters and power optimizers. Products on Lists 1, 2, and 3 are subject to 25% tariffs, while products on List 4A are subject to 7.5% tariffs. On December 16, 2024, the USTR announced that it would increase Section 301 tariffs on polysilicon and wafers to 50% in 2025. At the same time, the USTR implemented 14 tariff exclusions for listed solar cell and wafer manufacturing equipment. While these tariffs are not directly applicable to our products, they could impact the solar energy projects in which our products are used, which could lead to decreased demand for our products.</w:t>
      </w:r>
    </w:p>
    <w:p>
      <w:pPr>
        <w:spacing w:after="0" w:line="204" w:lineRule="exact"/>
        <w:rPr>
          <w:sz w:val="20"/>
          <w:szCs w:val="20"/>
          <w:color w:val="auto"/>
        </w:rPr>
      </w:pPr>
    </w:p>
    <w:p>
      <w:pPr>
        <w:jc w:val="both"/>
        <w:ind w:right="20"/>
        <w:spacing w:after="0" w:line="286" w:lineRule="auto"/>
        <w:rPr>
          <w:sz w:val="20"/>
          <w:szCs w:val="20"/>
          <w:color w:val="auto"/>
        </w:rPr>
      </w:pPr>
      <w:r>
        <w:rPr>
          <w:rFonts w:ascii="Arial" w:cs="Arial" w:eastAsia="Arial" w:hAnsi="Arial"/>
          <w:sz w:val="20"/>
          <w:szCs w:val="20"/>
          <w:color w:val="auto"/>
        </w:rPr>
        <w:t>On August 18, 2023, the USDOC issued final affirmative determinations of circumvention with respect to certain CSPV cells and modules produced in Cambodia, Malaysia, Thailand and Vietnam using parts and</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78105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19" w:right="339" w:bottom="1440" w:gutter="0" w:footer="0" w:header="0"/>
        </w:sectPr>
      </w:pPr>
    </w:p>
    <w:bookmarkStart w:id="68" w:name="page69"/>
    <w:bookmarkEnd w:id="68"/>
    <w:p>
      <w:pPr>
        <w:jc w:val="both"/>
        <w:spacing w:after="0" w:line="262" w:lineRule="auto"/>
        <w:rPr>
          <w:sz w:val="20"/>
          <w:szCs w:val="20"/>
          <w:color w:val="auto"/>
        </w:rPr>
      </w:pPr>
      <w:r>
        <w:rPr>
          <w:rFonts w:ascii="Arial" w:cs="Arial" w:eastAsia="Arial" w:hAnsi="Arial"/>
          <w:sz w:val="20"/>
          <w:szCs w:val="20"/>
          <w:color w:val="auto"/>
        </w:rPr>
        <w:t>components from China. As a result, certain CSPV cells and modules from Cambodia, Malaysia, Thailand and Vietnam are now subject to AD/CVD orders on CSPV cells and modules from China that have been in place since 2012. Subject to certain certification and utilization conditions, imports of CSPV cells and modules covered by the circumvention determinations that entered the U.S. during the two-year period prior to June 6, 2024 – which had been authorized by the former President Biden on June 2022 – were not subject to AD/CVD cash deposit or duty requirements. Imports of CSPV cells and modules from the four Southeast Asian countries covered by the circumvention determination that entered the U.S. on or after June 6, 2024 are subject to AD/CVD cash deposit requirements of the China AD/CVD orders and, possibly, final AD/CVD duty liability. Cash deposit rates for CSPV modules covered by the China AD/CVD orders vary significantly depending on the producer and exporter of the modules and may amount to over 250% of the entered value of the imported merchandise.</w:t>
      </w:r>
    </w:p>
    <w:p>
      <w:pPr>
        <w:spacing w:after="0" w:line="211" w:lineRule="exact"/>
        <w:rPr>
          <w:sz w:val="20"/>
          <w:szCs w:val="20"/>
          <w:color w:val="auto"/>
        </w:rPr>
      </w:pPr>
    </w:p>
    <w:p>
      <w:pPr>
        <w:jc w:val="both"/>
        <w:spacing w:after="0" w:line="262" w:lineRule="auto"/>
        <w:rPr>
          <w:sz w:val="20"/>
          <w:szCs w:val="20"/>
          <w:color w:val="auto"/>
        </w:rPr>
      </w:pPr>
      <w:r>
        <w:rPr>
          <w:rFonts w:ascii="Arial" w:cs="Arial" w:eastAsia="Arial" w:hAnsi="Arial"/>
          <w:sz w:val="20"/>
          <w:szCs w:val="20"/>
          <w:color w:val="auto"/>
        </w:rPr>
        <w:t>Additionally, in October 2023, a coalition of U.S. aluminum extruders and a labor union filed AD/CVD cases on aluminum extrusions from fifteen countries. The USDOC has initiated investigations based on the petitions. Certain components in our trackers, including certain clamps, U-joints, and bearing housings are made using extruded aluminum. In September 2024, the USDOC released its final determination from their investigations against aluminum extrusions from multiple countries. On October 30, 2024, the USITC voted to find no injury in its pending AD/CVD investigation, meaning that the USDOC’s AD/CVD orders will not go into effect. The coalition of petitioners may still appeal the USITC’s decision, and we will continue to monitor developments in the appeal process. If the USITC’s decision is overturned on appeal, the imposition of AD/CVD orders could negatively impact our business, financial condition, and results of operations.</w:t>
      </w:r>
    </w:p>
    <w:p>
      <w:pPr>
        <w:spacing w:after="0" w:line="219" w:lineRule="exact"/>
        <w:rPr>
          <w:sz w:val="20"/>
          <w:szCs w:val="20"/>
          <w:color w:val="auto"/>
        </w:rPr>
      </w:pPr>
    </w:p>
    <w:p>
      <w:pPr>
        <w:jc w:val="both"/>
        <w:spacing w:after="0" w:line="262" w:lineRule="auto"/>
        <w:rPr>
          <w:sz w:val="20"/>
          <w:szCs w:val="20"/>
          <w:color w:val="auto"/>
        </w:rPr>
      </w:pPr>
      <w:r>
        <w:rPr>
          <w:rFonts w:ascii="Arial" w:cs="Arial" w:eastAsia="Arial" w:hAnsi="Arial"/>
          <w:sz w:val="20"/>
          <w:szCs w:val="20"/>
          <w:color w:val="auto"/>
        </w:rPr>
        <w:t>On April 24, 2024, the American Alliance for Solar Manufacturing Trade Committee, an ad hoc coalition of domestic producers of CSPV cells and modules, filed a petition with the USDOC and the USITC seeking the imposition of AD/CVD tariffs on imports of CSPV cells and modules from Cambodia, Malaysia, Thailand and Vietnam. On May 20, 2025 the USITC made a final determination that U.S. industry had been materially injured by imports from Malaysia and Vietnam and threatened by imports from Cambodia and Thailand. On June 9, 2025, the USDOC issued AD/CVD orders that took effect on June 16, 2025. The tariff rates under the final determination vary from below 1% to more than 3,400%, depending on the relevant company.</w:t>
      </w:r>
    </w:p>
    <w:p>
      <w:pPr>
        <w:spacing w:after="0" w:line="222" w:lineRule="exact"/>
        <w:rPr>
          <w:sz w:val="20"/>
          <w:szCs w:val="20"/>
          <w:color w:val="auto"/>
        </w:rPr>
      </w:pPr>
    </w:p>
    <w:p>
      <w:pPr>
        <w:jc w:val="both"/>
        <w:spacing w:after="0" w:line="265" w:lineRule="auto"/>
        <w:rPr>
          <w:sz w:val="20"/>
          <w:szCs w:val="20"/>
          <w:color w:val="auto"/>
        </w:rPr>
      </w:pPr>
      <w:r>
        <w:rPr>
          <w:rFonts w:ascii="Arial" w:cs="Arial" w:eastAsia="Arial" w:hAnsi="Arial"/>
          <w:sz w:val="20"/>
          <w:szCs w:val="20"/>
          <w:color w:val="auto"/>
        </w:rPr>
        <w:t>On July 17, 2025, the Alliance for American Solar Manufacturing and Trade, which consists of First Solar, Mission Solar Energy, and Qcells, filed another petition with the USDOC and USITC seeking the imposition of AD/CVD tariffs on imports of CSPV cells and modules from India, Indonesia, and Laos. The petition alleges margins of 213.96 percent for India, 89.65 percent for Indonesia, and 245.79 to 249.09 percent for Laos. The final determination by the DOC is expected to be made sometime in fall 2026.</w:t>
      </w:r>
    </w:p>
    <w:p>
      <w:pPr>
        <w:spacing w:after="0" w:line="202" w:lineRule="exact"/>
        <w:rPr>
          <w:sz w:val="20"/>
          <w:szCs w:val="20"/>
          <w:color w:val="auto"/>
        </w:rPr>
      </w:pPr>
    </w:p>
    <w:p>
      <w:pPr>
        <w:jc w:val="both"/>
        <w:spacing w:after="0" w:line="269" w:lineRule="auto"/>
        <w:rPr>
          <w:sz w:val="20"/>
          <w:szCs w:val="20"/>
          <w:color w:val="auto"/>
        </w:rPr>
      </w:pPr>
      <w:r>
        <w:rPr>
          <w:rFonts w:ascii="Arial" w:cs="Arial" w:eastAsia="Arial" w:hAnsi="Arial"/>
          <w:sz w:val="20"/>
          <w:szCs w:val="20"/>
          <w:color w:val="auto"/>
        </w:rPr>
        <w:t>While we do not sell solar modules, the degree of our exposure is dependent on, among other things, the impact of the investigation on the projects that are also intended to use our products, with such impact being largely out of our control. We have seen a number of projects in our order book delayed as a result of the USDOC investigations, and effective enforcement of the AD/CVD orders could negatively impact our results of operations.</w:t>
      </w:r>
    </w:p>
    <w:p>
      <w:pPr>
        <w:spacing w:after="0" w:line="211" w:lineRule="exact"/>
        <w:rPr>
          <w:sz w:val="20"/>
          <w:szCs w:val="20"/>
          <w:color w:val="auto"/>
        </w:rPr>
      </w:pPr>
    </w:p>
    <w:p>
      <w:pPr>
        <w:jc w:val="both"/>
        <w:spacing w:after="0" w:line="262" w:lineRule="auto"/>
        <w:rPr>
          <w:sz w:val="20"/>
          <w:szCs w:val="20"/>
          <w:color w:val="auto"/>
        </w:rPr>
      </w:pPr>
      <w:r>
        <w:rPr>
          <w:rFonts w:ascii="Arial" w:cs="Arial" w:eastAsia="Arial" w:hAnsi="Arial"/>
          <w:sz w:val="20"/>
          <w:szCs w:val="20"/>
          <w:color w:val="auto"/>
        </w:rPr>
        <w:t>Tariffs and the possibility of additional tariffs in the future like those described above have created uncertainty in the industry. If the price of solar systems in the U.S. increases, the use of solar systems could become less economically feasible and could reduce our gross margins or reduce the demand of solar systems manufactured and sold, which in turn may decrease demand for our products. Additionally, existing or future tariffs may negatively affect key customers, suppliers, and manufacturing partners. Such outcomes could adversely affect the amount or timing of our revenues, results of operations or cash flows, and continuing uncertainty could cause sales volatility, price fluctuations or supply shortages or cause our customers to</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19" w:right="339" w:bottom="1440" w:gutter="0" w:footer="0" w:header="0"/>
        </w:sectPr>
      </w:pPr>
    </w:p>
    <w:bookmarkStart w:id="69" w:name="page70"/>
    <w:bookmarkEnd w:id="69"/>
    <w:p>
      <w:pPr>
        <w:jc w:val="both"/>
        <w:spacing w:after="0" w:line="276" w:lineRule="auto"/>
        <w:rPr>
          <w:sz w:val="20"/>
          <w:szCs w:val="20"/>
          <w:color w:val="auto"/>
        </w:rPr>
      </w:pPr>
      <w:r>
        <w:rPr>
          <w:rFonts w:ascii="Arial" w:cs="Arial" w:eastAsia="Arial" w:hAnsi="Arial"/>
          <w:sz w:val="20"/>
          <w:szCs w:val="20"/>
          <w:color w:val="auto"/>
        </w:rPr>
        <w:t>advance or delay their purchase of our products. It is difficult to predict what further trade-related actions governments may take, which may include additional or increased tariffs and trade restrictions, and we may be unable to quickly and effectively react to such actions.</w:t>
      </w:r>
    </w:p>
    <w:p>
      <w:pPr>
        <w:spacing w:after="0" w:line="192" w:lineRule="exact"/>
        <w:rPr>
          <w:sz w:val="20"/>
          <w:szCs w:val="20"/>
          <w:color w:val="auto"/>
        </w:rPr>
      </w:pPr>
    </w:p>
    <w:p>
      <w:pPr>
        <w:jc w:val="both"/>
        <w:spacing w:after="0" w:line="282" w:lineRule="auto"/>
        <w:rPr>
          <w:sz w:val="20"/>
          <w:szCs w:val="20"/>
          <w:color w:val="auto"/>
        </w:rPr>
      </w:pPr>
      <w:r>
        <w:rPr>
          <w:rFonts w:ascii="Arial" w:cs="Arial" w:eastAsia="Arial" w:hAnsi="Arial"/>
          <w:sz w:val="20"/>
          <w:szCs w:val="20"/>
          <w:b w:val="1"/>
          <w:bCs w:val="1"/>
          <w:i w:val="1"/>
          <w:iCs w:val="1"/>
          <w:color w:val="auto"/>
        </w:rPr>
        <w:t>The reduction, elimination, expiration, or our failure to optimize the benefits of government incentives for, or regulations mandating the use of, renewable energy and solar energy, particularly in relation to our competitors, could reduce demand for solar energy systems and harm our business.</w:t>
      </w:r>
    </w:p>
    <w:p>
      <w:pPr>
        <w:spacing w:after="0" w:line="40" w:lineRule="exact"/>
        <w:rPr>
          <w:sz w:val="20"/>
          <w:szCs w:val="20"/>
          <w:color w:val="auto"/>
        </w:rPr>
      </w:pPr>
    </w:p>
    <w:p>
      <w:pPr>
        <w:jc w:val="both"/>
        <w:spacing w:after="0" w:line="261" w:lineRule="auto"/>
        <w:rPr>
          <w:sz w:val="20"/>
          <w:szCs w:val="20"/>
          <w:color w:val="auto"/>
        </w:rPr>
      </w:pPr>
      <w:r>
        <w:rPr>
          <w:rFonts w:ascii="Arial" w:cs="Arial" w:eastAsia="Arial" w:hAnsi="Arial"/>
          <w:sz w:val="20"/>
          <w:szCs w:val="20"/>
          <w:color w:val="auto"/>
        </w:rPr>
        <w:t>Our customers typically use our systems for grid-connected applications wherein solar power is sold under a power purchase agreement or into an organized electric market. This segment of the solar industry has historically depended in large part on the availability and size of government incentives supporting the use of renewable energy. Consequently, the reduction, elimination or expiration of government incentives for grid-connected solar electricity may negatively affect the competitiveness of solar electricity relative to conventional and non-solar renewable sources of electricity and could harm or halt the growth of the solar electricity industry and our business. These subsidies and incentives may expire on a particular date, end when the allocated funding is exhausted, or be reduced or terminated as renewable energy adoption rates increase or as a result of legal challenges, the adoption of new statutes or regulations or changes to existing regulations, or the passage of time. These reductions, eliminations or expirations could occur without warning. There is no guarantee that such policies and incentives will continue to exist in the current form, if at all. The reduction, elimination or expiration of such incentives could reduce customer demand for our offerings, lead to a loss of customers and potential customer projects, and could harm our business, operating results and cash flows.</w:t>
      </w:r>
    </w:p>
    <w:p>
      <w:pPr>
        <w:spacing w:after="0" w:line="212"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While government incentives are intended to encourage investments in new solar projects, the impact the tax credit regime applicable to solar facilities in the U.S. will have on our results of operations is unclear. In particular, the tax credit regime in place prior to the IRA’s enactment provided annual reductions in the applicable credit amount at the beginning of 2023 and 2024 and therefore encouraged customers to acquire our products prior to calendar year-end dates in order to qualify for a higher tax credit available for projects that commenced construction (within the meaning of IRS guidance) prior to those dates. Although the IRA eliminated similar annual reductions for at least ten years, the OBBB reintroduced a termination date of December 31, 2027 unless the project begins construction before July 4, 2026, which could again act as an incentive for taxpayers to construct facilities before a certain date. On August 15, 2025, Treasury and the IRS issued Notice 2025-42, which eliminates the 5% safe harbor for utility-scale solar projects and only allows the physical work test to determine when a project begins construction. Additionally, the Trump Administration has issued, and may continue to issue, executive orders that impose restrictions on the IRA or other relevant laws or regulations. We are currently evaluating these executive orders and other related memoranda to determine what, if any, impact they might have on our customers, suppliers, or business and such could have a material adverse impact on our business, financial condition and results of operations.</w:t>
      </w:r>
    </w:p>
    <w:p>
      <w:pPr>
        <w:spacing w:after="0" w:line="217" w:lineRule="exact"/>
        <w:rPr>
          <w:sz w:val="20"/>
          <w:szCs w:val="20"/>
          <w:color w:val="auto"/>
        </w:rPr>
      </w:pPr>
    </w:p>
    <w:p>
      <w:pPr>
        <w:jc w:val="both"/>
        <w:spacing w:after="0" w:line="261" w:lineRule="auto"/>
        <w:rPr>
          <w:sz w:val="20"/>
          <w:szCs w:val="20"/>
          <w:color w:val="auto"/>
        </w:rPr>
      </w:pPr>
      <w:r>
        <w:rPr>
          <w:rFonts w:ascii="Arial" w:cs="Arial" w:eastAsia="Arial" w:hAnsi="Arial"/>
          <w:sz w:val="20"/>
          <w:szCs w:val="20"/>
          <w:color w:val="auto"/>
        </w:rPr>
        <w:t>In addition, if we are unable to meet the foreign entity of concern or domestic content requirements necessary for customers using our tracker products to qualify for the base tax credit or the incremental domestic content bonus credit and our competitors are able to do so, we might experience a decline in sales for U.S. projects. The timing and nature of implementing regulations clarifying the foreign entity of concern requirements as applied to our products remain uncertain. In addition, the Trump Administration could modify the guidance implementing the domestic content bonus credit. Depending on the criteria set forth in those regulations or other guidance, we may not have an adequate supply of tracker products satisfying the requirements, which could put us at a competitive disadvantage relative to suppliers who are able to maintain a more robust domestic supply chain. In addition, compliance with this requirement may increase our production costs. As a result of these risks, the foreign entity of concern and domestic content requirements may have a material adverse impact on our U.S. sales, business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19" w:right="339" w:bottom="1440" w:gutter="0" w:footer="0" w:header="0"/>
        </w:sectPr>
      </w:pPr>
    </w:p>
    <w:bookmarkStart w:id="70" w:name="page71"/>
    <w:bookmarkEnd w:id="70"/>
    <w:p>
      <w:pPr>
        <w:jc w:val="both"/>
        <w:spacing w:after="0" w:line="261" w:lineRule="auto"/>
        <w:rPr>
          <w:sz w:val="20"/>
          <w:szCs w:val="20"/>
          <w:color w:val="auto"/>
        </w:rPr>
      </w:pPr>
      <w:r>
        <w:rPr>
          <w:rFonts w:ascii="Arial" w:cs="Arial" w:eastAsia="Arial" w:hAnsi="Arial"/>
          <w:sz w:val="20"/>
          <w:szCs w:val="20"/>
          <w:color w:val="auto"/>
        </w:rPr>
        <w:t>Moreover, changes in policies of recent U.S. presidential administrations have created regulatory uncertainty in the renewable energy industry, including the solar energy industry, and have adversely affected and may continue to adversely affect our business. For example, since 2015, the U.S. joined, withdrew from, rejoined and then withdrew again from the 2015 Paris Agreement on climate change mitigation following changes in administration among U.S. Presidents Obama, Trump, Biden and Trump. The international markets in which we operate or may operate in the future may have or may put in place policies to promote renewable energy, including solar. These incentives and mechanisms vary from country to country. In seeking to achieve growth internationally, we may make investments that, to some extent, rely on governmental incentives and support in a new market. We may not be able to optimize the benefits offered by these incentives or realize the growth that we expect from investments in the incentives, particularly in relation to competitors whose products might benefit disproportionately from these incentives. In addition, there is no certainty regarding how the Trump Administration will implement the OBBB through regulations.</w:t>
      </w:r>
    </w:p>
    <w:p>
      <w:pPr>
        <w:spacing w:after="0" w:line="219" w:lineRule="exact"/>
        <w:rPr>
          <w:sz w:val="20"/>
          <w:szCs w:val="20"/>
          <w:color w:val="auto"/>
        </w:rPr>
      </w:pPr>
    </w:p>
    <w:p>
      <w:pPr>
        <w:jc w:val="both"/>
        <w:spacing w:after="0" w:line="269" w:lineRule="auto"/>
        <w:rPr>
          <w:sz w:val="20"/>
          <w:szCs w:val="20"/>
          <w:color w:val="auto"/>
        </w:rPr>
      </w:pPr>
      <w:r>
        <w:rPr>
          <w:rFonts w:ascii="Arial" w:cs="Arial" w:eastAsia="Arial" w:hAnsi="Arial"/>
          <w:sz w:val="20"/>
          <w:szCs w:val="20"/>
          <w:color w:val="auto"/>
        </w:rPr>
        <w:t>There is no assurance that these governments will continue to provide sufficient incentives and support to the solar industry and that the industry in any particular country will not suffer significant downturns in the future as the result of changes in public policies or government interest in renewable energy, any of which could adversely affect demand for our solar products.</w:t>
      </w:r>
    </w:p>
    <w:p>
      <w:pPr>
        <w:spacing w:after="0" w:line="21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2. Unregistered Sales of Equity Securities, Use of Proceeds and Issuer Purchases of Equity Securities</w:t>
      </w:r>
    </w:p>
    <w:p>
      <w:pPr>
        <w:spacing w:after="0" w:line="258" w:lineRule="exact"/>
        <w:rPr>
          <w:sz w:val="20"/>
          <w:szCs w:val="20"/>
          <w:color w:val="auto"/>
        </w:rPr>
      </w:pPr>
    </w:p>
    <w:p>
      <w:pPr>
        <w:spacing w:after="0"/>
        <w:rPr>
          <w:sz w:val="20"/>
          <w:szCs w:val="20"/>
          <w:color w:val="auto"/>
        </w:rPr>
      </w:pPr>
      <w:r>
        <w:rPr>
          <w:rFonts w:ascii="Arial" w:cs="Arial" w:eastAsia="Arial" w:hAnsi="Arial"/>
          <w:sz w:val="20"/>
          <w:szCs w:val="20"/>
          <w:color w:val="auto"/>
        </w:rPr>
        <w:t>None.</w:t>
      </w:r>
    </w:p>
    <w:p>
      <w:pPr>
        <w:spacing w:after="0" w:line="25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3. Defaults Upon Senior Securities</w:t>
      </w:r>
    </w:p>
    <w:p>
      <w:pPr>
        <w:spacing w:after="0" w:line="272" w:lineRule="exact"/>
        <w:rPr>
          <w:sz w:val="20"/>
          <w:szCs w:val="20"/>
          <w:color w:val="auto"/>
        </w:rPr>
      </w:pPr>
    </w:p>
    <w:p>
      <w:pPr>
        <w:spacing w:after="0"/>
        <w:rPr>
          <w:sz w:val="20"/>
          <w:szCs w:val="20"/>
          <w:color w:val="auto"/>
        </w:rPr>
      </w:pPr>
      <w:r>
        <w:rPr>
          <w:rFonts w:ascii="Arial" w:cs="Arial" w:eastAsia="Arial" w:hAnsi="Arial"/>
          <w:sz w:val="20"/>
          <w:szCs w:val="20"/>
          <w:color w:val="auto"/>
        </w:rPr>
        <w:t>None.</w:t>
      </w:r>
    </w:p>
    <w:p>
      <w:pPr>
        <w:spacing w:after="0" w:line="25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4. Mine Safety Disclosures</w:t>
      </w:r>
    </w:p>
    <w:p>
      <w:pPr>
        <w:spacing w:after="0" w:line="258" w:lineRule="exact"/>
        <w:rPr>
          <w:sz w:val="20"/>
          <w:szCs w:val="20"/>
          <w:color w:val="auto"/>
        </w:rPr>
      </w:pPr>
    </w:p>
    <w:p>
      <w:pPr>
        <w:spacing w:after="0"/>
        <w:rPr>
          <w:sz w:val="20"/>
          <w:szCs w:val="20"/>
          <w:color w:val="auto"/>
        </w:rPr>
      </w:pPr>
      <w:r>
        <w:rPr>
          <w:rFonts w:ascii="Arial" w:cs="Arial" w:eastAsia="Arial" w:hAnsi="Arial"/>
          <w:sz w:val="20"/>
          <w:szCs w:val="20"/>
          <w:color w:val="auto"/>
        </w:rPr>
        <w:t>Not applicable.</w:t>
      </w:r>
    </w:p>
    <w:p>
      <w:pPr>
        <w:spacing w:after="0" w:line="26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5. Other Information</w:t>
      </w:r>
    </w:p>
    <w:p>
      <w:pPr>
        <w:spacing w:after="0" w:line="258"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10b5-1 Trading Plans</w:t>
      </w:r>
    </w:p>
    <w:p>
      <w:pPr>
        <w:spacing w:after="0" w:line="121" w:lineRule="exact"/>
        <w:rPr>
          <w:sz w:val="20"/>
          <w:szCs w:val="20"/>
          <w:color w:val="auto"/>
        </w:rPr>
      </w:pPr>
    </w:p>
    <w:p>
      <w:pPr>
        <w:jc w:val="both"/>
        <w:spacing w:after="0" w:line="269" w:lineRule="auto"/>
        <w:rPr>
          <w:sz w:val="20"/>
          <w:szCs w:val="20"/>
          <w:color w:val="auto"/>
        </w:rPr>
      </w:pPr>
      <w:r>
        <w:rPr>
          <w:rFonts w:ascii="Arial" w:cs="Arial" w:eastAsia="Arial" w:hAnsi="Arial"/>
          <w:sz w:val="20"/>
          <w:szCs w:val="20"/>
          <w:color w:val="auto"/>
        </w:rPr>
        <w:t>From time to time, our directors and officers may adopt plans for the purchase or sale of our securities. Such plans may be designed to satisfy the affirmative defense conditions of Rule 10b5-1 under the Exchange Act or may constitute non-Rule 10b5-1 trading arrangements (as defined in Item 408(c) of Regulation S-K). During the three months ended June 30, 2025, none of our directors or officers adopted, amended or terminated any such plan or trading arrangement.</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73"/>
        </w:trPr>
        <w:tc>
          <w:tcPr>
            <w:tcW w:w="1660" w:type="dxa"/>
            <w:vAlign w:val="bottom"/>
            <w:gridSpan w:val="2"/>
          </w:tcPr>
          <w:p>
            <w:pPr>
              <w:spacing w:after="0"/>
              <w:rPr>
                <w:sz w:val="20"/>
                <w:szCs w:val="20"/>
                <w:color w:val="auto"/>
              </w:rPr>
            </w:pPr>
            <w:r>
              <w:rPr>
                <w:rFonts w:ascii="Arial" w:cs="Arial" w:eastAsia="Arial" w:hAnsi="Arial"/>
                <w:sz w:val="20"/>
                <w:szCs w:val="20"/>
                <w:b w:val="1"/>
                <w:bCs w:val="1"/>
                <w:color w:val="auto"/>
              </w:rPr>
              <w:t>Item 6. Exhibits</w:t>
            </w:r>
          </w:p>
        </w:tc>
        <w:tc>
          <w:tcPr>
            <w:tcW w:w="20" w:type="dxa"/>
            <w:vAlign w:val="bottom"/>
          </w:tcPr>
          <w:p>
            <w:pPr>
              <w:spacing w:after="0"/>
              <w:rPr>
                <w:sz w:val="23"/>
                <w:szCs w:val="23"/>
                <w:color w:val="auto"/>
              </w:rPr>
            </w:pPr>
          </w:p>
        </w:tc>
        <w:tc>
          <w:tcPr>
            <w:tcW w:w="456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60" w:type="dxa"/>
            <w:vAlign w:val="bottom"/>
          </w:tcPr>
          <w:p>
            <w:pPr>
              <w:spacing w:after="0"/>
              <w:rPr>
                <w:sz w:val="23"/>
                <w:szCs w:val="23"/>
                <w:color w:val="auto"/>
              </w:rPr>
            </w:pPr>
          </w:p>
        </w:tc>
      </w:tr>
      <w:tr>
        <w:trPr>
          <w:trHeight w:val="506"/>
        </w:trPr>
        <w:tc>
          <w:tcPr>
            <w:tcW w:w="1660" w:type="dxa"/>
            <w:vAlign w:val="bottom"/>
            <w:gridSpan w:val="2"/>
          </w:tcPr>
          <w:p>
            <w:pPr>
              <w:jc w:val="center"/>
              <w:ind w:right="100"/>
              <w:spacing w:after="0"/>
              <w:rPr>
                <w:sz w:val="20"/>
                <w:szCs w:val="20"/>
                <w:color w:val="auto"/>
              </w:rPr>
            </w:pPr>
            <w:r>
              <w:rPr>
                <w:rFonts w:ascii="Arial" w:cs="Arial" w:eastAsia="Arial" w:hAnsi="Arial"/>
                <w:sz w:val="20"/>
                <w:szCs w:val="20"/>
                <w:b w:val="1"/>
                <w:bCs w:val="1"/>
                <w:color w:val="auto"/>
              </w:rPr>
              <w:t>Number</w:t>
            </w:r>
          </w:p>
        </w:tc>
        <w:tc>
          <w:tcPr>
            <w:tcW w:w="20" w:type="dxa"/>
            <w:vAlign w:val="bottom"/>
          </w:tcPr>
          <w:p>
            <w:pPr>
              <w:spacing w:after="0"/>
              <w:rPr>
                <w:sz w:val="24"/>
                <w:szCs w:val="24"/>
                <w:color w:val="auto"/>
              </w:rPr>
            </w:pPr>
          </w:p>
        </w:tc>
        <w:tc>
          <w:tcPr>
            <w:tcW w:w="5840" w:type="dxa"/>
            <w:vAlign w:val="bottom"/>
            <w:gridSpan w:val="5"/>
          </w:tcPr>
          <w:p>
            <w:pPr>
              <w:ind w:left="1960"/>
              <w:spacing w:after="0"/>
              <w:rPr>
                <w:sz w:val="20"/>
                <w:szCs w:val="20"/>
                <w:color w:val="auto"/>
              </w:rPr>
            </w:pPr>
            <w:r>
              <w:rPr>
                <w:rFonts w:ascii="Arial" w:cs="Arial" w:eastAsia="Arial" w:hAnsi="Arial"/>
                <w:sz w:val="20"/>
                <w:szCs w:val="20"/>
                <w:b w:val="1"/>
                <w:bCs w:val="1"/>
                <w:color w:val="auto"/>
              </w:rPr>
              <w:t>Exhibit Description</w:t>
            </w:r>
          </w:p>
        </w:tc>
        <w:tc>
          <w:tcPr>
            <w:tcW w:w="1020" w:type="dxa"/>
            <w:vAlign w:val="bottom"/>
            <w:gridSpan w:val="2"/>
          </w:tcPr>
          <w:p>
            <w:pPr>
              <w:jc w:val="center"/>
              <w:ind w:right="80"/>
              <w:spacing w:after="0"/>
              <w:rPr>
                <w:sz w:val="20"/>
                <w:szCs w:val="20"/>
                <w:color w:val="auto"/>
              </w:rPr>
            </w:pPr>
            <w:r>
              <w:rPr>
                <w:rFonts w:ascii="Arial" w:cs="Arial" w:eastAsia="Arial" w:hAnsi="Arial"/>
                <w:sz w:val="20"/>
                <w:szCs w:val="20"/>
                <w:b w:val="1"/>
                <w:bCs w:val="1"/>
                <w:color w:val="auto"/>
                <w:w w:val="99"/>
              </w:rPr>
              <w:t>Form</w:t>
            </w:r>
          </w:p>
        </w:tc>
        <w:tc>
          <w:tcPr>
            <w:tcW w:w="1640" w:type="dxa"/>
            <w:vAlign w:val="bottom"/>
            <w:gridSpan w:val="2"/>
          </w:tcPr>
          <w:p>
            <w:pPr>
              <w:jc w:val="center"/>
              <w:ind w:right="80"/>
              <w:spacing w:after="0"/>
              <w:rPr>
                <w:sz w:val="20"/>
                <w:szCs w:val="20"/>
                <w:color w:val="auto"/>
              </w:rPr>
            </w:pPr>
            <w:r>
              <w:rPr>
                <w:rFonts w:ascii="Arial" w:cs="Arial" w:eastAsia="Arial" w:hAnsi="Arial"/>
                <w:sz w:val="20"/>
                <w:szCs w:val="20"/>
                <w:b w:val="1"/>
                <w:bCs w:val="1"/>
                <w:color w:val="auto"/>
              </w:rPr>
              <w:t>Date</w:t>
            </w:r>
          </w:p>
        </w:tc>
        <w:tc>
          <w:tcPr>
            <w:tcW w:w="1060" w:type="dxa"/>
            <w:vAlign w:val="bottom"/>
          </w:tcPr>
          <w:p>
            <w:pPr>
              <w:ind w:left="380"/>
              <w:spacing w:after="0"/>
              <w:rPr>
                <w:sz w:val="20"/>
                <w:szCs w:val="20"/>
                <w:color w:val="auto"/>
              </w:rPr>
            </w:pPr>
            <w:r>
              <w:rPr>
                <w:rFonts w:ascii="Arial" w:cs="Arial" w:eastAsia="Arial" w:hAnsi="Arial"/>
                <w:sz w:val="20"/>
                <w:szCs w:val="20"/>
                <w:b w:val="1"/>
                <w:bCs w:val="1"/>
                <w:color w:val="auto"/>
              </w:rPr>
              <w:t>No.</w:t>
            </w:r>
          </w:p>
        </w:tc>
      </w:tr>
      <w:tr>
        <w:trPr>
          <w:trHeight w:val="196"/>
        </w:trPr>
        <w:tc>
          <w:tcPr>
            <w:tcW w:w="1540" w:type="dxa"/>
            <w:vAlign w:val="bottom"/>
            <w:tcBorders>
              <w:top w:val="single" w:sz="8" w:color="auto"/>
            </w:tcBorders>
            <w:shd w:val="clear" w:color="auto" w:fill="CCEEFF"/>
          </w:tcPr>
          <w:p>
            <w:pPr>
              <w:jc w:val="right"/>
              <w:ind w:right="461"/>
              <w:spacing w:after="0" w:line="196" w:lineRule="exact"/>
              <w:rPr>
                <w:sz w:val="20"/>
                <w:szCs w:val="20"/>
                <w:color w:val="auto"/>
              </w:rPr>
            </w:pPr>
            <w:r>
              <w:rPr>
                <w:rFonts w:ascii="Arial" w:cs="Arial" w:eastAsia="Arial" w:hAnsi="Arial"/>
                <w:sz w:val="20"/>
                <w:szCs w:val="20"/>
                <w:color w:val="auto"/>
              </w:rPr>
              <w:t>2.1+</w:t>
            </w:r>
          </w:p>
        </w:tc>
        <w:tc>
          <w:tcPr>
            <w:tcW w:w="1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5760" w:type="dxa"/>
            <w:vAlign w:val="bottom"/>
            <w:tcBorders>
              <w:top w:val="single" w:sz="8" w:color="auto"/>
            </w:tcBorders>
            <w:gridSpan w:val="4"/>
            <w:shd w:val="clear" w:color="auto" w:fill="CCEEFF"/>
          </w:tcPr>
          <w:p>
            <w:pPr>
              <w:spacing w:after="0" w:line="196" w:lineRule="exact"/>
              <w:rPr>
                <w:rFonts w:ascii="Arial" w:cs="Arial" w:eastAsia="Arial" w:hAnsi="Arial"/>
                <w:sz w:val="20"/>
                <w:szCs w:val="20"/>
                <w:color w:val="0000FF"/>
                <w:w w:val="98"/>
              </w:rPr>
            </w:pPr>
            <w:hyperlink r:id="rId80">
              <w:r>
                <w:rPr>
                  <w:rFonts w:ascii="Arial" w:cs="Arial" w:eastAsia="Arial" w:hAnsi="Arial"/>
                  <w:sz w:val="20"/>
                  <w:szCs w:val="20"/>
                  <w:color w:val="0000FF"/>
                  <w:w w:val="98"/>
                </w:rPr>
                <w:t>Equity Purchase Agreement, dated June 17, 2025, by and among</w:t>
              </w:r>
            </w:hyperlink>
          </w:p>
        </w:tc>
        <w:tc>
          <w:tcPr>
            <w:tcW w:w="80" w:type="dxa"/>
            <w:vAlign w:val="bottom"/>
            <w:tcBorders>
              <w:top w:val="single" w:sz="8" w:color="CCEEFF"/>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jc w:val="center"/>
              <w:spacing w:after="0" w:line="196" w:lineRule="exact"/>
              <w:rPr>
                <w:sz w:val="20"/>
                <w:szCs w:val="20"/>
                <w:color w:val="auto"/>
              </w:rPr>
            </w:pPr>
            <w:r>
              <w:rPr>
                <w:rFonts w:ascii="Arial" w:cs="Arial" w:eastAsia="Arial" w:hAnsi="Arial"/>
                <w:sz w:val="20"/>
                <w:szCs w:val="20"/>
                <w:color w:val="auto"/>
                <w:w w:val="96"/>
              </w:rPr>
              <w:t>8-K</w:t>
            </w:r>
          </w:p>
        </w:tc>
        <w:tc>
          <w:tcPr>
            <w:tcW w:w="80" w:type="dxa"/>
            <w:vAlign w:val="bottom"/>
            <w:tcBorders>
              <w:top w:val="single" w:sz="8" w:color="CCEEFF"/>
            </w:tcBorders>
            <w:shd w:val="clear" w:color="auto" w:fill="CCEEFF"/>
          </w:tcPr>
          <w:p>
            <w:pPr>
              <w:spacing w:after="0"/>
              <w:rPr>
                <w:sz w:val="17"/>
                <w:szCs w:val="17"/>
                <w:color w:val="auto"/>
              </w:rPr>
            </w:pPr>
          </w:p>
        </w:tc>
        <w:tc>
          <w:tcPr>
            <w:tcW w:w="1560" w:type="dxa"/>
            <w:vAlign w:val="bottom"/>
            <w:tcBorders>
              <w:top w:val="single" w:sz="8" w:color="auto"/>
            </w:tcBorders>
            <w:shd w:val="clear" w:color="auto" w:fill="CCEEFF"/>
          </w:tcPr>
          <w:p>
            <w:pPr>
              <w:jc w:val="right"/>
              <w:ind w:right="241"/>
              <w:spacing w:after="0" w:line="196" w:lineRule="exact"/>
              <w:rPr>
                <w:sz w:val="20"/>
                <w:szCs w:val="20"/>
                <w:color w:val="auto"/>
              </w:rPr>
            </w:pPr>
            <w:r>
              <w:rPr>
                <w:rFonts w:ascii="Arial" w:cs="Arial" w:eastAsia="Arial" w:hAnsi="Arial"/>
                <w:sz w:val="20"/>
                <w:szCs w:val="20"/>
                <w:color w:val="auto"/>
              </w:rPr>
              <w:t>6/18/2025</w:t>
            </w:r>
          </w:p>
        </w:tc>
        <w:tc>
          <w:tcPr>
            <w:tcW w:w="80" w:type="dxa"/>
            <w:vAlign w:val="bottom"/>
            <w:tcBorders>
              <w:top w:val="single" w:sz="8" w:color="CCEEFF"/>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ind w:left="400"/>
              <w:spacing w:after="0" w:line="196" w:lineRule="exact"/>
              <w:rPr>
                <w:sz w:val="20"/>
                <w:szCs w:val="20"/>
                <w:color w:val="auto"/>
              </w:rPr>
            </w:pPr>
            <w:r>
              <w:rPr>
                <w:rFonts w:ascii="Arial" w:cs="Arial" w:eastAsia="Arial" w:hAnsi="Arial"/>
                <w:sz w:val="20"/>
                <w:szCs w:val="20"/>
                <w:color w:val="auto"/>
              </w:rPr>
              <w:t>2.1</w:t>
            </w:r>
          </w:p>
        </w:tc>
      </w:tr>
      <w:tr>
        <w:trPr>
          <w:trHeight w:val="183"/>
        </w:trPr>
        <w:tc>
          <w:tcPr>
            <w:tcW w:w="154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5740" w:type="dxa"/>
            <w:vAlign w:val="bottom"/>
            <w:tcBorders>
              <w:top w:val="single" w:sz="8" w:color="0000FF"/>
            </w:tcBorders>
            <w:gridSpan w:val="3"/>
            <w:shd w:val="clear" w:color="auto" w:fill="CCEEFF"/>
          </w:tcPr>
          <w:p>
            <w:pPr>
              <w:spacing w:after="0" w:line="183" w:lineRule="exact"/>
              <w:rPr>
                <w:rFonts w:ascii="Arial" w:cs="Arial" w:eastAsia="Arial" w:hAnsi="Arial"/>
                <w:sz w:val="20"/>
                <w:szCs w:val="20"/>
                <w:color w:val="0000FF"/>
                <w:w w:val="99"/>
              </w:rPr>
            </w:pPr>
            <w:hyperlink r:id="rId80">
              <w:r>
                <w:rPr>
                  <w:rFonts w:ascii="Arial" w:cs="Arial" w:eastAsia="Arial" w:hAnsi="Arial"/>
                  <w:sz w:val="20"/>
                  <w:szCs w:val="20"/>
                  <w:color w:val="0000FF"/>
                  <w:w w:val="99"/>
                </w:rPr>
                <w:t>STINorland USA, Inc., Array Technologies, Inc., APA Solar, LLC,</w:t>
              </w:r>
            </w:hyperlink>
          </w:p>
        </w:tc>
        <w:tc>
          <w:tcPr>
            <w:tcW w:w="100" w:type="dxa"/>
            <w:vAlign w:val="bottom"/>
            <w:tcBorders>
              <w:top w:val="single" w:sz="8" w:color="CCEEFF"/>
            </w:tcBorders>
            <w:gridSpan w:val="2"/>
            <w:shd w:val="clear" w:color="auto" w:fill="CCEEFF"/>
          </w:tcPr>
          <w:p>
            <w:pPr>
              <w:spacing w:after="0"/>
              <w:rPr>
                <w:sz w:val="15"/>
                <w:szCs w:val="15"/>
                <w:color w:val="auto"/>
              </w:rPr>
            </w:pPr>
          </w:p>
        </w:tc>
        <w:tc>
          <w:tcPr>
            <w:tcW w:w="94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56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060" w:type="dxa"/>
            <w:vAlign w:val="bottom"/>
            <w:tcBorders>
              <w:top w:val="single" w:sz="8" w:color="CCEEFF"/>
            </w:tcBorders>
            <w:shd w:val="clear" w:color="auto" w:fill="CCEEFF"/>
          </w:tcPr>
          <w:p>
            <w:pPr>
              <w:spacing w:after="0"/>
              <w:rPr>
                <w:sz w:val="15"/>
                <w:szCs w:val="15"/>
                <w:color w:val="auto"/>
              </w:rPr>
            </w:pPr>
          </w:p>
        </w:tc>
      </w:tr>
      <w:tr>
        <w:trPr>
          <w:trHeight w:val="169"/>
        </w:trPr>
        <w:tc>
          <w:tcPr>
            <w:tcW w:w="154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5640" w:type="dxa"/>
            <w:vAlign w:val="bottom"/>
            <w:tcBorders>
              <w:top w:val="single" w:sz="8" w:color="0000FF"/>
            </w:tcBorders>
            <w:gridSpan w:val="2"/>
            <w:shd w:val="clear" w:color="auto" w:fill="CCEEFF"/>
          </w:tcPr>
          <w:p>
            <w:pPr>
              <w:spacing w:after="0" w:line="169" w:lineRule="exact"/>
              <w:rPr>
                <w:rFonts w:ascii="Arial" w:cs="Arial" w:eastAsia="Arial" w:hAnsi="Arial"/>
                <w:sz w:val="19"/>
                <w:szCs w:val="19"/>
                <w:color w:val="0000FF"/>
              </w:rPr>
            </w:pPr>
            <w:hyperlink r:id="rId80">
              <w:r>
                <w:rPr>
                  <w:rFonts w:ascii="Arial" w:cs="Arial" w:eastAsia="Arial" w:hAnsi="Arial"/>
                  <w:sz w:val="19"/>
                  <w:szCs w:val="19"/>
                  <w:color w:val="0000FF"/>
                </w:rPr>
                <w:t>SunHoldings, LLC and the Guarantors party thereto.</w:t>
              </w:r>
            </w:hyperlink>
          </w:p>
        </w:tc>
        <w:tc>
          <w:tcPr>
            <w:tcW w:w="200" w:type="dxa"/>
            <w:vAlign w:val="bottom"/>
            <w:tcBorders>
              <w:top w:val="single" w:sz="8" w:color="CCEEFF"/>
            </w:tcBorders>
            <w:gridSpan w:val="3"/>
            <w:shd w:val="clear" w:color="auto" w:fill="CCEEFF"/>
          </w:tcPr>
          <w:p>
            <w:pPr>
              <w:spacing w:after="0"/>
              <w:rPr>
                <w:sz w:val="14"/>
                <w:szCs w:val="14"/>
                <w:color w:val="auto"/>
              </w:rPr>
            </w:pPr>
          </w:p>
        </w:tc>
        <w:tc>
          <w:tcPr>
            <w:tcW w:w="94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56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060" w:type="dxa"/>
            <w:vAlign w:val="bottom"/>
            <w:tcBorders>
              <w:top w:val="single" w:sz="8" w:color="CCEEFF"/>
            </w:tcBorders>
            <w:shd w:val="clear" w:color="auto" w:fill="CCEEFF"/>
          </w:tcPr>
          <w:p>
            <w:pPr>
              <w:spacing w:after="0"/>
              <w:rPr>
                <w:sz w:val="14"/>
                <w:szCs w:val="14"/>
                <w:color w:val="auto"/>
              </w:rPr>
            </w:pPr>
          </w:p>
        </w:tc>
      </w:tr>
      <w:tr>
        <w:trPr>
          <w:trHeight w:val="34"/>
        </w:trPr>
        <w:tc>
          <w:tcPr>
            <w:tcW w:w="154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560" w:type="dxa"/>
            <w:vAlign w:val="bottom"/>
            <w:tcBorders>
              <w:top w:val="single" w:sz="8" w:color="0000FF"/>
            </w:tcBorders>
            <w:shd w:val="clear" w:color="auto" w:fill="CCEEFF"/>
          </w:tcPr>
          <w:p>
            <w:pPr>
              <w:spacing w:after="0"/>
              <w:rPr>
                <w:sz w:val="2"/>
                <w:szCs w:val="2"/>
                <w:color w:val="auto"/>
              </w:rPr>
            </w:pPr>
          </w:p>
        </w:tc>
        <w:tc>
          <w:tcPr>
            <w:tcW w:w="108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9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5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060" w:type="dxa"/>
            <w:vAlign w:val="bottom"/>
            <w:tcBorders>
              <w:top w:val="single" w:sz="8" w:color="CCEEFF"/>
            </w:tcBorders>
            <w:shd w:val="clear" w:color="auto" w:fill="CCEEFF"/>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78105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19" w:right="339" w:bottom="1440" w:gutter="0" w:footer="0" w:header="0"/>
        </w:sectPr>
      </w:pPr>
    </w:p>
    <w:bookmarkStart w:id="71" w:name="page72"/>
    <w:bookmarkEnd w:id="71"/>
    <w:tbl>
      <w:tblPr>
        <w:tblLayout w:type="fixed"/>
        <w:tblInd w:w="0" w:type="dxa"/>
        <w:tblCellMar>
          <w:top w:w="0" w:type="dxa"/>
          <w:left w:w="0" w:type="dxa"/>
          <w:bottom w:w="0" w:type="dxa"/>
          <w:right w:w="0" w:type="dxa"/>
        </w:tblCellMar>
      </w:tblPr>
      <w:tr>
        <w:trPr>
          <w:trHeight w:val="267"/>
        </w:trPr>
        <w:tc>
          <w:tcPr>
            <w:tcW w:w="1660" w:type="dxa"/>
            <w:vAlign w:val="bottom"/>
            <w:gridSpan w:val="2"/>
          </w:tcPr>
          <w:p>
            <w:pPr>
              <w:ind w:left="400"/>
              <w:spacing w:after="0"/>
              <w:rPr>
                <w:sz w:val="20"/>
                <w:szCs w:val="20"/>
                <w:color w:val="auto"/>
              </w:rPr>
            </w:pPr>
            <w:r>
              <w:rPr>
                <w:rFonts w:ascii="Arial" w:cs="Arial" w:eastAsia="Arial" w:hAnsi="Arial"/>
                <w:sz w:val="20"/>
                <w:szCs w:val="20"/>
                <w:b w:val="1"/>
                <w:bCs w:val="1"/>
                <w:color w:val="auto"/>
              </w:rPr>
              <w:t>Number</w:t>
            </w:r>
          </w:p>
        </w:tc>
        <w:tc>
          <w:tcPr>
            <w:tcW w:w="2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4480" w:type="dxa"/>
            <w:vAlign w:val="bottom"/>
            <w:gridSpan w:val="24"/>
          </w:tcPr>
          <w:p>
            <w:pPr>
              <w:ind w:left="600"/>
              <w:spacing w:after="0"/>
              <w:rPr>
                <w:sz w:val="20"/>
                <w:szCs w:val="20"/>
                <w:color w:val="auto"/>
              </w:rPr>
            </w:pPr>
            <w:r>
              <w:rPr>
                <w:rFonts w:ascii="Arial" w:cs="Arial" w:eastAsia="Arial" w:hAnsi="Arial"/>
                <w:sz w:val="20"/>
                <w:szCs w:val="20"/>
                <w:b w:val="1"/>
                <w:bCs w:val="1"/>
                <w:color w:val="auto"/>
              </w:rPr>
              <w:t>Exhibit Description</w:t>
            </w:r>
          </w:p>
        </w:tc>
        <w:tc>
          <w:tcPr>
            <w:tcW w:w="1020" w:type="dxa"/>
            <w:vAlign w:val="bottom"/>
            <w:gridSpan w:val="2"/>
          </w:tcPr>
          <w:p>
            <w:pPr>
              <w:jc w:val="center"/>
              <w:ind w:right="80"/>
              <w:spacing w:after="0"/>
              <w:rPr>
                <w:sz w:val="20"/>
                <w:szCs w:val="20"/>
                <w:color w:val="auto"/>
              </w:rPr>
            </w:pPr>
            <w:r>
              <w:rPr>
                <w:rFonts w:ascii="Arial" w:cs="Arial" w:eastAsia="Arial" w:hAnsi="Arial"/>
                <w:sz w:val="20"/>
                <w:szCs w:val="20"/>
                <w:b w:val="1"/>
                <w:bCs w:val="1"/>
                <w:color w:val="auto"/>
                <w:w w:val="99"/>
              </w:rPr>
              <w:t>Form</w:t>
            </w:r>
          </w:p>
        </w:tc>
        <w:tc>
          <w:tcPr>
            <w:tcW w:w="1640" w:type="dxa"/>
            <w:vAlign w:val="bottom"/>
            <w:gridSpan w:val="2"/>
          </w:tcPr>
          <w:p>
            <w:pPr>
              <w:ind w:left="560"/>
              <w:spacing w:after="0"/>
              <w:rPr>
                <w:sz w:val="20"/>
                <w:szCs w:val="20"/>
                <w:color w:val="auto"/>
              </w:rPr>
            </w:pPr>
            <w:r>
              <w:rPr>
                <w:rFonts w:ascii="Arial" w:cs="Arial" w:eastAsia="Arial" w:hAnsi="Arial"/>
                <w:sz w:val="20"/>
                <w:szCs w:val="20"/>
                <w:b w:val="1"/>
                <w:bCs w:val="1"/>
                <w:color w:val="auto"/>
              </w:rPr>
              <w:t>Date</w:t>
            </w:r>
          </w:p>
        </w:tc>
        <w:tc>
          <w:tcPr>
            <w:tcW w:w="1060" w:type="dxa"/>
            <w:vAlign w:val="bottom"/>
          </w:tcPr>
          <w:p>
            <w:pPr>
              <w:ind w:left="380"/>
              <w:spacing w:after="0"/>
              <w:rPr>
                <w:sz w:val="20"/>
                <w:szCs w:val="20"/>
                <w:color w:val="auto"/>
              </w:rPr>
            </w:pPr>
            <w:r>
              <w:rPr>
                <w:rFonts w:ascii="Arial" w:cs="Arial" w:eastAsia="Arial" w:hAnsi="Arial"/>
                <w:sz w:val="20"/>
                <w:szCs w:val="20"/>
                <w:b w:val="1"/>
                <w:bCs w:val="1"/>
                <w:color w:val="auto"/>
              </w:rPr>
              <w:t>No.</w:t>
            </w:r>
          </w:p>
        </w:tc>
      </w:tr>
      <w:tr>
        <w:trPr>
          <w:trHeight w:val="196"/>
        </w:trPr>
        <w:tc>
          <w:tcPr>
            <w:tcW w:w="1540" w:type="dxa"/>
            <w:vAlign w:val="bottom"/>
            <w:tcBorders>
              <w:top w:val="single" w:sz="8" w:color="auto"/>
            </w:tcBorders>
          </w:tcPr>
          <w:p>
            <w:pPr>
              <w:jc w:val="center"/>
              <w:spacing w:after="0" w:line="196" w:lineRule="exact"/>
              <w:rPr>
                <w:sz w:val="20"/>
                <w:szCs w:val="20"/>
                <w:color w:val="auto"/>
              </w:rPr>
            </w:pPr>
            <w:r>
              <w:rPr>
                <w:rFonts w:ascii="Arial" w:cs="Arial" w:eastAsia="Arial" w:hAnsi="Arial"/>
                <w:sz w:val="20"/>
                <w:szCs w:val="20"/>
                <w:color w:val="auto"/>
              </w:rPr>
              <w:t>2.2</w:t>
            </w:r>
          </w:p>
        </w:tc>
        <w:tc>
          <w:tcPr>
            <w:tcW w:w="120" w:type="dxa"/>
            <w:vAlign w:val="bottom"/>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5760" w:type="dxa"/>
            <w:vAlign w:val="bottom"/>
            <w:tcBorders>
              <w:top w:val="single" w:sz="8" w:color="auto"/>
            </w:tcBorders>
            <w:gridSpan w:val="24"/>
          </w:tcPr>
          <w:p>
            <w:pPr>
              <w:spacing w:after="0" w:line="196" w:lineRule="exact"/>
              <w:rPr>
                <w:rFonts w:ascii="Arial" w:cs="Arial" w:eastAsia="Arial" w:hAnsi="Arial"/>
                <w:sz w:val="20"/>
                <w:szCs w:val="20"/>
                <w:color w:val="0000FF"/>
              </w:rPr>
            </w:pPr>
            <w:hyperlink r:id="rId82">
              <w:r>
                <w:rPr>
                  <w:rFonts w:ascii="Arial" w:cs="Arial" w:eastAsia="Arial" w:hAnsi="Arial"/>
                  <w:sz w:val="20"/>
                  <w:szCs w:val="20"/>
                  <w:color w:val="0000FF"/>
                </w:rPr>
                <w:t>First Amendment to Equity Purchase Agreement, dated August</w:t>
              </w:r>
            </w:hyperlink>
          </w:p>
        </w:tc>
        <w:tc>
          <w:tcPr>
            <w:tcW w:w="80" w:type="dxa"/>
            <w:vAlign w:val="bottom"/>
          </w:tcPr>
          <w:p>
            <w:pPr>
              <w:spacing w:after="0"/>
              <w:rPr>
                <w:sz w:val="17"/>
                <w:szCs w:val="17"/>
                <w:color w:val="auto"/>
              </w:rPr>
            </w:pPr>
          </w:p>
        </w:tc>
        <w:tc>
          <w:tcPr>
            <w:tcW w:w="940" w:type="dxa"/>
            <w:vAlign w:val="bottom"/>
            <w:tcBorders>
              <w:top w:val="single" w:sz="8" w:color="auto"/>
            </w:tcBorders>
          </w:tcPr>
          <w:p>
            <w:pPr>
              <w:jc w:val="center"/>
              <w:spacing w:after="0" w:line="196" w:lineRule="exact"/>
              <w:rPr>
                <w:sz w:val="20"/>
                <w:szCs w:val="20"/>
                <w:color w:val="auto"/>
              </w:rPr>
            </w:pPr>
            <w:r>
              <w:rPr>
                <w:rFonts w:ascii="Arial" w:cs="Arial" w:eastAsia="Arial" w:hAnsi="Arial"/>
                <w:sz w:val="20"/>
                <w:szCs w:val="20"/>
                <w:color w:val="auto"/>
                <w:w w:val="96"/>
              </w:rPr>
              <w:t>8-K</w:t>
            </w:r>
          </w:p>
        </w:tc>
        <w:tc>
          <w:tcPr>
            <w:tcW w:w="80" w:type="dxa"/>
            <w:vAlign w:val="bottom"/>
          </w:tcPr>
          <w:p>
            <w:pPr>
              <w:spacing w:after="0"/>
              <w:rPr>
                <w:sz w:val="17"/>
                <w:szCs w:val="17"/>
                <w:color w:val="auto"/>
              </w:rPr>
            </w:pPr>
          </w:p>
        </w:tc>
        <w:tc>
          <w:tcPr>
            <w:tcW w:w="1560" w:type="dxa"/>
            <w:vAlign w:val="bottom"/>
            <w:tcBorders>
              <w:top w:val="single" w:sz="8" w:color="auto"/>
            </w:tcBorders>
          </w:tcPr>
          <w:p>
            <w:pPr>
              <w:jc w:val="center"/>
              <w:spacing w:after="0" w:line="196" w:lineRule="exact"/>
              <w:rPr>
                <w:sz w:val="20"/>
                <w:szCs w:val="20"/>
                <w:color w:val="auto"/>
              </w:rPr>
            </w:pPr>
            <w:r>
              <w:rPr>
                <w:rFonts w:ascii="Arial" w:cs="Arial" w:eastAsia="Arial" w:hAnsi="Arial"/>
                <w:sz w:val="20"/>
                <w:szCs w:val="20"/>
                <w:color w:val="auto"/>
                <w:w w:val="98"/>
              </w:rPr>
              <w:t>8/14/2025</w:t>
            </w:r>
          </w:p>
        </w:tc>
        <w:tc>
          <w:tcPr>
            <w:tcW w:w="80" w:type="dxa"/>
            <w:vAlign w:val="bottom"/>
          </w:tcPr>
          <w:p>
            <w:pPr>
              <w:spacing w:after="0"/>
              <w:rPr>
                <w:sz w:val="17"/>
                <w:szCs w:val="17"/>
                <w:color w:val="auto"/>
              </w:rPr>
            </w:pPr>
          </w:p>
        </w:tc>
        <w:tc>
          <w:tcPr>
            <w:tcW w:w="1060" w:type="dxa"/>
            <w:vAlign w:val="bottom"/>
            <w:tcBorders>
              <w:top w:val="single" w:sz="8" w:color="auto"/>
            </w:tcBorders>
          </w:tcPr>
          <w:p>
            <w:pPr>
              <w:ind w:left="400"/>
              <w:spacing w:after="0" w:line="196" w:lineRule="exact"/>
              <w:rPr>
                <w:sz w:val="20"/>
                <w:szCs w:val="20"/>
                <w:color w:val="auto"/>
              </w:rPr>
            </w:pPr>
            <w:r>
              <w:rPr>
                <w:rFonts w:ascii="Arial" w:cs="Arial" w:eastAsia="Arial" w:hAnsi="Arial"/>
                <w:sz w:val="20"/>
                <w:szCs w:val="20"/>
                <w:color w:val="auto"/>
              </w:rPr>
              <w:t>2.2</w:t>
            </w:r>
          </w:p>
        </w:tc>
      </w:tr>
      <w:tr>
        <w:trPr>
          <w:trHeight w:val="183"/>
        </w:trPr>
        <w:tc>
          <w:tcPr>
            <w:tcW w:w="1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60" w:type="dxa"/>
            <w:vAlign w:val="bottom"/>
            <w:tcBorders>
              <w:top w:val="single" w:sz="8" w:color="0000FF"/>
              <w:bottom w:val="single" w:sz="8" w:color="0000FF"/>
            </w:tcBorders>
            <w:gridSpan w:val="9"/>
          </w:tcPr>
          <w:p>
            <w:pPr>
              <w:spacing w:after="0" w:line="183" w:lineRule="exact"/>
              <w:rPr>
                <w:rFonts w:ascii="Arial" w:cs="Arial" w:eastAsia="Arial" w:hAnsi="Arial"/>
                <w:sz w:val="20"/>
                <w:szCs w:val="20"/>
                <w:color w:val="0000FF"/>
                <w:w w:val="98"/>
              </w:rPr>
            </w:pPr>
            <w:hyperlink r:id="rId82">
              <w:r>
                <w:rPr>
                  <w:rFonts w:ascii="Arial" w:cs="Arial" w:eastAsia="Arial" w:hAnsi="Arial"/>
                  <w:sz w:val="20"/>
                  <w:szCs w:val="20"/>
                  <w:color w:val="0000FF"/>
                  <w:w w:val="98"/>
                </w:rPr>
                <w:t>14, 2025, by and among STINorland USA, Inc., Array</w:t>
              </w:r>
            </w:hyperlink>
          </w:p>
        </w:tc>
        <w:tc>
          <w:tcPr>
            <w:tcW w:w="860" w:type="dxa"/>
            <w:vAlign w:val="bottom"/>
            <w:tcBorders>
              <w:top w:val="single" w:sz="8" w:color="0000FF"/>
            </w:tcBorders>
            <w:gridSpan w:val="7"/>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gridSpan w:val="2"/>
          </w:tcPr>
          <w:p>
            <w:pPr>
              <w:spacing w:after="0"/>
              <w:rPr>
                <w:sz w:val="15"/>
                <w:szCs w:val="15"/>
                <w:color w:val="auto"/>
              </w:rPr>
            </w:pP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169"/>
        </w:trPr>
        <w:tc>
          <w:tcPr>
            <w:tcW w:w="1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40" w:type="dxa"/>
            <w:vAlign w:val="bottom"/>
            <w:gridSpan w:val="25"/>
          </w:tcPr>
          <w:p>
            <w:pPr>
              <w:spacing w:after="0" w:line="169" w:lineRule="exact"/>
              <w:rPr>
                <w:rFonts w:ascii="Arial" w:cs="Arial" w:eastAsia="Arial" w:hAnsi="Arial"/>
                <w:sz w:val="19"/>
                <w:szCs w:val="19"/>
                <w:color w:val="0000FF"/>
              </w:rPr>
            </w:pPr>
            <w:hyperlink r:id="rId82">
              <w:r>
                <w:rPr>
                  <w:rFonts w:ascii="Arial" w:cs="Arial" w:eastAsia="Arial" w:hAnsi="Arial"/>
                  <w:sz w:val="19"/>
                  <w:szCs w:val="19"/>
                  <w:color w:val="0000FF"/>
                </w:rPr>
                <w:t>Technologies, Inc., APA Solar, LLC, SunHoldings, LLC and the</w:t>
              </w:r>
            </w:hyperlink>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83"/>
        </w:trPr>
        <w:tc>
          <w:tcPr>
            <w:tcW w:w="1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460" w:type="dxa"/>
            <w:vAlign w:val="bottom"/>
            <w:tcBorders>
              <w:top w:val="single" w:sz="8" w:color="0000FF"/>
            </w:tcBorders>
            <w:gridSpan w:val="15"/>
          </w:tcPr>
          <w:p>
            <w:pPr>
              <w:spacing w:after="0" w:line="183" w:lineRule="exact"/>
              <w:rPr>
                <w:rFonts w:ascii="Arial" w:cs="Arial" w:eastAsia="Arial" w:hAnsi="Arial"/>
                <w:sz w:val="20"/>
                <w:szCs w:val="20"/>
                <w:color w:val="0000FF"/>
              </w:rPr>
            </w:pPr>
            <w:hyperlink r:id="rId82">
              <w:r>
                <w:rPr>
                  <w:rFonts w:ascii="Arial" w:cs="Arial" w:eastAsia="Arial" w:hAnsi="Arial"/>
                  <w:sz w:val="20"/>
                  <w:szCs w:val="20"/>
                  <w:color w:val="0000FF"/>
                </w:rPr>
                <w:t>Guarantors party thereto.</w:t>
              </w:r>
            </w:hyperlink>
          </w:p>
        </w:tc>
        <w:tc>
          <w:tcPr>
            <w:tcW w:w="80" w:type="dxa"/>
            <w:vAlign w:val="bottom"/>
            <w:gridSpan w:val="2"/>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gridSpan w:val="2"/>
          </w:tcPr>
          <w:p>
            <w:pPr>
              <w:spacing w:after="0"/>
              <w:rPr>
                <w:sz w:val="15"/>
                <w:szCs w:val="15"/>
                <w:color w:val="auto"/>
              </w:rPr>
            </w:pP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34"/>
        </w:trPr>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360" w:type="dxa"/>
            <w:vAlign w:val="bottom"/>
            <w:tcBorders>
              <w:top w:val="single" w:sz="8" w:color="0000FF"/>
            </w:tcBorders>
          </w:tcPr>
          <w:p>
            <w:pPr>
              <w:spacing w:after="0"/>
              <w:rPr>
                <w:sz w:val="2"/>
                <w:szCs w:val="2"/>
                <w:color w:val="auto"/>
              </w:rPr>
            </w:pPr>
          </w:p>
        </w:tc>
        <w:tc>
          <w:tcPr>
            <w:tcW w:w="720" w:type="dxa"/>
            <w:vAlign w:val="bottom"/>
            <w:tcBorders>
              <w:top w:val="single" w:sz="8" w:color="0000FF"/>
            </w:tcBorders>
          </w:tcPr>
          <w:p>
            <w:pPr>
              <w:spacing w:after="0"/>
              <w:rPr>
                <w:sz w:val="2"/>
                <w:szCs w:val="2"/>
                <w:color w:val="auto"/>
              </w:rPr>
            </w:pPr>
          </w:p>
        </w:tc>
        <w:tc>
          <w:tcPr>
            <w:tcW w:w="120" w:type="dxa"/>
            <w:vAlign w:val="bottom"/>
            <w:tcBorders>
              <w:top w:val="single" w:sz="8" w:color="0000FF"/>
            </w:tcBorders>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03"/>
        </w:trPr>
        <w:tc>
          <w:tcPr>
            <w:tcW w:w="1540" w:type="dxa"/>
            <w:vAlign w:val="bottom"/>
            <w:shd w:val="clear" w:color="auto" w:fill="CCEEFF"/>
          </w:tcPr>
          <w:p>
            <w:pPr>
              <w:jc w:val="center"/>
              <w:spacing w:after="0" w:line="203" w:lineRule="exact"/>
              <w:rPr>
                <w:sz w:val="20"/>
                <w:szCs w:val="20"/>
                <w:color w:val="auto"/>
              </w:rPr>
            </w:pPr>
            <w:r>
              <w:rPr>
                <w:rFonts w:ascii="Arial" w:cs="Arial" w:eastAsia="Arial" w:hAnsi="Arial"/>
                <w:sz w:val="20"/>
                <w:szCs w:val="20"/>
                <w:color w:val="auto"/>
              </w:rPr>
              <w:t>3.1</w:t>
            </w: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840" w:type="dxa"/>
            <w:vAlign w:val="bottom"/>
            <w:gridSpan w:val="25"/>
            <w:shd w:val="clear" w:color="auto" w:fill="CCEEFF"/>
          </w:tcPr>
          <w:p>
            <w:pPr>
              <w:spacing w:after="0" w:line="203" w:lineRule="exact"/>
              <w:rPr>
                <w:rFonts w:ascii="Arial" w:cs="Arial" w:eastAsia="Arial" w:hAnsi="Arial"/>
                <w:sz w:val="20"/>
                <w:szCs w:val="20"/>
                <w:color w:val="0000FF"/>
              </w:rPr>
            </w:pPr>
            <w:hyperlink r:id="rId83">
              <w:r>
                <w:rPr>
                  <w:rFonts w:ascii="Arial" w:cs="Arial" w:eastAsia="Arial" w:hAnsi="Arial"/>
                  <w:sz w:val="20"/>
                  <w:szCs w:val="20"/>
                  <w:color w:val="0000FF"/>
                </w:rPr>
                <w:t>Amended and Restated Certificate of Incorporation of Array</w:t>
              </w:r>
            </w:hyperlink>
          </w:p>
        </w:tc>
        <w:tc>
          <w:tcPr>
            <w:tcW w:w="1020" w:type="dxa"/>
            <w:vAlign w:val="bottom"/>
            <w:gridSpan w:val="2"/>
            <w:shd w:val="clear" w:color="auto" w:fill="CCEEFF"/>
          </w:tcPr>
          <w:p>
            <w:pPr>
              <w:jc w:val="center"/>
              <w:ind w:right="80"/>
              <w:spacing w:after="0" w:line="203" w:lineRule="exact"/>
              <w:rPr>
                <w:sz w:val="20"/>
                <w:szCs w:val="20"/>
                <w:color w:val="auto"/>
              </w:rPr>
            </w:pPr>
            <w:r>
              <w:rPr>
                <w:rFonts w:ascii="Arial" w:cs="Arial" w:eastAsia="Arial" w:hAnsi="Arial"/>
                <w:sz w:val="20"/>
                <w:szCs w:val="20"/>
                <w:color w:val="auto"/>
                <w:w w:val="96"/>
              </w:rPr>
              <w:t>8-K</w:t>
            </w:r>
          </w:p>
        </w:tc>
        <w:tc>
          <w:tcPr>
            <w:tcW w:w="1560" w:type="dxa"/>
            <w:vAlign w:val="bottom"/>
            <w:shd w:val="clear" w:color="auto" w:fill="CCEEFF"/>
          </w:tcPr>
          <w:p>
            <w:pPr>
              <w:jc w:val="center"/>
              <w:spacing w:after="0" w:line="203" w:lineRule="exact"/>
              <w:rPr>
                <w:sz w:val="20"/>
                <w:szCs w:val="20"/>
                <w:color w:val="auto"/>
              </w:rPr>
            </w:pPr>
            <w:r>
              <w:rPr>
                <w:rFonts w:ascii="Arial" w:cs="Arial" w:eastAsia="Arial" w:hAnsi="Arial"/>
                <w:sz w:val="20"/>
                <w:szCs w:val="20"/>
                <w:color w:val="auto"/>
                <w:w w:val="99"/>
              </w:rPr>
              <w:t>10/19/2020</w:t>
            </w:r>
          </w:p>
        </w:tc>
        <w:tc>
          <w:tcPr>
            <w:tcW w:w="80" w:type="dxa"/>
            <w:vAlign w:val="bottom"/>
            <w:shd w:val="clear" w:color="auto" w:fill="CCEEFF"/>
          </w:tcPr>
          <w:p>
            <w:pPr>
              <w:spacing w:after="0"/>
              <w:rPr>
                <w:sz w:val="17"/>
                <w:szCs w:val="17"/>
                <w:color w:val="auto"/>
              </w:rPr>
            </w:pPr>
          </w:p>
        </w:tc>
        <w:tc>
          <w:tcPr>
            <w:tcW w:w="1060" w:type="dxa"/>
            <w:vAlign w:val="bottom"/>
            <w:shd w:val="clear" w:color="auto" w:fill="CCEEFF"/>
          </w:tcPr>
          <w:p>
            <w:pPr>
              <w:ind w:left="400"/>
              <w:spacing w:after="0" w:line="203" w:lineRule="exact"/>
              <w:rPr>
                <w:sz w:val="20"/>
                <w:szCs w:val="20"/>
                <w:color w:val="auto"/>
              </w:rPr>
            </w:pPr>
            <w:r>
              <w:rPr>
                <w:rFonts w:ascii="Arial" w:cs="Arial" w:eastAsia="Arial" w:hAnsi="Arial"/>
                <w:sz w:val="20"/>
                <w:szCs w:val="20"/>
                <w:color w:val="auto"/>
              </w:rPr>
              <w:t>3.1</w:t>
            </w:r>
          </w:p>
        </w:tc>
      </w:tr>
      <w:tr>
        <w:trPr>
          <w:trHeight w:val="183"/>
        </w:trPr>
        <w:tc>
          <w:tcPr>
            <w:tcW w:w="154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5200" w:type="dxa"/>
            <w:vAlign w:val="bottom"/>
            <w:tcBorders>
              <w:top w:val="single" w:sz="8" w:color="0000FF"/>
            </w:tcBorders>
            <w:gridSpan w:val="14"/>
            <w:shd w:val="clear" w:color="auto" w:fill="CCEEFF"/>
          </w:tcPr>
          <w:p>
            <w:pPr>
              <w:spacing w:after="0" w:line="183" w:lineRule="exact"/>
              <w:rPr>
                <w:rFonts w:ascii="Arial" w:cs="Arial" w:eastAsia="Arial" w:hAnsi="Arial"/>
                <w:sz w:val="20"/>
                <w:szCs w:val="20"/>
                <w:color w:val="0000FF"/>
              </w:rPr>
            </w:pPr>
            <w:hyperlink r:id="rId83">
              <w:r>
                <w:rPr>
                  <w:rFonts w:ascii="Arial" w:cs="Arial" w:eastAsia="Arial" w:hAnsi="Arial"/>
                  <w:sz w:val="20"/>
                  <w:szCs w:val="20"/>
                  <w:color w:val="0000FF"/>
                </w:rPr>
                <w:t>Technologies, Inc., dated October 19, 2020</w:t>
              </w:r>
            </w:hyperlink>
          </w:p>
        </w:tc>
        <w:tc>
          <w:tcPr>
            <w:tcW w:w="340" w:type="dxa"/>
            <w:vAlign w:val="bottom"/>
            <w:tcBorders>
              <w:top w:val="single" w:sz="8" w:color="CCEEFF"/>
            </w:tcBorders>
            <w:gridSpan w:val="3"/>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gridSpan w:val="2"/>
            <w:shd w:val="clear" w:color="auto" w:fill="CCEEFF"/>
          </w:tcPr>
          <w:p>
            <w:pPr>
              <w:spacing w:after="0"/>
              <w:rPr>
                <w:sz w:val="15"/>
                <w:szCs w:val="15"/>
                <w:color w:val="auto"/>
              </w:rPr>
            </w:pPr>
          </w:p>
        </w:tc>
        <w:tc>
          <w:tcPr>
            <w:tcW w:w="94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56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060" w:type="dxa"/>
            <w:vAlign w:val="bottom"/>
            <w:tcBorders>
              <w:top w:val="single" w:sz="8" w:color="CCEEFF"/>
            </w:tcBorders>
            <w:shd w:val="clear" w:color="auto" w:fill="CCEEFF"/>
          </w:tcPr>
          <w:p>
            <w:pPr>
              <w:spacing w:after="0"/>
              <w:rPr>
                <w:sz w:val="15"/>
                <w:szCs w:val="15"/>
                <w:color w:val="auto"/>
              </w:rPr>
            </w:pPr>
          </w:p>
        </w:tc>
      </w:tr>
      <w:tr>
        <w:trPr>
          <w:trHeight w:val="20"/>
        </w:trPr>
        <w:tc>
          <w:tcPr>
            <w:tcW w:w="15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360" w:type="dxa"/>
            <w:vAlign w:val="bottom"/>
            <w:tcBorders>
              <w:top w:val="single" w:sz="8" w:color="0000FF"/>
            </w:tcBorders>
            <w:shd w:val="clear" w:color="auto" w:fill="CCEEFF"/>
          </w:tcPr>
          <w:p>
            <w:pPr>
              <w:spacing w:after="0" w:line="20" w:lineRule="exact"/>
              <w:rPr>
                <w:sz w:val="1"/>
                <w:szCs w:val="1"/>
                <w:color w:val="auto"/>
              </w:rPr>
            </w:pPr>
          </w:p>
        </w:tc>
        <w:tc>
          <w:tcPr>
            <w:tcW w:w="72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130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5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CCEEFF"/>
            </w:tcBorders>
            <w:shd w:val="clear" w:color="auto" w:fill="CCEEFF"/>
          </w:tcPr>
          <w:p>
            <w:pPr>
              <w:spacing w:after="0" w:line="20" w:lineRule="exact"/>
              <w:rPr>
                <w:sz w:val="1"/>
                <w:szCs w:val="1"/>
                <w:color w:val="auto"/>
              </w:rPr>
            </w:pPr>
          </w:p>
        </w:tc>
      </w:tr>
      <w:tr>
        <w:trPr>
          <w:trHeight w:val="202"/>
        </w:trPr>
        <w:tc>
          <w:tcPr>
            <w:tcW w:w="1540" w:type="dxa"/>
            <w:vAlign w:val="bottom"/>
          </w:tcPr>
          <w:p>
            <w:pPr>
              <w:jc w:val="center"/>
              <w:spacing w:after="0" w:line="203" w:lineRule="exact"/>
              <w:rPr>
                <w:sz w:val="20"/>
                <w:szCs w:val="20"/>
                <w:color w:val="auto"/>
              </w:rPr>
            </w:pPr>
            <w:r>
              <w:rPr>
                <w:rFonts w:ascii="Arial" w:cs="Arial" w:eastAsia="Arial" w:hAnsi="Arial"/>
                <w:sz w:val="20"/>
                <w:szCs w:val="20"/>
                <w:color w:val="auto"/>
              </w:rPr>
              <w:t>3.2</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840" w:type="dxa"/>
            <w:vAlign w:val="bottom"/>
            <w:gridSpan w:val="25"/>
          </w:tcPr>
          <w:p>
            <w:pPr>
              <w:spacing w:after="0" w:line="203" w:lineRule="exact"/>
              <w:rPr>
                <w:rFonts w:ascii="Arial" w:cs="Arial" w:eastAsia="Arial" w:hAnsi="Arial"/>
                <w:sz w:val="20"/>
                <w:szCs w:val="20"/>
                <w:color w:val="0000FF"/>
              </w:rPr>
            </w:pPr>
            <w:hyperlink r:id="rId84">
              <w:r>
                <w:rPr>
                  <w:rFonts w:ascii="Arial" w:cs="Arial" w:eastAsia="Arial" w:hAnsi="Arial"/>
                  <w:sz w:val="20"/>
                  <w:szCs w:val="20"/>
                  <w:color w:val="0000FF"/>
                </w:rPr>
                <w:t>Amended and Restated Bylaws of Array Technologies, Inc.,</w:t>
              </w:r>
            </w:hyperlink>
          </w:p>
        </w:tc>
        <w:tc>
          <w:tcPr>
            <w:tcW w:w="1020" w:type="dxa"/>
            <w:vAlign w:val="bottom"/>
            <w:gridSpan w:val="2"/>
          </w:tcPr>
          <w:p>
            <w:pPr>
              <w:jc w:val="center"/>
              <w:ind w:right="80"/>
              <w:spacing w:after="0" w:line="203" w:lineRule="exact"/>
              <w:rPr>
                <w:sz w:val="20"/>
                <w:szCs w:val="20"/>
                <w:color w:val="auto"/>
              </w:rPr>
            </w:pPr>
            <w:r>
              <w:rPr>
                <w:rFonts w:ascii="Arial" w:cs="Arial" w:eastAsia="Arial" w:hAnsi="Arial"/>
                <w:sz w:val="20"/>
                <w:szCs w:val="20"/>
                <w:color w:val="auto"/>
                <w:w w:val="96"/>
              </w:rPr>
              <w:t>8-K</w:t>
            </w:r>
          </w:p>
        </w:tc>
        <w:tc>
          <w:tcPr>
            <w:tcW w:w="1560" w:type="dxa"/>
            <w:vAlign w:val="bottom"/>
          </w:tcPr>
          <w:p>
            <w:pPr>
              <w:jc w:val="center"/>
              <w:spacing w:after="0" w:line="203" w:lineRule="exact"/>
              <w:rPr>
                <w:sz w:val="20"/>
                <w:szCs w:val="20"/>
                <w:color w:val="auto"/>
              </w:rPr>
            </w:pPr>
            <w:r>
              <w:rPr>
                <w:rFonts w:ascii="Arial" w:cs="Arial" w:eastAsia="Arial" w:hAnsi="Arial"/>
                <w:sz w:val="20"/>
                <w:szCs w:val="20"/>
                <w:color w:val="auto"/>
                <w:w w:val="99"/>
              </w:rPr>
              <w:t>10/19/2020</w:t>
            </w:r>
          </w:p>
        </w:tc>
        <w:tc>
          <w:tcPr>
            <w:tcW w:w="80" w:type="dxa"/>
            <w:vAlign w:val="bottom"/>
          </w:tcPr>
          <w:p>
            <w:pPr>
              <w:spacing w:after="0"/>
              <w:rPr>
                <w:sz w:val="17"/>
                <w:szCs w:val="17"/>
                <w:color w:val="auto"/>
              </w:rPr>
            </w:pPr>
          </w:p>
        </w:tc>
        <w:tc>
          <w:tcPr>
            <w:tcW w:w="1060" w:type="dxa"/>
            <w:vAlign w:val="bottom"/>
          </w:tcPr>
          <w:p>
            <w:pPr>
              <w:ind w:left="400"/>
              <w:spacing w:after="0" w:line="203" w:lineRule="exact"/>
              <w:rPr>
                <w:sz w:val="20"/>
                <w:szCs w:val="20"/>
                <w:color w:val="auto"/>
              </w:rPr>
            </w:pPr>
            <w:r>
              <w:rPr>
                <w:rFonts w:ascii="Arial" w:cs="Arial" w:eastAsia="Arial" w:hAnsi="Arial"/>
                <w:sz w:val="20"/>
                <w:szCs w:val="20"/>
                <w:color w:val="auto"/>
              </w:rPr>
              <w:t>3.2</w:t>
            </w:r>
          </w:p>
        </w:tc>
      </w:tr>
      <w:tr>
        <w:trPr>
          <w:trHeight w:val="183"/>
        </w:trPr>
        <w:tc>
          <w:tcPr>
            <w:tcW w:w="1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200" w:type="dxa"/>
            <w:vAlign w:val="bottom"/>
            <w:tcBorders>
              <w:top w:val="single" w:sz="8" w:color="0000FF"/>
            </w:tcBorders>
            <w:gridSpan w:val="14"/>
          </w:tcPr>
          <w:p>
            <w:pPr>
              <w:spacing w:after="0" w:line="183" w:lineRule="exact"/>
              <w:rPr>
                <w:rFonts w:ascii="Arial" w:cs="Arial" w:eastAsia="Arial" w:hAnsi="Arial"/>
                <w:sz w:val="20"/>
                <w:szCs w:val="20"/>
                <w:color w:val="0000FF"/>
              </w:rPr>
            </w:pPr>
            <w:hyperlink r:id="rId84">
              <w:r>
                <w:rPr>
                  <w:rFonts w:ascii="Arial" w:cs="Arial" w:eastAsia="Arial" w:hAnsi="Arial"/>
                  <w:sz w:val="20"/>
                  <w:szCs w:val="20"/>
                  <w:color w:val="0000FF"/>
                </w:rPr>
                <w:t>dated October 19, 2020</w:t>
              </w:r>
            </w:hyperlink>
          </w:p>
        </w:tc>
        <w:tc>
          <w:tcPr>
            <w:tcW w:w="340" w:type="dxa"/>
            <w:vAlign w:val="bottom"/>
            <w:gridSpan w:val="3"/>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gridSpan w:val="2"/>
          </w:tcPr>
          <w:p>
            <w:pPr>
              <w:spacing w:after="0"/>
              <w:rPr>
                <w:sz w:val="15"/>
                <w:szCs w:val="15"/>
                <w:color w:val="auto"/>
              </w:rPr>
            </w:pP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21"/>
        </w:trPr>
        <w:tc>
          <w:tcPr>
            <w:tcW w:w="1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60" w:type="dxa"/>
            <w:vAlign w:val="bottom"/>
            <w:tcBorders>
              <w:top w:val="single" w:sz="8" w:color="0000FF"/>
            </w:tcBorders>
          </w:tcPr>
          <w:p>
            <w:pPr>
              <w:spacing w:after="0" w:line="20" w:lineRule="exact"/>
              <w:rPr>
                <w:sz w:val="1"/>
                <w:szCs w:val="1"/>
                <w:color w:val="auto"/>
              </w:rPr>
            </w:pPr>
          </w:p>
        </w:tc>
        <w:tc>
          <w:tcPr>
            <w:tcW w:w="720" w:type="dxa"/>
            <w:vAlign w:val="bottom"/>
            <w:tcBorders>
              <w:top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263"/>
        </w:trPr>
        <w:tc>
          <w:tcPr>
            <w:tcW w:w="1540" w:type="dxa"/>
            <w:vAlign w:val="bottom"/>
            <w:tcBorders>
              <w:bottom w:val="single" w:sz="8" w:color="CCEEFF"/>
            </w:tcBorders>
            <w:shd w:val="clear" w:color="auto" w:fill="CCEEFF"/>
          </w:tcPr>
          <w:p>
            <w:pPr>
              <w:jc w:val="center"/>
              <w:spacing w:after="0" w:line="216" w:lineRule="exact"/>
              <w:rPr>
                <w:sz w:val="20"/>
                <w:szCs w:val="20"/>
                <w:color w:val="auto"/>
              </w:rPr>
            </w:pPr>
            <w:r>
              <w:rPr>
                <w:rFonts w:ascii="Arial" w:cs="Arial" w:eastAsia="Arial" w:hAnsi="Arial"/>
                <w:sz w:val="20"/>
                <w:szCs w:val="20"/>
                <w:color w:val="auto"/>
              </w:rPr>
              <w:t>3.3</w:t>
            </w:r>
          </w:p>
        </w:tc>
        <w:tc>
          <w:tcPr>
            <w:tcW w:w="1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5680" w:type="dxa"/>
            <w:vAlign w:val="bottom"/>
            <w:tcBorders>
              <w:bottom w:val="single" w:sz="8" w:color="0000FF"/>
            </w:tcBorders>
            <w:gridSpan w:val="21"/>
            <w:shd w:val="clear" w:color="auto" w:fill="CCEEFF"/>
          </w:tcPr>
          <w:p>
            <w:pPr>
              <w:spacing w:after="0" w:line="216" w:lineRule="exact"/>
              <w:rPr>
                <w:rFonts w:ascii="Arial" w:cs="Arial" w:eastAsia="Arial" w:hAnsi="Arial"/>
                <w:sz w:val="20"/>
                <w:szCs w:val="20"/>
                <w:color w:val="0000FF"/>
                <w:w w:val="98"/>
              </w:rPr>
            </w:pPr>
            <w:hyperlink r:id="rId85">
              <w:r>
                <w:rPr>
                  <w:rFonts w:ascii="Arial" w:cs="Arial" w:eastAsia="Arial" w:hAnsi="Arial"/>
                  <w:sz w:val="20"/>
                  <w:szCs w:val="20"/>
                  <w:color w:val="0000FF"/>
                  <w:w w:val="98"/>
                </w:rPr>
                <w:t>Certificate of Designations of Series A Perpetual Preferred Stock</w:t>
              </w:r>
            </w:hyperlink>
          </w:p>
        </w:tc>
        <w:tc>
          <w:tcPr>
            <w:tcW w:w="160" w:type="dxa"/>
            <w:vAlign w:val="bottom"/>
            <w:tcBorders>
              <w:bottom w:val="single" w:sz="8" w:color="CCEEFF"/>
            </w:tcBorders>
            <w:gridSpan w:val="4"/>
            <w:shd w:val="clear" w:color="auto" w:fill="CCEEFF"/>
          </w:tcPr>
          <w:p>
            <w:pPr>
              <w:spacing w:after="0"/>
              <w:rPr>
                <w:sz w:val="22"/>
                <w:szCs w:val="22"/>
                <w:color w:val="auto"/>
              </w:rPr>
            </w:pPr>
          </w:p>
        </w:tc>
        <w:tc>
          <w:tcPr>
            <w:tcW w:w="1020" w:type="dxa"/>
            <w:vAlign w:val="bottom"/>
            <w:tcBorders>
              <w:bottom w:val="single" w:sz="8" w:color="CCEEFF"/>
            </w:tcBorders>
            <w:gridSpan w:val="2"/>
            <w:shd w:val="clear" w:color="auto" w:fill="CCEEFF"/>
          </w:tcPr>
          <w:p>
            <w:pPr>
              <w:jc w:val="center"/>
              <w:ind w:right="80"/>
              <w:spacing w:after="0" w:line="216" w:lineRule="exact"/>
              <w:rPr>
                <w:sz w:val="20"/>
                <w:szCs w:val="20"/>
                <w:color w:val="auto"/>
              </w:rPr>
            </w:pPr>
            <w:r>
              <w:rPr>
                <w:rFonts w:ascii="Arial" w:cs="Arial" w:eastAsia="Arial" w:hAnsi="Arial"/>
                <w:sz w:val="20"/>
                <w:szCs w:val="20"/>
                <w:color w:val="auto"/>
                <w:w w:val="96"/>
              </w:rPr>
              <w:t>8-K</w:t>
            </w:r>
          </w:p>
        </w:tc>
        <w:tc>
          <w:tcPr>
            <w:tcW w:w="1560" w:type="dxa"/>
            <w:vAlign w:val="bottom"/>
            <w:tcBorders>
              <w:bottom w:val="single" w:sz="8" w:color="CCEEFF"/>
            </w:tcBorders>
            <w:shd w:val="clear" w:color="auto" w:fill="CCEEFF"/>
          </w:tcPr>
          <w:p>
            <w:pPr>
              <w:jc w:val="center"/>
              <w:spacing w:after="0" w:line="216" w:lineRule="exact"/>
              <w:rPr>
                <w:sz w:val="20"/>
                <w:szCs w:val="20"/>
                <w:color w:val="auto"/>
              </w:rPr>
            </w:pPr>
            <w:r>
              <w:rPr>
                <w:rFonts w:ascii="Arial" w:cs="Arial" w:eastAsia="Arial" w:hAnsi="Arial"/>
                <w:sz w:val="20"/>
                <w:szCs w:val="20"/>
                <w:color w:val="auto"/>
                <w:w w:val="96"/>
              </w:rPr>
              <w:t>8/11/2021</w:t>
            </w:r>
          </w:p>
        </w:tc>
        <w:tc>
          <w:tcPr>
            <w:tcW w:w="8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ind w:left="400"/>
              <w:spacing w:after="0" w:line="216" w:lineRule="exact"/>
              <w:rPr>
                <w:sz w:val="20"/>
                <w:szCs w:val="20"/>
                <w:color w:val="auto"/>
              </w:rPr>
            </w:pPr>
            <w:r>
              <w:rPr>
                <w:rFonts w:ascii="Arial" w:cs="Arial" w:eastAsia="Arial" w:hAnsi="Arial"/>
                <w:sz w:val="20"/>
                <w:szCs w:val="20"/>
                <w:color w:val="auto"/>
              </w:rPr>
              <w:t>3.1</w:t>
            </w:r>
          </w:p>
        </w:tc>
      </w:tr>
      <w:tr>
        <w:trPr>
          <w:trHeight w:val="216"/>
        </w:trPr>
        <w:tc>
          <w:tcPr>
            <w:tcW w:w="1540" w:type="dxa"/>
            <w:vAlign w:val="bottom"/>
          </w:tcPr>
          <w:p>
            <w:pPr>
              <w:jc w:val="center"/>
              <w:spacing w:after="0" w:line="216" w:lineRule="exact"/>
              <w:rPr>
                <w:sz w:val="20"/>
                <w:szCs w:val="20"/>
                <w:color w:val="auto"/>
              </w:rPr>
            </w:pPr>
            <w:r>
              <w:rPr>
                <w:rFonts w:ascii="Arial" w:cs="Arial" w:eastAsia="Arial" w:hAnsi="Arial"/>
                <w:sz w:val="20"/>
                <w:szCs w:val="20"/>
                <w:color w:val="auto"/>
                <w:w w:val="99"/>
              </w:rPr>
              <w:t>10.1*+</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840" w:type="dxa"/>
            <w:vAlign w:val="bottom"/>
            <w:gridSpan w:val="25"/>
          </w:tcPr>
          <w:p>
            <w:pPr>
              <w:spacing w:after="0" w:line="216" w:lineRule="exact"/>
              <w:rPr>
                <w:sz w:val="20"/>
                <w:szCs w:val="20"/>
                <w:color w:val="auto"/>
              </w:rPr>
            </w:pPr>
            <w:r>
              <w:rPr>
                <w:rFonts w:ascii="Arial" w:cs="Arial" w:eastAsia="Arial" w:hAnsi="Arial"/>
                <w:sz w:val="20"/>
                <w:szCs w:val="20"/>
                <w:color w:val="0000FF"/>
              </w:rPr>
              <w:t>Form of PSU Grant Notice and Award Agreement</w:t>
            </w: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34"/>
        </w:trPr>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360" w:type="dxa"/>
            <w:vAlign w:val="bottom"/>
            <w:tcBorders>
              <w:top w:val="single" w:sz="8" w:color="0000FF"/>
            </w:tcBorders>
          </w:tcPr>
          <w:p>
            <w:pPr>
              <w:spacing w:after="0"/>
              <w:rPr>
                <w:sz w:val="2"/>
                <w:szCs w:val="2"/>
                <w:color w:val="auto"/>
              </w:rPr>
            </w:pPr>
          </w:p>
        </w:tc>
        <w:tc>
          <w:tcPr>
            <w:tcW w:w="720" w:type="dxa"/>
            <w:vAlign w:val="bottom"/>
            <w:tcBorders>
              <w:top w:val="single" w:sz="8" w:color="0000FF"/>
            </w:tcBorders>
          </w:tcPr>
          <w:p>
            <w:pPr>
              <w:spacing w:after="0"/>
              <w:rPr>
                <w:sz w:val="2"/>
                <w:szCs w:val="2"/>
                <w:color w:val="auto"/>
              </w:rPr>
            </w:pPr>
          </w:p>
        </w:tc>
        <w:tc>
          <w:tcPr>
            <w:tcW w:w="12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130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120" w:type="dxa"/>
            <w:vAlign w:val="bottom"/>
            <w:tcBorders>
              <w:top w:val="single" w:sz="8" w:color="0000FF"/>
            </w:tcBorders>
          </w:tcPr>
          <w:p>
            <w:pPr>
              <w:spacing w:after="0"/>
              <w:rPr>
                <w:sz w:val="2"/>
                <w:szCs w:val="2"/>
                <w:color w:val="auto"/>
              </w:rPr>
            </w:pPr>
          </w:p>
        </w:tc>
        <w:tc>
          <w:tcPr>
            <w:tcW w:w="560" w:type="dxa"/>
            <w:vAlign w:val="bottom"/>
            <w:tcBorders>
              <w:top w:val="single" w:sz="8" w:color="0000FF"/>
            </w:tcBorders>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03"/>
        </w:trPr>
        <w:tc>
          <w:tcPr>
            <w:tcW w:w="1540" w:type="dxa"/>
            <w:vAlign w:val="bottom"/>
            <w:tcBorders>
              <w:bottom w:val="single" w:sz="8" w:color="CCEEFF"/>
            </w:tcBorders>
            <w:shd w:val="clear" w:color="auto" w:fill="CCEEFF"/>
          </w:tcPr>
          <w:p>
            <w:pPr>
              <w:jc w:val="center"/>
              <w:spacing w:after="0" w:line="203" w:lineRule="exact"/>
              <w:rPr>
                <w:sz w:val="20"/>
                <w:szCs w:val="20"/>
                <w:color w:val="auto"/>
              </w:rPr>
            </w:pPr>
            <w:r>
              <w:rPr>
                <w:rFonts w:ascii="Arial" w:cs="Arial" w:eastAsia="Arial" w:hAnsi="Arial"/>
                <w:sz w:val="20"/>
                <w:szCs w:val="20"/>
                <w:color w:val="auto"/>
                <w:w w:val="98"/>
              </w:rPr>
              <w:t>10.2*</w:t>
            </w:r>
          </w:p>
        </w:tc>
        <w:tc>
          <w:tcPr>
            <w:tcW w:w="12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5100" w:type="dxa"/>
            <w:vAlign w:val="bottom"/>
            <w:tcBorders>
              <w:bottom w:val="single" w:sz="8" w:color="0000FF"/>
            </w:tcBorders>
            <w:gridSpan w:val="13"/>
            <w:shd w:val="clear" w:color="auto" w:fill="CCEEFF"/>
          </w:tcPr>
          <w:p>
            <w:pPr>
              <w:spacing w:after="0" w:line="203" w:lineRule="exact"/>
              <w:rPr>
                <w:sz w:val="20"/>
                <w:szCs w:val="20"/>
                <w:color w:val="auto"/>
              </w:rPr>
            </w:pPr>
            <w:r>
              <w:rPr>
                <w:rFonts w:ascii="Arial" w:cs="Arial" w:eastAsia="Arial" w:hAnsi="Arial"/>
                <w:sz w:val="20"/>
                <w:szCs w:val="20"/>
                <w:color w:val="0000FF"/>
                <w:w w:val="98"/>
              </w:rPr>
              <w:t>First Amendment to Exhibit B “Construction Agreement” to</w:t>
            </w:r>
          </w:p>
        </w:tc>
        <w:tc>
          <w:tcPr>
            <w:tcW w:w="740" w:type="dxa"/>
            <w:vAlign w:val="bottom"/>
            <w:tcBorders>
              <w:bottom w:val="single" w:sz="8" w:color="CCEEFF"/>
            </w:tcBorders>
            <w:gridSpan w:val="12"/>
            <w:shd w:val="clear" w:color="auto" w:fill="CCEEFF"/>
          </w:tcPr>
          <w:p>
            <w:pPr>
              <w:spacing w:after="0"/>
              <w:rPr>
                <w:sz w:val="17"/>
                <w:szCs w:val="17"/>
                <w:color w:val="auto"/>
              </w:rPr>
            </w:pPr>
          </w:p>
        </w:tc>
        <w:tc>
          <w:tcPr>
            <w:tcW w:w="94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56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shd w:val="clear" w:color="auto" w:fill="CCEEFF"/>
          </w:tcPr>
          <w:p>
            <w:pPr>
              <w:spacing w:after="0"/>
              <w:rPr>
                <w:sz w:val="17"/>
                <w:szCs w:val="17"/>
                <w:color w:val="auto"/>
              </w:rPr>
            </w:pPr>
          </w:p>
        </w:tc>
      </w:tr>
      <w:tr>
        <w:trPr>
          <w:trHeight w:val="203"/>
        </w:trPr>
        <w:tc>
          <w:tcPr>
            <w:tcW w:w="1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840" w:type="dxa"/>
            <w:vAlign w:val="bottom"/>
            <w:gridSpan w:val="25"/>
            <w:shd w:val="clear" w:color="auto" w:fill="CCEEFF"/>
          </w:tcPr>
          <w:p>
            <w:pPr>
              <w:spacing w:after="0" w:line="183" w:lineRule="exact"/>
              <w:rPr>
                <w:sz w:val="20"/>
                <w:szCs w:val="20"/>
                <w:color w:val="auto"/>
              </w:rPr>
            </w:pPr>
            <w:r>
              <w:rPr>
                <w:rFonts w:ascii="Arial" w:cs="Arial" w:eastAsia="Arial" w:hAnsi="Arial"/>
                <w:sz w:val="20"/>
                <w:szCs w:val="20"/>
                <w:color w:val="0000FF"/>
              </w:rPr>
              <w:t>Industrial Triple Net Lease, dated July 25, 2024 by and between</w:t>
            </w:r>
          </w:p>
        </w:tc>
        <w:tc>
          <w:tcPr>
            <w:tcW w:w="9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r>
      <w:tr>
        <w:trPr>
          <w:trHeight w:val="149"/>
        </w:trPr>
        <w:tc>
          <w:tcPr>
            <w:tcW w:w="154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300" w:type="dxa"/>
            <w:vAlign w:val="bottom"/>
            <w:tcBorders>
              <w:top w:val="single" w:sz="8" w:color="0000FF"/>
            </w:tcBorders>
            <w:gridSpan w:val="4"/>
            <w:shd w:val="clear" w:color="auto" w:fill="CCEEFF"/>
          </w:tcPr>
          <w:p>
            <w:pPr>
              <w:spacing w:after="0" w:line="149" w:lineRule="exact"/>
              <w:rPr>
                <w:sz w:val="20"/>
                <w:szCs w:val="20"/>
                <w:color w:val="auto"/>
              </w:rPr>
            </w:pPr>
            <w:r>
              <w:rPr>
                <w:rFonts w:ascii="Arial" w:cs="Arial" w:eastAsia="Arial" w:hAnsi="Arial"/>
                <w:sz w:val="16"/>
                <w:szCs w:val="16"/>
                <w:color w:val="0000FF"/>
              </w:rPr>
              <w:t>GDC Sunshine, LLC and</w:t>
            </w:r>
          </w:p>
        </w:tc>
        <w:tc>
          <w:tcPr>
            <w:tcW w:w="1340" w:type="dxa"/>
            <w:vAlign w:val="bottom"/>
            <w:tcBorders>
              <w:top w:val="single" w:sz="8" w:color="0000FF"/>
            </w:tcBorders>
            <w:gridSpan w:val="2"/>
            <w:shd w:val="clear" w:color="auto" w:fill="CCEEFF"/>
          </w:tcPr>
          <w:p>
            <w:pPr>
              <w:spacing w:after="0" w:line="149" w:lineRule="exact"/>
              <w:rPr>
                <w:sz w:val="20"/>
                <w:szCs w:val="20"/>
                <w:color w:val="auto"/>
              </w:rPr>
            </w:pPr>
            <w:r>
              <w:rPr>
                <w:rFonts w:ascii="Arial" w:cs="Arial" w:eastAsia="Arial" w:hAnsi="Arial"/>
                <w:sz w:val="16"/>
                <w:szCs w:val="16"/>
                <w:color w:val="0000FF"/>
              </w:rPr>
              <w:t>Array Tech, Inc.</w:t>
            </w:r>
          </w:p>
        </w:tc>
        <w:tc>
          <w:tcPr>
            <w:tcW w:w="1160" w:type="dxa"/>
            <w:vAlign w:val="bottom"/>
            <w:tcBorders>
              <w:top w:val="single" w:sz="8" w:color="0000FF"/>
            </w:tcBorders>
            <w:gridSpan w:val="4"/>
            <w:shd w:val="clear" w:color="auto" w:fill="CCEEFF"/>
          </w:tcPr>
          <w:p>
            <w:pPr>
              <w:spacing w:after="0"/>
              <w:rPr>
                <w:sz w:val="12"/>
                <w:szCs w:val="12"/>
                <w:color w:val="auto"/>
              </w:rPr>
            </w:pPr>
          </w:p>
        </w:tc>
        <w:tc>
          <w:tcPr>
            <w:tcW w:w="160" w:type="dxa"/>
            <w:vAlign w:val="bottom"/>
            <w:tcBorders>
              <w:top w:val="single" w:sz="8" w:color="0000FF"/>
              <w:right w:val="single" w:sz="8" w:color="CCEEFF"/>
            </w:tcBorders>
            <w:shd w:val="clear" w:color="auto" w:fill="CCEEFF"/>
          </w:tcPr>
          <w:p>
            <w:pPr>
              <w:spacing w:after="0"/>
              <w:rPr>
                <w:sz w:val="12"/>
                <w:szCs w:val="12"/>
                <w:color w:val="auto"/>
              </w:rPr>
            </w:pPr>
          </w:p>
        </w:tc>
        <w:tc>
          <w:tcPr>
            <w:tcW w:w="40" w:type="dxa"/>
            <w:vAlign w:val="bottom"/>
            <w:tcBorders>
              <w:top w:val="single" w:sz="8" w:color="0000FF"/>
            </w:tcBorders>
            <w:shd w:val="clear" w:color="auto" w:fill="CCEEFF"/>
          </w:tcPr>
          <w:p>
            <w:pPr>
              <w:spacing w:after="0"/>
              <w:rPr>
                <w:sz w:val="12"/>
                <w:szCs w:val="12"/>
                <w:color w:val="auto"/>
              </w:rPr>
            </w:pPr>
          </w:p>
        </w:tc>
        <w:tc>
          <w:tcPr>
            <w:tcW w:w="540" w:type="dxa"/>
            <w:vAlign w:val="bottom"/>
            <w:tcBorders>
              <w:top w:val="single" w:sz="8" w:color="0000FF"/>
            </w:tcBorders>
            <w:gridSpan w:val="5"/>
            <w:shd w:val="clear" w:color="auto" w:fill="CCEEFF"/>
          </w:tcPr>
          <w:p>
            <w:pPr>
              <w:spacing w:after="0"/>
              <w:rPr>
                <w:sz w:val="12"/>
                <w:szCs w:val="12"/>
                <w:color w:val="auto"/>
              </w:rPr>
            </w:pPr>
          </w:p>
        </w:tc>
        <w:tc>
          <w:tcPr>
            <w:tcW w:w="40" w:type="dxa"/>
            <w:vAlign w:val="bottom"/>
            <w:tcBorders>
              <w:top w:val="single" w:sz="8" w:color="0000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gridSpan w:val="2"/>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gridSpan w:val="2"/>
            <w:shd w:val="clear" w:color="auto" w:fill="CCEEFF"/>
          </w:tcPr>
          <w:p>
            <w:pPr>
              <w:spacing w:after="0"/>
              <w:rPr>
                <w:sz w:val="12"/>
                <w:szCs w:val="12"/>
                <w:color w:val="auto"/>
              </w:rPr>
            </w:pPr>
          </w:p>
        </w:tc>
        <w:tc>
          <w:tcPr>
            <w:tcW w:w="94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56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060" w:type="dxa"/>
            <w:vAlign w:val="bottom"/>
            <w:tcBorders>
              <w:top w:val="single" w:sz="8" w:color="CCEEFF"/>
            </w:tcBorders>
            <w:shd w:val="clear" w:color="auto" w:fill="CCEEFF"/>
          </w:tcPr>
          <w:p>
            <w:pPr>
              <w:spacing w:after="0"/>
              <w:rPr>
                <w:sz w:val="12"/>
                <w:szCs w:val="12"/>
                <w:color w:val="auto"/>
              </w:rPr>
            </w:pPr>
          </w:p>
        </w:tc>
      </w:tr>
      <w:tr>
        <w:trPr>
          <w:trHeight w:val="34"/>
        </w:trPr>
        <w:tc>
          <w:tcPr>
            <w:tcW w:w="154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360" w:type="dxa"/>
            <w:vAlign w:val="bottom"/>
            <w:tcBorders>
              <w:top w:val="single" w:sz="8" w:color="0000FF"/>
            </w:tcBorders>
            <w:shd w:val="clear" w:color="auto" w:fill="CCEEFF"/>
          </w:tcPr>
          <w:p>
            <w:pPr>
              <w:spacing w:after="0"/>
              <w:rPr>
                <w:sz w:val="2"/>
                <w:szCs w:val="2"/>
                <w:color w:val="auto"/>
              </w:rPr>
            </w:pPr>
          </w:p>
        </w:tc>
        <w:tc>
          <w:tcPr>
            <w:tcW w:w="720" w:type="dxa"/>
            <w:vAlign w:val="bottom"/>
            <w:tcBorders>
              <w:top w:val="single" w:sz="8" w:color="0000FF"/>
            </w:tcBorders>
            <w:shd w:val="clear" w:color="auto" w:fill="CCEEFF"/>
          </w:tcPr>
          <w:p>
            <w:pPr>
              <w:spacing w:after="0"/>
              <w:rPr>
                <w:sz w:val="2"/>
                <w:szCs w:val="2"/>
                <w:color w:val="auto"/>
              </w:rPr>
            </w:pPr>
          </w:p>
        </w:tc>
        <w:tc>
          <w:tcPr>
            <w:tcW w:w="120" w:type="dxa"/>
            <w:vAlign w:val="bottom"/>
            <w:tcBorders>
              <w:top w:val="single" w:sz="8" w:color="0000FF"/>
            </w:tcBorders>
            <w:shd w:val="clear" w:color="auto" w:fill="CCEEFF"/>
          </w:tcPr>
          <w:p>
            <w:pPr>
              <w:spacing w:after="0"/>
              <w:rPr>
                <w:sz w:val="2"/>
                <w:szCs w:val="2"/>
                <w:color w:val="auto"/>
              </w:rPr>
            </w:pPr>
          </w:p>
        </w:tc>
        <w:tc>
          <w:tcPr>
            <w:tcW w:w="100" w:type="dxa"/>
            <w:vAlign w:val="bottom"/>
            <w:tcBorders>
              <w:top w:val="single" w:sz="8" w:color="0000FF"/>
            </w:tcBorders>
            <w:shd w:val="clear" w:color="auto" w:fill="CCEEFF"/>
          </w:tcPr>
          <w:p>
            <w:pPr>
              <w:spacing w:after="0"/>
              <w:rPr>
                <w:sz w:val="2"/>
                <w:szCs w:val="2"/>
                <w:color w:val="auto"/>
              </w:rPr>
            </w:pPr>
          </w:p>
        </w:tc>
        <w:tc>
          <w:tcPr>
            <w:tcW w:w="1300" w:type="dxa"/>
            <w:vAlign w:val="bottom"/>
            <w:tcBorders>
              <w:top w:val="single" w:sz="8" w:color="0000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56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right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9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5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060" w:type="dxa"/>
            <w:vAlign w:val="bottom"/>
            <w:tcBorders>
              <w:top w:val="single" w:sz="8" w:color="CCEEFF"/>
            </w:tcBorders>
            <w:shd w:val="clear" w:color="auto" w:fill="CCEEFF"/>
          </w:tcPr>
          <w:p>
            <w:pPr>
              <w:spacing w:after="0"/>
              <w:rPr>
                <w:sz w:val="2"/>
                <w:szCs w:val="2"/>
                <w:color w:val="auto"/>
              </w:rPr>
            </w:pPr>
          </w:p>
        </w:tc>
      </w:tr>
      <w:tr>
        <w:trPr>
          <w:trHeight w:val="203"/>
        </w:trPr>
        <w:tc>
          <w:tcPr>
            <w:tcW w:w="1540" w:type="dxa"/>
            <w:vAlign w:val="bottom"/>
          </w:tcPr>
          <w:p>
            <w:pPr>
              <w:jc w:val="center"/>
              <w:spacing w:after="0" w:line="203" w:lineRule="exact"/>
              <w:rPr>
                <w:sz w:val="20"/>
                <w:szCs w:val="20"/>
                <w:color w:val="auto"/>
              </w:rPr>
            </w:pPr>
            <w:r>
              <w:rPr>
                <w:rFonts w:ascii="Arial" w:cs="Arial" w:eastAsia="Arial" w:hAnsi="Arial"/>
                <w:sz w:val="20"/>
                <w:szCs w:val="20"/>
                <w:color w:val="auto"/>
                <w:w w:val="99"/>
              </w:rPr>
              <w:t>10.3*+</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840" w:type="dxa"/>
            <w:vAlign w:val="bottom"/>
            <w:gridSpan w:val="25"/>
          </w:tcPr>
          <w:p>
            <w:pPr>
              <w:spacing w:after="0" w:line="203" w:lineRule="exact"/>
              <w:rPr>
                <w:sz w:val="20"/>
                <w:szCs w:val="20"/>
                <w:color w:val="auto"/>
              </w:rPr>
            </w:pPr>
            <w:r>
              <w:rPr>
                <w:rFonts w:ascii="Arial" w:cs="Arial" w:eastAsia="Arial" w:hAnsi="Arial"/>
                <w:sz w:val="20"/>
                <w:szCs w:val="20"/>
                <w:color w:val="0000FF"/>
              </w:rPr>
              <w:t>Second Amendment to Industrial Triple Net Lease, dated</w:t>
            </w: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
        </w:trPr>
        <w:tc>
          <w:tcPr>
            <w:tcW w:w="1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60" w:type="dxa"/>
            <w:vAlign w:val="bottom"/>
            <w:shd w:val="clear" w:color="auto" w:fill="0000FF"/>
          </w:tcPr>
          <w:p>
            <w:pPr>
              <w:spacing w:after="0" w:line="20" w:lineRule="exact"/>
              <w:rPr>
                <w:sz w:val="1"/>
                <w:szCs w:val="1"/>
                <w:color w:val="auto"/>
              </w:rPr>
            </w:pPr>
          </w:p>
        </w:tc>
        <w:tc>
          <w:tcPr>
            <w:tcW w:w="3440" w:type="dxa"/>
            <w:vAlign w:val="bottom"/>
            <w:gridSpan w:val="9"/>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gridSpan w:val="5"/>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183"/>
        </w:trPr>
        <w:tc>
          <w:tcPr>
            <w:tcW w:w="1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840" w:type="dxa"/>
            <w:vAlign w:val="bottom"/>
            <w:gridSpan w:val="25"/>
          </w:tcPr>
          <w:p>
            <w:pPr>
              <w:spacing w:after="0" w:line="183" w:lineRule="exact"/>
              <w:rPr>
                <w:sz w:val="20"/>
                <w:szCs w:val="20"/>
                <w:color w:val="auto"/>
              </w:rPr>
            </w:pPr>
            <w:r>
              <w:rPr>
                <w:rFonts w:ascii="Arial" w:cs="Arial" w:eastAsia="Arial" w:hAnsi="Arial"/>
                <w:sz w:val="20"/>
                <w:szCs w:val="20"/>
                <w:color w:val="0000FF"/>
              </w:rPr>
              <w:t>September 26, 2024, by and between GDC Sunshine, LLC and</w:t>
            </w: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169"/>
        </w:trPr>
        <w:tc>
          <w:tcPr>
            <w:tcW w:w="1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540" w:type="dxa"/>
            <w:vAlign w:val="bottom"/>
            <w:tcBorders>
              <w:top w:val="single" w:sz="8" w:color="0000FF"/>
            </w:tcBorders>
            <w:gridSpan w:val="17"/>
          </w:tcPr>
          <w:p>
            <w:pPr>
              <w:spacing w:after="0" w:line="169" w:lineRule="exact"/>
              <w:rPr>
                <w:sz w:val="20"/>
                <w:szCs w:val="20"/>
                <w:color w:val="auto"/>
              </w:rPr>
            </w:pPr>
            <w:r>
              <w:rPr>
                <w:rFonts w:ascii="Arial" w:cs="Arial" w:eastAsia="Arial" w:hAnsi="Arial"/>
                <w:sz w:val="19"/>
                <w:szCs w:val="19"/>
                <w:color w:val="0000FF"/>
              </w:rPr>
              <w:t>Array Tech, Inc.</w:t>
            </w:r>
          </w:p>
        </w:tc>
        <w:tc>
          <w:tcPr>
            <w:tcW w:w="60" w:type="dxa"/>
            <w:vAlign w:val="bottom"/>
            <w:gridSpan w:val="2"/>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gridSpan w:val="2"/>
          </w:tcPr>
          <w:p>
            <w:pPr>
              <w:spacing w:after="0"/>
              <w:rPr>
                <w:sz w:val="14"/>
                <w:szCs w:val="14"/>
                <w:color w:val="auto"/>
              </w:rPr>
            </w:pP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34"/>
        </w:trPr>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360" w:type="dxa"/>
            <w:vAlign w:val="bottom"/>
            <w:tcBorders>
              <w:top w:val="single" w:sz="8" w:color="0000FF"/>
            </w:tcBorders>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02"/>
        </w:trPr>
        <w:tc>
          <w:tcPr>
            <w:tcW w:w="1540" w:type="dxa"/>
            <w:vAlign w:val="bottom"/>
            <w:shd w:val="clear" w:color="auto" w:fill="CCEEFF"/>
          </w:tcPr>
          <w:p>
            <w:pPr>
              <w:jc w:val="center"/>
              <w:spacing w:after="0" w:line="203" w:lineRule="exact"/>
              <w:rPr>
                <w:sz w:val="20"/>
                <w:szCs w:val="20"/>
                <w:color w:val="auto"/>
              </w:rPr>
            </w:pPr>
            <w:r>
              <w:rPr>
                <w:rFonts w:ascii="Arial" w:cs="Arial" w:eastAsia="Arial" w:hAnsi="Arial"/>
                <w:sz w:val="20"/>
                <w:szCs w:val="20"/>
                <w:color w:val="auto"/>
                <w:w w:val="99"/>
              </w:rPr>
              <w:t>10.4*+</w:t>
            </w: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840" w:type="dxa"/>
            <w:vAlign w:val="bottom"/>
            <w:gridSpan w:val="25"/>
            <w:shd w:val="clear" w:color="auto" w:fill="CCEEFF"/>
          </w:tcPr>
          <w:p>
            <w:pPr>
              <w:spacing w:after="0" w:line="203" w:lineRule="exact"/>
              <w:rPr>
                <w:sz w:val="20"/>
                <w:szCs w:val="20"/>
                <w:color w:val="auto"/>
              </w:rPr>
            </w:pPr>
            <w:r>
              <w:rPr>
                <w:rFonts w:ascii="Arial" w:cs="Arial" w:eastAsia="Arial" w:hAnsi="Arial"/>
                <w:sz w:val="20"/>
                <w:szCs w:val="20"/>
                <w:color w:val="0000FF"/>
              </w:rPr>
              <w:t>Third Amendment to Industrial Triple Net Lease, dated October 4,</w:t>
            </w:r>
          </w:p>
        </w:tc>
        <w:tc>
          <w:tcPr>
            <w:tcW w:w="9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r>
      <w:tr>
        <w:trPr>
          <w:trHeight w:val="183"/>
        </w:trPr>
        <w:tc>
          <w:tcPr>
            <w:tcW w:w="154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4800" w:type="dxa"/>
            <w:vAlign w:val="bottom"/>
            <w:tcBorders>
              <w:top w:val="single" w:sz="8" w:color="0000FF"/>
            </w:tcBorders>
            <w:gridSpan w:val="10"/>
            <w:shd w:val="clear" w:color="auto" w:fill="CCEEFF"/>
          </w:tcPr>
          <w:p>
            <w:pPr>
              <w:spacing w:after="0" w:line="183" w:lineRule="exact"/>
              <w:rPr>
                <w:sz w:val="20"/>
                <w:szCs w:val="20"/>
                <w:color w:val="auto"/>
              </w:rPr>
            </w:pPr>
            <w:r>
              <w:rPr>
                <w:rFonts w:ascii="Arial" w:cs="Arial" w:eastAsia="Arial" w:hAnsi="Arial"/>
                <w:sz w:val="20"/>
                <w:szCs w:val="20"/>
                <w:color w:val="0000FF"/>
              </w:rPr>
              <w:t>2025, by and between GDC Sunshine, LLC and Array</w:t>
            </w:r>
          </w:p>
        </w:tc>
        <w:tc>
          <w:tcPr>
            <w:tcW w:w="940" w:type="dxa"/>
            <w:vAlign w:val="bottom"/>
            <w:tcBorders>
              <w:top w:val="single" w:sz="8" w:color="0000FF"/>
            </w:tcBorders>
            <w:gridSpan w:val="13"/>
            <w:shd w:val="clear" w:color="auto" w:fill="CCEEFF"/>
          </w:tcPr>
          <w:p>
            <w:pPr>
              <w:spacing w:after="0" w:line="183" w:lineRule="exact"/>
              <w:rPr>
                <w:sz w:val="20"/>
                <w:szCs w:val="20"/>
                <w:color w:val="auto"/>
              </w:rPr>
            </w:pPr>
            <w:r>
              <w:rPr>
                <w:rFonts w:ascii="Arial" w:cs="Arial" w:eastAsia="Arial" w:hAnsi="Arial"/>
                <w:sz w:val="20"/>
                <w:szCs w:val="20"/>
                <w:color w:val="0000FF"/>
              </w:rPr>
              <w:t>Tech, Inc.</w:t>
            </w:r>
          </w:p>
        </w:tc>
        <w:tc>
          <w:tcPr>
            <w:tcW w:w="100" w:type="dxa"/>
            <w:vAlign w:val="bottom"/>
            <w:tcBorders>
              <w:top w:val="single" w:sz="8" w:color="CCEEFF"/>
            </w:tcBorders>
            <w:gridSpan w:val="2"/>
            <w:shd w:val="clear" w:color="auto" w:fill="CCEEFF"/>
          </w:tcPr>
          <w:p>
            <w:pPr>
              <w:spacing w:after="0"/>
              <w:rPr>
                <w:sz w:val="15"/>
                <w:szCs w:val="15"/>
                <w:color w:val="auto"/>
              </w:rPr>
            </w:pPr>
          </w:p>
        </w:tc>
        <w:tc>
          <w:tcPr>
            <w:tcW w:w="94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56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060" w:type="dxa"/>
            <w:vAlign w:val="bottom"/>
            <w:tcBorders>
              <w:top w:val="single" w:sz="8" w:color="CCEEFF"/>
            </w:tcBorders>
            <w:shd w:val="clear" w:color="auto" w:fill="CCEEFF"/>
          </w:tcPr>
          <w:p>
            <w:pPr>
              <w:spacing w:after="0"/>
              <w:rPr>
                <w:sz w:val="15"/>
                <w:szCs w:val="15"/>
                <w:color w:val="auto"/>
              </w:rPr>
            </w:pPr>
          </w:p>
        </w:tc>
      </w:tr>
      <w:tr>
        <w:trPr>
          <w:trHeight w:val="21"/>
        </w:trPr>
        <w:tc>
          <w:tcPr>
            <w:tcW w:w="15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360" w:type="dxa"/>
            <w:vAlign w:val="bottom"/>
            <w:tcBorders>
              <w:top w:val="single" w:sz="8" w:color="0000FF"/>
            </w:tcBorders>
            <w:shd w:val="clear" w:color="auto" w:fill="CCEEFF"/>
          </w:tcPr>
          <w:p>
            <w:pPr>
              <w:spacing w:after="0" w:line="20" w:lineRule="exact"/>
              <w:rPr>
                <w:sz w:val="1"/>
                <w:szCs w:val="1"/>
                <w:color w:val="auto"/>
              </w:rPr>
            </w:pPr>
          </w:p>
        </w:tc>
        <w:tc>
          <w:tcPr>
            <w:tcW w:w="72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130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560" w:type="dxa"/>
            <w:vAlign w:val="bottom"/>
            <w:tcBorders>
              <w:top w:val="single" w:sz="8" w:color="0000FF"/>
            </w:tcBorders>
            <w:shd w:val="clear" w:color="auto" w:fill="CCEEFF"/>
          </w:tcPr>
          <w:p>
            <w:pPr>
              <w:spacing w:after="0" w:line="20" w:lineRule="exact"/>
              <w:rPr>
                <w:sz w:val="1"/>
                <w:szCs w:val="1"/>
                <w:color w:val="auto"/>
              </w:rPr>
            </w:pPr>
          </w:p>
        </w:tc>
        <w:tc>
          <w:tcPr>
            <w:tcW w:w="34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right w:val="single" w:sz="8" w:color="CCEE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26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5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CCEEFF"/>
            </w:tcBorders>
            <w:shd w:val="clear" w:color="auto" w:fill="CCEEFF"/>
          </w:tcPr>
          <w:p>
            <w:pPr>
              <w:spacing w:after="0" w:line="20" w:lineRule="exact"/>
              <w:rPr>
                <w:sz w:val="1"/>
                <w:szCs w:val="1"/>
                <w:color w:val="auto"/>
              </w:rPr>
            </w:pPr>
          </w:p>
        </w:tc>
      </w:tr>
      <w:tr>
        <w:trPr>
          <w:trHeight w:val="202"/>
        </w:trPr>
        <w:tc>
          <w:tcPr>
            <w:tcW w:w="1540" w:type="dxa"/>
            <w:vAlign w:val="bottom"/>
          </w:tcPr>
          <w:p>
            <w:pPr>
              <w:jc w:val="center"/>
              <w:spacing w:after="0" w:line="203" w:lineRule="exact"/>
              <w:rPr>
                <w:sz w:val="20"/>
                <w:szCs w:val="20"/>
                <w:color w:val="auto"/>
              </w:rPr>
            </w:pPr>
            <w:r>
              <w:rPr>
                <w:rFonts w:ascii="Arial" w:cs="Arial" w:eastAsia="Arial" w:hAnsi="Arial"/>
                <w:sz w:val="20"/>
                <w:szCs w:val="20"/>
                <w:color w:val="auto"/>
                <w:w w:val="98"/>
              </w:rPr>
              <w:t>31.1*</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840" w:type="dxa"/>
            <w:vAlign w:val="bottom"/>
            <w:gridSpan w:val="25"/>
          </w:tcPr>
          <w:p>
            <w:pPr>
              <w:spacing w:after="0" w:line="203" w:lineRule="exact"/>
              <w:rPr>
                <w:sz w:val="20"/>
                <w:szCs w:val="20"/>
                <w:color w:val="auto"/>
              </w:rPr>
            </w:pPr>
            <w:r>
              <w:rPr>
                <w:rFonts w:ascii="Arial" w:cs="Arial" w:eastAsia="Arial" w:hAnsi="Arial"/>
                <w:sz w:val="20"/>
                <w:szCs w:val="20"/>
                <w:color w:val="0000FF"/>
              </w:rPr>
              <w:t>Certification of the Chief Executive Officer, as required by Section</w:t>
            </w: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183"/>
        </w:trPr>
        <w:tc>
          <w:tcPr>
            <w:tcW w:w="1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720" w:type="dxa"/>
            <w:vAlign w:val="bottom"/>
            <w:tcBorders>
              <w:top w:val="single" w:sz="8" w:color="0000FF"/>
            </w:tcBorders>
            <w:gridSpan w:val="22"/>
          </w:tcPr>
          <w:p>
            <w:pPr>
              <w:spacing w:after="0" w:line="183" w:lineRule="exact"/>
              <w:rPr>
                <w:sz w:val="20"/>
                <w:szCs w:val="20"/>
                <w:color w:val="auto"/>
              </w:rPr>
            </w:pPr>
            <w:r>
              <w:rPr>
                <w:rFonts w:ascii="Arial" w:cs="Arial" w:eastAsia="Arial" w:hAnsi="Arial"/>
                <w:sz w:val="20"/>
                <w:szCs w:val="20"/>
                <w:color w:val="0000FF"/>
              </w:rPr>
              <w:t>302 of the Sarbanes- Oxley Act of 2002 (18 U.S.C. 1350)</w:t>
            </w:r>
          </w:p>
        </w:tc>
        <w:tc>
          <w:tcPr>
            <w:tcW w:w="120" w:type="dxa"/>
            <w:vAlign w:val="bottom"/>
            <w:gridSpan w:val="3"/>
          </w:tcPr>
          <w:p>
            <w:pPr>
              <w:spacing w:after="0"/>
              <w:rPr>
                <w:sz w:val="15"/>
                <w:szCs w:val="15"/>
                <w:color w:val="auto"/>
              </w:rPr>
            </w:pP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21"/>
        </w:trPr>
        <w:tc>
          <w:tcPr>
            <w:tcW w:w="1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60" w:type="dxa"/>
            <w:vAlign w:val="bottom"/>
            <w:tcBorders>
              <w:top w:val="single" w:sz="8" w:color="0000FF"/>
            </w:tcBorders>
          </w:tcPr>
          <w:p>
            <w:pPr>
              <w:spacing w:after="0" w:line="20" w:lineRule="exact"/>
              <w:rPr>
                <w:sz w:val="1"/>
                <w:szCs w:val="1"/>
                <w:color w:val="auto"/>
              </w:rPr>
            </w:pPr>
          </w:p>
        </w:tc>
        <w:tc>
          <w:tcPr>
            <w:tcW w:w="72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3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560" w:type="dxa"/>
            <w:vAlign w:val="bottom"/>
            <w:tcBorders>
              <w:top w:val="single" w:sz="8" w:color="0000FF"/>
            </w:tcBorders>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203"/>
        </w:trPr>
        <w:tc>
          <w:tcPr>
            <w:tcW w:w="1540" w:type="dxa"/>
            <w:vAlign w:val="bottom"/>
            <w:shd w:val="clear" w:color="auto" w:fill="CCEEFF"/>
          </w:tcPr>
          <w:p>
            <w:pPr>
              <w:jc w:val="center"/>
              <w:spacing w:after="0" w:line="203" w:lineRule="exact"/>
              <w:rPr>
                <w:sz w:val="20"/>
                <w:szCs w:val="20"/>
                <w:color w:val="auto"/>
              </w:rPr>
            </w:pPr>
            <w:r>
              <w:rPr>
                <w:rFonts w:ascii="Arial" w:cs="Arial" w:eastAsia="Arial" w:hAnsi="Arial"/>
                <w:sz w:val="20"/>
                <w:szCs w:val="20"/>
                <w:color w:val="auto"/>
                <w:w w:val="98"/>
              </w:rPr>
              <w:t>31.2*</w:t>
            </w: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840" w:type="dxa"/>
            <w:vAlign w:val="bottom"/>
            <w:gridSpan w:val="25"/>
            <w:shd w:val="clear" w:color="auto" w:fill="CCEEFF"/>
          </w:tcPr>
          <w:p>
            <w:pPr>
              <w:spacing w:after="0" w:line="203" w:lineRule="exact"/>
              <w:rPr>
                <w:sz w:val="20"/>
                <w:szCs w:val="20"/>
                <w:color w:val="auto"/>
              </w:rPr>
            </w:pPr>
            <w:r>
              <w:rPr>
                <w:rFonts w:ascii="Arial" w:cs="Arial" w:eastAsia="Arial" w:hAnsi="Arial"/>
                <w:sz w:val="20"/>
                <w:szCs w:val="20"/>
                <w:color w:val="0000FF"/>
              </w:rPr>
              <w:t>Certification of the Chief Financial Officer, as required by Section</w:t>
            </w:r>
          </w:p>
        </w:tc>
        <w:tc>
          <w:tcPr>
            <w:tcW w:w="9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r>
      <w:tr>
        <w:trPr>
          <w:trHeight w:val="203"/>
        </w:trPr>
        <w:tc>
          <w:tcPr>
            <w:tcW w:w="154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5000" w:type="dxa"/>
            <w:vAlign w:val="bottom"/>
            <w:tcBorders>
              <w:top w:val="single" w:sz="8" w:color="0000FF"/>
              <w:bottom w:val="single" w:sz="8" w:color="0000FF"/>
            </w:tcBorders>
            <w:gridSpan w:val="12"/>
            <w:shd w:val="clear" w:color="auto" w:fill="CCEEFF"/>
          </w:tcPr>
          <w:p>
            <w:pPr>
              <w:spacing w:after="0" w:line="183" w:lineRule="exact"/>
              <w:rPr>
                <w:sz w:val="20"/>
                <w:szCs w:val="20"/>
                <w:color w:val="auto"/>
              </w:rPr>
            </w:pPr>
            <w:r>
              <w:rPr>
                <w:rFonts w:ascii="Arial" w:cs="Arial" w:eastAsia="Arial" w:hAnsi="Arial"/>
                <w:sz w:val="20"/>
                <w:szCs w:val="20"/>
                <w:color w:val="0000FF"/>
                <w:w w:val="98"/>
              </w:rPr>
              <w:t>302 of the Sarbanes- Oxley Act of 2002 (18 U.S.C. 1350)</w:t>
            </w:r>
          </w:p>
        </w:tc>
        <w:tc>
          <w:tcPr>
            <w:tcW w:w="660" w:type="dxa"/>
            <w:vAlign w:val="bottom"/>
            <w:tcBorders>
              <w:top w:val="single" w:sz="8" w:color="0000FF"/>
              <w:bottom w:val="single" w:sz="8" w:color="CCEEFF"/>
            </w:tcBorders>
            <w:gridSpan w:val="8"/>
            <w:shd w:val="clear" w:color="auto" w:fill="CCEEFF"/>
          </w:tcPr>
          <w:p>
            <w:pPr>
              <w:spacing w:after="0"/>
              <w:rPr>
                <w:sz w:val="17"/>
                <w:szCs w:val="17"/>
                <w:color w:val="auto"/>
              </w:rPr>
            </w:pPr>
          </w:p>
        </w:tc>
        <w:tc>
          <w:tcPr>
            <w:tcW w:w="180" w:type="dxa"/>
            <w:vAlign w:val="bottom"/>
            <w:tcBorders>
              <w:top w:val="single" w:sz="8" w:color="CCEEFF"/>
              <w:bottom w:val="single" w:sz="8" w:color="CCEEFF"/>
            </w:tcBorders>
            <w:gridSpan w:val="5"/>
            <w:shd w:val="clear" w:color="auto" w:fill="CCEEFF"/>
          </w:tcPr>
          <w:p>
            <w:pPr>
              <w:spacing w:after="0"/>
              <w:rPr>
                <w:sz w:val="17"/>
                <w:szCs w:val="17"/>
                <w:color w:val="auto"/>
              </w:rPr>
            </w:pPr>
          </w:p>
        </w:tc>
        <w:tc>
          <w:tcPr>
            <w:tcW w:w="94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56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060" w:type="dxa"/>
            <w:vAlign w:val="bottom"/>
            <w:tcBorders>
              <w:top w:val="single" w:sz="8" w:color="CCEEFF"/>
              <w:bottom w:val="single" w:sz="8" w:color="CCEEFF"/>
            </w:tcBorders>
            <w:shd w:val="clear" w:color="auto" w:fill="CCEEFF"/>
          </w:tcPr>
          <w:p>
            <w:pPr>
              <w:spacing w:after="0"/>
              <w:rPr>
                <w:sz w:val="17"/>
                <w:szCs w:val="17"/>
                <w:color w:val="auto"/>
              </w:rPr>
            </w:pPr>
          </w:p>
        </w:tc>
      </w:tr>
      <w:tr>
        <w:trPr>
          <w:trHeight w:val="202"/>
        </w:trPr>
        <w:tc>
          <w:tcPr>
            <w:tcW w:w="1540" w:type="dxa"/>
            <w:vAlign w:val="bottom"/>
          </w:tcPr>
          <w:p>
            <w:pPr>
              <w:jc w:val="center"/>
              <w:spacing w:after="0" w:line="203" w:lineRule="exact"/>
              <w:rPr>
                <w:sz w:val="20"/>
                <w:szCs w:val="20"/>
                <w:color w:val="auto"/>
              </w:rPr>
            </w:pPr>
            <w:r>
              <w:rPr>
                <w:rFonts w:ascii="Arial" w:cs="Arial" w:eastAsia="Arial" w:hAnsi="Arial"/>
                <w:sz w:val="20"/>
                <w:szCs w:val="20"/>
                <w:color w:val="auto"/>
                <w:w w:val="98"/>
              </w:rPr>
              <w:t>32.1*</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840" w:type="dxa"/>
            <w:vAlign w:val="bottom"/>
            <w:gridSpan w:val="25"/>
          </w:tcPr>
          <w:p>
            <w:pPr>
              <w:spacing w:after="0" w:line="203" w:lineRule="exact"/>
              <w:rPr>
                <w:sz w:val="20"/>
                <w:szCs w:val="20"/>
                <w:color w:val="auto"/>
              </w:rPr>
            </w:pPr>
            <w:r>
              <w:rPr>
                <w:rFonts w:ascii="Arial" w:cs="Arial" w:eastAsia="Arial" w:hAnsi="Arial"/>
                <w:sz w:val="20"/>
                <w:szCs w:val="20"/>
                <w:color w:val="0000FF"/>
              </w:rPr>
              <w:t>Certification of the Chief Executive Officer, as required by Section</w:t>
            </w: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183"/>
        </w:trPr>
        <w:tc>
          <w:tcPr>
            <w:tcW w:w="1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720" w:type="dxa"/>
            <w:vAlign w:val="bottom"/>
            <w:tcBorders>
              <w:top w:val="single" w:sz="8" w:color="0000FF"/>
            </w:tcBorders>
            <w:gridSpan w:val="22"/>
          </w:tcPr>
          <w:p>
            <w:pPr>
              <w:spacing w:after="0" w:line="183" w:lineRule="exact"/>
              <w:rPr>
                <w:sz w:val="20"/>
                <w:szCs w:val="20"/>
                <w:color w:val="auto"/>
              </w:rPr>
            </w:pPr>
            <w:r>
              <w:rPr>
                <w:rFonts w:ascii="Arial" w:cs="Arial" w:eastAsia="Arial" w:hAnsi="Arial"/>
                <w:sz w:val="20"/>
                <w:szCs w:val="20"/>
                <w:color w:val="0000FF"/>
              </w:rPr>
              <w:t>906 of the Sarbanes-Oxley Act of 2002 (18 U.S.C. 1350)</w:t>
            </w:r>
          </w:p>
        </w:tc>
        <w:tc>
          <w:tcPr>
            <w:tcW w:w="120" w:type="dxa"/>
            <w:vAlign w:val="bottom"/>
            <w:gridSpan w:val="3"/>
          </w:tcPr>
          <w:p>
            <w:pPr>
              <w:spacing w:after="0"/>
              <w:rPr>
                <w:sz w:val="15"/>
                <w:szCs w:val="15"/>
                <w:color w:val="auto"/>
              </w:rPr>
            </w:pP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21"/>
        </w:trPr>
        <w:tc>
          <w:tcPr>
            <w:tcW w:w="1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60" w:type="dxa"/>
            <w:vAlign w:val="bottom"/>
            <w:tcBorders>
              <w:top w:val="single" w:sz="8" w:color="0000FF"/>
            </w:tcBorders>
          </w:tcPr>
          <w:p>
            <w:pPr>
              <w:spacing w:after="0" w:line="20" w:lineRule="exact"/>
              <w:rPr>
                <w:sz w:val="1"/>
                <w:szCs w:val="1"/>
                <w:color w:val="auto"/>
              </w:rPr>
            </w:pPr>
          </w:p>
        </w:tc>
        <w:tc>
          <w:tcPr>
            <w:tcW w:w="72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3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560" w:type="dxa"/>
            <w:vAlign w:val="bottom"/>
            <w:tcBorders>
              <w:top w:val="single" w:sz="8" w:color="0000FF"/>
            </w:tcBorders>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203"/>
        </w:trPr>
        <w:tc>
          <w:tcPr>
            <w:tcW w:w="1540" w:type="dxa"/>
            <w:vAlign w:val="bottom"/>
            <w:shd w:val="clear" w:color="auto" w:fill="CCEEFF"/>
          </w:tcPr>
          <w:p>
            <w:pPr>
              <w:jc w:val="center"/>
              <w:spacing w:after="0" w:line="203" w:lineRule="exact"/>
              <w:rPr>
                <w:sz w:val="20"/>
                <w:szCs w:val="20"/>
                <w:color w:val="auto"/>
              </w:rPr>
            </w:pPr>
            <w:r>
              <w:rPr>
                <w:rFonts w:ascii="Arial" w:cs="Arial" w:eastAsia="Arial" w:hAnsi="Arial"/>
                <w:sz w:val="20"/>
                <w:szCs w:val="20"/>
                <w:color w:val="auto"/>
                <w:w w:val="98"/>
              </w:rPr>
              <w:t>32.2*</w:t>
            </w: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840" w:type="dxa"/>
            <w:vAlign w:val="bottom"/>
            <w:gridSpan w:val="25"/>
            <w:shd w:val="clear" w:color="auto" w:fill="CCEEFF"/>
          </w:tcPr>
          <w:p>
            <w:pPr>
              <w:spacing w:after="0" w:line="203" w:lineRule="exact"/>
              <w:rPr>
                <w:sz w:val="20"/>
                <w:szCs w:val="20"/>
                <w:color w:val="auto"/>
              </w:rPr>
            </w:pPr>
            <w:r>
              <w:rPr>
                <w:rFonts w:ascii="Arial" w:cs="Arial" w:eastAsia="Arial" w:hAnsi="Arial"/>
                <w:sz w:val="20"/>
                <w:szCs w:val="20"/>
                <w:color w:val="0000FF"/>
              </w:rPr>
              <w:t>Certification of the Chief Financial Officer, as required by Section</w:t>
            </w:r>
          </w:p>
        </w:tc>
        <w:tc>
          <w:tcPr>
            <w:tcW w:w="9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r>
      <w:tr>
        <w:trPr>
          <w:trHeight w:val="183"/>
        </w:trPr>
        <w:tc>
          <w:tcPr>
            <w:tcW w:w="154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5660" w:type="dxa"/>
            <w:vAlign w:val="bottom"/>
            <w:tcBorders>
              <w:top w:val="single" w:sz="8" w:color="0000FF"/>
            </w:tcBorders>
            <w:gridSpan w:val="20"/>
            <w:shd w:val="clear" w:color="auto" w:fill="CCEEFF"/>
          </w:tcPr>
          <w:p>
            <w:pPr>
              <w:spacing w:after="0" w:line="183" w:lineRule="exact"/>
              <w:rPr>
                <w:sz w:val="20"/>
                <w:szCs w:val="20"/>
                <w:color w:val="auto"/>
              </w:rPr>
            </w:pPr>
            <w:r>
              <w:rPr>
                <w:rFonts w:ascii="Arial" w:cs="Arial" w:eastAsia="Arial" w:hAnsi="Arial"/>
                <w:sz w:val="20"/>
                <w:szCs w:val="20"/>
                <w:color w:val="0000FF"/>
              </w:rPr>
              <w:t>906 of the Sarbanes-Oxley Act of 2002 (18 U.S.C. 1350)</w:t>
            </w:r>
          </w:p>
        </w:tc>
        <w:tc>
          <w:tcPr>
            <w:tcW w:w="180" w:type="dxa"/>
            <w:vAlign w:val="bottom"/>
            <w:tcBorders>
              <w:top w:val="single" w:sz="8" w:color="CCEEFF"/>
            </w:tcBorders>
            <w:gridSpan w:val="5"/>
            <w:shd w:val="clear" w:color="auto" w:fill="CCEEFF"/>
          </w:tcPr>
          <w:p>
            <w:pPr>
              <w:spacing w:after="0"/>
              <w:rPr>
                <w:sz w:val="15"/>
                <w:szCs w:val="15"/>
                <w:color w:val="auto"/>
              </w:rPr>
            </w:pPr>
          </w:p>
        </w:tc>
        <w:tc>
          <w:tcPr>
            <w:tcW w:w="94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56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060" w:type="dxa"/>
            <w:vAlign w:val="bottom"/>
            <w:tcBorders>
              <w:top w:val="single" w:sz="8" w:color="CCEEFF"/>
            </w:tcBorders>
            <w:shd w:val="clear" w:color="auto" w:fill="CCEEFF"/>
          </w:tcPr>
          <w:p>
            <w:pPr>
              <w:spacing w:after="0"/>
              <w:rPr>
                <w:sz w:val="15"/>
                <w:szCs w:val="15"/>
                <w:color w:val="auto"/>
              </w:rPr>
            </w:pPr>
          </w:p>
        </w:tc>
      </w:tr>
      <w:tr>
        <w:trPr>
          <w:trHeight w:val="21"/>
        </w:trPr>
        <w:tc>
          <w:tcPr>
            <w:tcW w:w="15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360" w:type="dxa"/>
            <w:vAlign w:val="bottom"/>
            <w:tcBorders>
              <w:top w:val="single" w:sz="8" w:color="0000FF"/>
            </w:tcBorders>
            <w:shd w:val="clear" w:color="auto" w:fill="CCEEFF"/>
          </w:tcPr>
          <w:p>
            <w:pPr>
              <w:spacing w:after="0" w:line="20" w:lineRule="exact"/>
              <w:rPr>
                <w:sz w:val="1"/>
                <w:szCs w:val="1"/>
                <w:color w:val="auto"/>
              </w:rPr>
            </w:pPr>
          </w:p>
        </w:tc>
        <w:tc>
          <w:tcPr>
            <w:tcW w:w="72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130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560" w:type="dxa"/>
            <w:vAlign w:val="bottom"/>
            <w:tcBorders>
              <w:top w:val="single" w:sz="8" w:color="0000FF"/>
            </w:tcBorders>
            <w:shd w:val="clear" w:color="auto" w:fill="CCEEFF"/>
          </w:tcPr>
          <w:p>
            <w:pPr>
              <w:spacing w:after="0" w:line="20" w:lineRule="exact"/>
              <w:rPr>
                <w:sz w:val="1"/>
                <w:szCs w:val="1"/>
                <w:color w:val="auto"/>
              </w:rPr>
            </w:pPr>
          </w:p>
        </w:tc>
        <w:tc>
          <w:tcPr>
            <w:tcW w:w="34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right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5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CCEEFF"/>
            </w:tcBorders>
            <w:shd w:val="clear" w:color="auto" w:fill="CCEEFF"/>
          </w:tcPr>
          <w:p>
            <w:pPr>
              <w:spacing w:after="0" w:line="20" w:lineRule="exact"/>
              <w:rPr>
                <w:sz w:val="1"/>
                <w:szCs w:val="1"/>
                <w:color w:val="auto"/>
              </w:rPr>
            </w:pPr>
          </w:p>
        </w:tc>
      </w:tr>
      <w:tr>
        <w:trPr>
          <w:trHeight w:val="194"/>
        </w:trPr>
        <w:tc>
          <w:tcPr>
            <w:tcW w:w="1660" w:type="dxa"/>
            <w:vAlign w:val="bottom"/>
            <w:gridSpan w:val="2"/>
          </w:tcPr>
          <w:p>
            <w:pPr>
              <w:ind w:left="420"/>
              <w:spacing w:after="0" w:line="194" w:lineRule="exact"/>
              <w:rPr>
                <w:sz w:val="20"/>
                <w:szCs w:val="20"/>
                <w:color w:val="auto"/>
              </w:rPr>
            </w:pPr>
            <w:r>
              <w:rPr>
                <w:rFonts w:ascii="Arial" w:cs="Arial" w:eastAsia="Arial" w:hAnsi="Arial"/>
                <w:sz w:val="20"/>
                <w:szCs w:val="20"/>
                <w:color w:val="auto"/>
              </w:rPr>
              <w:t>101.INS</w:t>
            </w:r>
          </w:p>
        </w:tc>
        <w:tc>
          <w:tcPr>
            <w:tcW w:w="20" w:type="dxa"/>
            <w:vAlign w:val="bottom"/>
          </w:tcPr>
          <w:p>
            <w:pPr>
              <w:spacing w:after="0"/>
              <w:rPr>
                <w:sz w:val="16"/>
                <w:szCs w:val="16"/>
                <w:color w:val="auto"/>
              </w:rPr>
            </w:pPr>
          </w:p>
        </w:tc>
        <w:tc>
          <w:tcPr>
            <w:tcW w:w="5840" w:type="dxa"/>
            <w:vAlign w:val="bottom"/>
            <w:gridSpan w:val="25"/>
          </w:tcPr>
          <w:p>
            <w:pPr>
              <w:spacing w:after="0" w:line="194" w:lineRule="exact"/>
              <w:rPr>
                <w:sz w:val="20"/>
                <w:szCs w:val="20"/>
                <w:color w:val="auto"/>
              </w:rPr>
            </w:pPr>
            <w:r>
              <w:rPr>
                <w:rFonts w:ascii="Arial" w:cs="Arial" w:eastAsia="Arial" w:hAnsi="Arial"/>
                <w:sz w:val="20"/>
                <w:szCs w:val="20"/>
                <w:color w:val="auto"/>
              </w:rPr>
              <w:t>XBRL Instance Document – the instance document does not</w:t>
            </w: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197"/>
        </w:trPr>
        <w:tc>
          <w:tcPr>
            <w:tcW w:w="1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840" w:type="dxa"/>
            <w:vAlign w:val="bottom"/>
            <w:gridSpan w:val="25"/>
          </w:tcPr>
          <w:p>
            <w:pPr>
              <w:spacing w:after="0" w:line="197" w:lineRule="exact"/>
              <w:rPr>
                <w:sz w:val="20"/>
                <w:szCs w:val="20"/>
                <w:color w:val="auto"/>
              </w:rPr>
            </w:pPr>
            <w:r>
              <w:rPr>
                <w:rFonts w:ascii="Arial" w:cs="Arial" w:eastAsia="Arial" w:hAnsi="Arial"/>
                <w:sz w:val="20"/>
                <w:szCs w:val="20"/>
                <w:color w:val="auto"/>
              </w:rPr>
              <w:t>appear in the Interactive Data file because its XBRL tags are</w:t>
            </w: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57"/>
        </w:trPr>
        <w:tc>
          <w:tcPr>
            <w:tcW w:w="15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5840" w:type="dxa"/>
            <w:vAlign w:val="bottom"/>
            <w:gridSpan w:val="25"/>
          </w:tcPr>
          <w:p>
            <w:pPr>
              <w:spacing w:after="0"/>
              <w:rPr>
                <w:sz w:val="20"/>
                <w:szCs w:val="20"/>
                <w:color w:val="auto"/>
              </w:rPr>
            </w:pPr>
            <w:r>
              <w:rPr>
                <w:rFonts w:ascii="Arial" w:cs="Arial" w:eastAsia="Arial" w:hAnsi="Arial"/>
                <w:sz w:val="20"/>
                <w:szCs w:val="20"/>
                <w:color w:val="auto"/>
              </w:rPr>
              <w:t>embedded within the Inline XBRL document</w:t>
            </w:r>
          </w:p>
        </w:tc>
        <w:tc>
          <w:tcPr>
            <w:tcW w:w="9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60" w:type="dxa"/>
            <w:vAlign w:val="bottom"/>
          </w:tcPr>
          <w:p>
            <w:pPr>
              <w:spacing w:after="0"/>
              <w:rPr>
                <w:sz w:val="22"/>
                <w:szCs w:val="22"/>
                <w:color w:val="auto"/>
              </w:rPr>
            </w:pPr>
          </w:p>
        </w:tc>
      </w:tr>
      <w:tr>
        <w:trPr>
          <w:trHeight w:val="256"/>
        </w:trPr>
        <w:tc>
          <w:tcPr>
            <w:tcW w:w="1660" w:type="dxa"/>
            <w:vAlign w:val="bottom"/>
            <w:gridSpan w:val="2"/>
            <w:shd w:val="clear" w:color="auto" w:fill="CCEEFF"/>
          </w:tcPr>
          <w:p>
            <w:pPr>
              <w:ind w:left="380"/>
              <w:spacing w:after="0"/>
              <w:rPr>
                <w:sz w:val="20"/>
                <w:szCs w:val="20"/>
                <w:color w:val="auto"/>
              </w:rPr>
            </w:pPr>
            <w:r>
              <w:rPr>
                <w:rFonts w:ascii="Arial" w:cs="Arial" w:eastAsia="Arial" w:hAnsi="Arial"/>
                <w:sz w:val="20"/>
                <w:szCs w:val="20"/>
                <w:color w:val="auto"/>
              </w:rPr>
              <w:t>101.SCH</w:t>
            </w:r>
          </w:p>
        </w:tc>
        <w:tc>
          <w:tcPr>
            <w:tcW w:w="20" w:type="dxa"/>
            <w:vAlign w:val="bottom"/>
            <w:shd w:val="clear" w:color="auto" w:fill="CCEEFF"/>
          </w:tcPr>
          <w:p>
            <w:pPr>
              <w:spacing w:after="0"/>
              <w:rPr>
                <w:sz w:val="22"/>
                <w:szCs w:val="22"/>
                <w:color w:val="auto"/>
              </w:rPr>
            </w:pPr>
          </w:p>
        </w:tc>
        <w:tc>
          <w:tcPr>
            <w:tcW w:w="5840" w:type="dxa"/>
            <w:vAlign w:val="bottom"/>
            <w:gridSpan w:val="25"/>
            <w:shd w:val="clear" w:color="auto" w:fill="CCEEFF"/>
          </w:tcPr>
          <w:p>
            <w:pPr>
              <w:spacing w:after="0"/>
              <w:rPr>
                <w:sz w:val="20"/>
                <w:szCs w:val="20"/>
                <w:color w:val="auto"/>
              </w:rPr>
            </w:pPr>
            <w:r>
              <w:rPr>
                <w:rFonts w:ascii="Arial" w:cs="Arial" w:eastAsia="Arial" w:hAnsi="Arial"/>
                <w:sz w:val="20"/>
                <w:szCs w:val="20"/>
                <w:color w:val="auto"/>
              </w:rPr>
              <w:t>XBRL Taxonomy Extension Schema Document</w:t>
            </w:r>
          </w:p>
        </w:tc>
        <w:tc>
          <w:tcPr>
            <w:tcW w:w="9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5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r>
      <w:tr>
        <w:trPr>
          <w:trHeight w:val="257"/>
        </w:trPr>
        <w:tc>
          <w:tcPr>
            <w:tcW w:w="1660" w:type="dxa"/>
            <w:vAlign w:val="bottom"/>
            <w:gridSpan w:val="2"/>
          </w:tcPr>
          <w:p>
            <w:pPr>
              <w:ind w:left="400"/>
              <w:spacing w:after="0"/>
              <w:rPr>
                <w:sz w:val="20"/>
                <w:szCs w:val="20"/>
                <w:color w:val="auto"/>
              </w:rPr>
            </w:pPr>
            <w:r>
              <w:rPr>
                <w:rFonts w:ascii="Arial" w:cs="Arial" w:eastAsia="Arial" w:hAnsi="Arial"/>
                <w:sz w:val="20"/>
                <w:szCs w:val="20"/>
                <w:color w:val="auto"/>
              </w:rPr>
              <w:t>101.CAL</w:t>
            </w:r>
          </w:p>
        </w:tc>
        <w:tc>
          <w:tcPr>
            <w:tcW w:w="20" w:type="dxa"/>
            <w:vAlign w:val="bottom"/>
          </w:tcPr>
          <w:p>
            <w:pPr>
              <w:spacing w:after="0"/>
              <w:rPr>
                <w:sz w:val="22"/>
                <w:szCs w:val="22"/>
                <w:color w:val="auto"/>
              </w:rPr>
            </w:pPr>
          </w:p>
        </w:tc>
        <w:tc>
          <w:tcPr>
            <w:tcW w:w="5840" w:type="dxa"/>
            <w:vAlign w:val="bottom"/>
            <w:gridSpan w:val="25"/>
          </w:tcPr>
          <w:p>
            <w:pPr>
              <w:spacing w:after="0"/>
              <w:rPr>
                <w:sz w:val="20"/>
                <w:szCs w:val="20"/>
                <w:color w:val="auto"/>
              </w:rPr>
            </w:pPr>
            <w:r>
              <w:rPr>
                <w:rFonts w:ascii="Arial" w:cs="Arial" w:eastAsia="Arial" w:hAnsi="Arial"/>
                <w:sz w:val="20"/>
                <w:szCs w:val="20"/>
                <w:color w:val="auto"/>
              </w:rPr>
              <w:t>XBRL Taxonomy Extension Calculation Linkbase Document</w:t>
            </w:r>
          </w:p>
        </w:tc>
        <w:tc>
          <w:tcPr>
            <w:tcW w:w="9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60" w:type="dxa"/>
            <w:vAlign w:val="bottom"/>
          </w:tcPr>
          <w:p>
            <w:pPr>
              <w:spacing w:after="0"/>
              <w:rPr>
                <w:sz w:val="22"/>
                <w:szCs w:val="22"/>
                <w:color w:val="auto"/>
              </w:rPr>
            </w:pPr>
          </w:p>
        </w:tc>
      </w:tr>
      <w:tr>
        <w:trPr>
          <w:trHeight w:val="256"/>
        </w:trPr>
        <w:tc>
          <w:tcPr>
            <w:tcW w:w="1660" w:type="dxa"/>
            <w:vAlign w:val="bottom"/>
            <w:gridSpan w:val="2"/>
            <w:shd w:val="clear" w:color="auto" w:fill="CCEEFF"/>
          </w:tcPr>
          <w:p>
            <w:pPr>
              <w:ind w:left="380"/>
              <w:spacing w:after="0"/>
              <w:rPr>
                <w:sz w:val="20"/>
                <w:szCs w:val="20"/>
                <w:color w:val="auto"/>
              </w:rPr>
            </w:pPr>
            <w:r>
              <w:rPr>
                <w:rFonts w:ascii="Arial" w:cs="Arial" w:eastAsia="Arial" w:hAnsi="Arial"/>
                <w:sz w:val="20"/>
                <w:szCs w:val="20"/>
                <w:color w:val="auto"/>
              </w:rPr>
              <w:t>101.DEF</w:t>
            </w:r>
          </w:p>
        </w:tc>
        <w:tc>
          <w:tcPr>
            <w:tcW w:w="20" w:type="dxa"/>
            <w:vAlign w:val="bottom"/>
            <w:shd w:val="clear" w:color="auto" w:fill="CCEEFF"/>
          </w:tcPr>
          <w:p>
            <w:pPr>
              <w:spacing w:after="0"/>
              <w:rPr>
                <w:sz w:val="22"/>
                <w:szCs w:val="22"/>
                <w:color w:val="auto"/>
              </w:rPr>
            </w:pPr>
          </w:p>
        </w:tc>
        <w:tc>
          <w:tcPr>
            <w:tcW w:w="5840" w:type="dxa"/>
            <w:vAlign w:val="bottom"/>
            <w:gridSpan w:val="25"/>
            <w:shd w:val="clear" w:color="auto" w:fill="CCEEFF"/>
          </w:tcPr>
          <w:p>
            <w:pPr>
              <w:spacing w:after="0"/>
              <w:rPr>
                <w:sz w:val="20"/>
                <w:szCs w:val="20"/>
                <w:color w:val="auto"/>
              </w:rPr>
            </w:pPr>
            <w:r>
              <w:rPr>
                <w:rFonts w:ascii="Arial" w:cs="Arial" w:eastAsia="Arial" w:hAnsi="Arial"/>
                <w:sz w:val="20"/>
                <w:szCs w:val="20"/>
                <w:color w:val="auto"/>
              </w:rPr>
              <w:t>XBRL Taxonomy Extension Definition Linkbase Document</w:t>
            </w:r>
          </w:p>
        </w:tc>
        <w:tc>
          <w:tcPr>
            <w:tcW w:w="9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5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r>
      <w:tr>
        <w:trPr>
          <w:trHeight w:val="257"/>
        </w:trPr>
        <w:tc>
          <w:tcPr>
            <w:tcW w:w="1660" w:type="dxa"/>
            <w:vAlign w:val="bottom"/>
            <w:gridSpan w:val="2"/>
          </w:tcPr>
          <w:p>
            <w:pPr>
              <w:ind w:left="400"/>
              <w:spacing w:after="0"/>
              <w:rPr>
                <w:sz w:val="20"/>
                <w:szCs w:val="20"/>
                <w:color w:val="auto"/>
              </w:rPr>
            </w:pPr>
            <w:r>
              <w:rPr>
                <w:rFonts w:ascii="Arial" w:cs="Arial" w:eastAsia="Arial" w:hAnsi="Arial"/>
                <w:sz w:val="20"/>
                <w:szCs w:val="20"/>
                <w:color w:val="auto"/>
              </w:rPr>
              <w:t>101.LAB</w:t>
            </w:r>
          </w:p>
        </w:tc>
        <w:tc>
          <w:tcPr>
            <w:tcW w:w="20" w:type="dxa"/>
            <w:vAlign w:val="bottom"/>
          </w:tcPr>
          <w:p>
            <w:pPr>
              <w:spacing w:after="0"/>
              <w:rPr>
                <w:sz w:val="22"/>
                <w:szCs w:val="22"/>
                <w:color w:val="auto"/>
              </w:rPr>
            </w:pPr>
          </w:p>
        </w:tc>
        <w:tc>
          <w:tcPr>
            <w:tcW w:w="5840" w:type="dxa"/>
            <w:vAlign w:val="bottom"/>
            <w:gridSpan w:val="25"/>
          </w:tcPr>
          <w:p>
            <w:pPr>
              <w:spacing w:after="0"/>
              <w:rPr>
                <w:sz w:val="20"/>
                <w:szCs w:val="20"/>
                <w:color w:val="auto"/>
              </w:rPr>
            </w:pPr>
            <w:r>
              <w:rPr>
                <w:rFonts w:ascii="Arial" w:cs="Arial" w:eastAsia="Arial" w:hAnsi="Arial"/>
                <w:sz w:val="20"/>
                <w:szCs w:val="20"/>
                <w:color w:val="auto"/>
              </w:rPr>
              <w:t>XBRL Taxonomy Extension Presentation Linkbase Document</w:t>
            </w:r>
          </w:p>
        </w:tc>
        <w:tc>
          <w:tcPr>
            <w:tcW w:w="9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60" w:type="dxa"/>
            <w:vAlign w:val="bottom"/>
          </w:tcPr>
          <w:p>
            <w:pPr>
              <w:spacing w:after="0"/>
              <w:rPr>
                <w:sz w:val="22"/>
                <w:szCs w:val="22"/>
                <w:color w:val="auto"/>
              </w:rPr>
            </w:pPr>
          </w:p>
        </w:tc>
      </w:tr>
      <w:tr>
        <w:trPr>
          <w:trHeight w:val="256"/>
        </w:trPr>
        <w:tc>
          <w:tcPr>
            <w:tcW w:w="1660" w:type="dxa"/>
            <w:vAlign w:val="bottom"/>
            <w:gridSpan w:val="2"/>
            <w:shd w:val="clear" w:color="auto" w:fill="CCEEFF"/>
          </w:tcPr>
          <w:p>
            <w:pPr>
              <w:ind w:left="380"/>
              <w:spacing w:after="0"/>
              <w:rPr>
                <w:sz w:val="20"/>
                <w:szCs w:val="20"/>
                <w:color w:val="auto"/>
              </w:rPr>
            </w:pPr>
            <w:r>
              <w:rPr>
                <w:rFonts w:ascii="Arial" w:cs="Arial" w:eastAsia="Arial" w:hAnsi="Arial"/>
                <w:sz w:val="20"/>
                <w:szCs w:val="20"/>
                <w:color w:val="auto"/>
              </w:rPr>
              <w:t>101.PRE</w:t>
            </w:r>
          </w:p>
        </w:tc>
        <w:tc>
          <w:tcPr>
            <w:tcW w:w="20" w:type="dxa"/>
            <w:vAlign w:val="bottom"/>
            <w:shd w:val="clear" w:color="auto" w:fill="CCEEFF"/>
          </w:tcPr>
          <w:p>
            <w:pPr>
              <w:spacing w:after="0"/>
              <w:rPr>
                <w:sz w:val="22"/>
                <w:szCs w:val="22"/>
                <w:color w:val="auto"/>
              </w:rPr>
            </w:pPr>
          </w:p>
        </w:tc>
        <w:tc>
          <w:tcPr>
            <w:tcW w:w="5840" w:type="dxa"/>
            <w:vAlign w:val="bottom"/>
            <w:gridSpan w:val="25"/>
            <w:shd w:val="clear" w:color="auto" w:fill="CCEEFF"/>
          </w:tcPr>
          <w:p>
            <w:pPr>
              <w:spacing w:after="0"/>
              <w:rPr>
                <w:sz w:val="20"/>
                <w:szCs w:val="20"/>
                <w:color w:val="auto"/>
              </w:rPr>
            </w:pPr>
            <w:r>
              <w:rPr>
                <w:rFonts w:ascii="Arial" w:cs="Arial" w:eastAsia="Arial" w:hAnsi="Arial"/>
                <w:sz w:val="20"/>
                <w:szCs w:val="20"/>
                <w:color w:val="auto"/>
              </w:rPr>
              <w:t>XBRL Taxonomy Extension Presentation Linkbase Document</w:t>
            </w:r>
          </w:p>
        </w:tc>
        <w:tc>
          <w:tcPr>
            <w:tcW w:w="9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5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r>
    </w:tbl>
    <w:p>
      <w:pPr>
        <w:ind w:left="1680" w:hanging="1068"/>
        <w:spacing w:after="0"/>
        <w:tabs>
          <w:tab w:leader="none" w:pos="1680" w:val="left"/>
        </w:tabs>
        <w:numPr>
          <w:ilvl w:val="1"/>
          <w:numId w:val="28"/>
        </w:numPr>
        <w:rPr>
          <w:rFonts w:ascii="Arial" w:cs="Arial" w:eastAsia="Arial" w:hAnsi="Arial"/>
          <w:sz w:val="20"/>
          <w:szCs w:val="20"/>
          <w:color w:val="auto"/>
        </w:rPr>
      </w:pPr>
      <w:r>
        <w:rPr>
          <w:rFonts w:ascii="Arial" w:cs="Arial" w:eastAsia="Arial" w:hAnsi="Arial"/>
          <w:sz w:val="20"/>
          <w:szCs w:val="20"/>
          <w:color w:val="auto"/>
        </w:rPr>
        <w:t>Cover Page Interactive Data Files</w:t>
      </w:r>
    </w:p>
    <w:p>
      <w:pPr>
        <w:spacing w:after="0" w:line="355" w:lineRule="exact"/>
        <w:rPr>
          <w:rFonts w:ascii="Arial" w:cs="Arial" w:eastAsia="Arial" w:hAnsi="Arial"/>
          <w:sz w:val="20"/>
          <w:szCs w:val="20"/>
          <w:color w:val="auto"/>
        </w:rPr>
      </w:pPr>
    </w:p>
    <w:p>
      <w:pPr>
        <w:spacing w:after="0"/>
        <w:rPr>
          <w:rFonts w:ascii="Arial" w:cs="Arial" w:eastAsia="Arial" w:hAnsi="Arial"/>
          <w:sz w:val="20"/>
          <w:szCs w:val="20"/>
          <w:color w:val="auto"/>
        </w:rPr>
      </w:pPr>
      <w:r>
        <w:rPr>
          <w:rFonts w:ascii="Arial" w:cs="Arial" w:eastAsia="Arial" w:hAnsi="Arial"/>
          <w:sz w:val="20"/>
          <w:szCs w:val="20"/>
          <w:color w:val="auto"/>
        </w:rPr>
        <w:t>* Filed herewith</w:t>
      </w:r>
    </w:p>
    <w:p>
      <w:pPr>
        <w:spacing w:after="0" w:line="31" w:lineRule="exact"/>
        <w:rPr>
          <w:sz w:val="20"/>
          <w:szCs w:val="20"/>
          <w:color w:val="auto"/>
        </w:rPr>
      </w:pPr>
    </w:p>
    <w:p>
      <w:pPr>
        <w:ind w:right="640" w:firstLine="8"/>
        <w:spacing w:after="0" w:line="281" w:lineRule="auto"/>
        <w:tabs>
          <w:tab w:leader="none" w:pos="175" w:val="left"/>
        </w:tabs>
        <w:numPr>
          <w:ilvl w:val="0"/>
          <w:numId w:val="29"/>
        </w:numPr>
        <w:rPr>
          <w:rFonts w:ascii="Arial" w:cs="Arial" w:eastAsia="Arial" w:hAnsi="Arial"/>
          <w:sz w:val="20"/>
          <w:szCs w:val="20"/>
          <w:color w:val="auto"/>
        </w:rPr>
      </w:pPr>
      <w:r>
        <w:rPr>
          <w:rFonts w:ascii="Arial" w:cs="Arial" w:eastAsia="Arial" w:hAnsi="Arial"/>
          <w:sz w:val="20"/>
          <w:szCs w:val="20"/>
          <w:color w:val="auto"/>
        </w:rPr>
        <w:t>Certain exhibits and schedules have been omitted pursuant to Regulation S-K Item 601(a)(5) and will be furnished on a supplemental basis to the Securities and Exchange Commission upon request.</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44" w:right="339" w:bottom="1440" w:gutter="0" w:footer="0" w:header="0"/>
        </w:sectPr>
      </w:pPr>
    </w:p>
    <w:bookmarkStart w:id="72" w:name="page73"/>
    <w:bookmarkEnd w:id="72"/>
    <w:p>
      <w:pPr>
        <w:jc w:val="center"/>
        <w:ind w:right="-119"/>
        <w:spacing w:after="0"/>
        <w:rPr>
          <w:sz w:val="20"/>
          <w:szCs w:val="20"/>
          <w:color w:val="auto"/>
        </w:rPr>
      </w:pPr>
      <w:r>
        <w:rPr>
          <w:rFonts w:ascii="Arial" w:cs="Arial" w:eastAsia="Arial" w:hAnsi="Arial"/>
          <w:sz w:val="20"/>
          <w:szCs w:val="20"/>
          <w:b w:val="1"/>
          <w:bCs w:val="1"/>
          <w:color w:val="auto"/>
        </w:rPr>
        <w:t>SIGNATURES</w:t>
      </w:r>
    </w:p>
    <w:p>
      <w:pPr>
        <w:spacing w:after="0" w:line="200" w:lineRule="exact"/>
        <w:rPr>
          <w:sz w:val="20"/>
          <w:szCs w:val="20"/>
          <w:color w:val="auto"/>
        </w:rPr>
      </w:pPr>
    </w:p>
    <w:p>
      <w:pPr>
        <w:spacing w:after="0" w:line="301" w:lineRule="exact"/>
        <w:rPr>
          <w:sz w:val="20"/>
          <w:szCs w:val="20"/>
          <w:color w:val="auto"/>
        </w:rPr>
      </w:pPr>
    </w:p>
    <w:p>
      <w:pPr>
        <w:spacing w:after="0" w:line="300" w:lineRule="auto"/>
        <w:rPr>
          <w:sz w:val="20"/>
          <w:szCs w:val="20"/>
          <w:color w:val="auto"/>
        </w:rPr>
      </w:pPr>
      <w:r>
        <w:rPr>
          <w:rFonts w:ascii="Arial" w:cs="Arial" w:eastAsia="Arial" w:hAnsi="Arial"/>
          <w:sz w:val="20"/>
          <w:szCs w:val="20"/>
          <w:color w:val="auto"/>
        </w:rPr>
        <w:t>Pursuant to the requirements of the Securities Exchange Act of 1934, as amended, the registrant has duly caused this report to be signed on its behalf by the undersigned, thereunto duly authorized.</w:t>
      </w:r>
    </w:p>
    <w:p>
      <w:pPr>
        <w:spacing w:after="0" w:line="168" w:lineRule="exact"/>
        <w:rPr>
          <w:sz w:val="20"/>
          <w:szCs w:val="20"/>
          <w:color w:val="auto"/>
        </w:rPr>
      </w:pPr>
    </w:p>
    <w:p>
      <w:pPr>
        <w:spacing w:after="0"/>
        <w:rPr>
          <w:sz w:val="20"/>
          <w:szCs w:val="20"/>
          <w:color w:val="auto"/>
        </w:rPr>
      </w:pPr>
      <w:r>
        <w:rPr>
          <w:rFonts w:ascii="Arial" w:cs="Arial" w:eastAsia="Arial" w:hAnsi="Arial"/>
          <w:sz w:val="20"/>
          <w:szCs w:val="20"/>
          <w:color w:val="auto"/>
        </w:rPr>
        <w:t>Array Technologies, Inc.</w:t>
      </w:r>
    </w:p>
    <w:p>
      <w:pPr>
        <w:spacing w:after="0" w:line="200" w:lineRule="exact"/>
        <w:rPr>
          <w:sz w:val="20"/>
          <w:szCs w:val="20"/>
          <w:color w:val="auto"/>
        </w:rPr>
      </w:pPr>
    </w:p>
    <w:p>
      <w:pPr>
        <w:spacing w:after="0" w:line="326" w:lineRule="exact"/>
        <w:rPr>
          <w:sz w:val="20"/>
          <w:szCs w:val="20"/>
          <w:color w:val="auto"/>
        </w:rPr>
      </w:pPr>
    </w:p>
    <w:tbl>
      <w:tblPr>
        <w:tblLayout w:type="fixed"/>
        <w:tblInd w:w="20" w:type="dxa"/>
        <w:tblCellMar>
          <w:top w:w="0" w:type="dxa"/>
          <w:left w:w="0" w:type="dxa"/>
          <w:bottom w:w="0" w:type="dxa"/>
          <w:right w:w="0" w:type="dxa"/>
        </w:tblCellMar>
      </w:tblPr>
      <w:tr>
        <w:trPr>
          <w:trHeight w:val="263"/>
        </w:trPr>
        <w:tc>
          <w:tcPr>
            <w:tcW w:w="860" w:type="dxa"/>
            <w:vAlign w:val="bottom"/>
          </w:tcPr>
          <w:p>
            <w:pPr>
              <w:spacing w:after="0"/>
              <w:rPr>
                <w:sz w:val="20"/>
                <w:szCs w:val="20"/>
                <w:color w:val="auto"/>
              </w:rPr>
            </w:pPr>
            <w:r>
              <w:rPr>
                <w:rFonts w:ascii="Arial" w:cs="Arial" w:eastAsia="Arial" w:hAnsi="Arial"/>
                <w:sz w:val="20"/>
                <w:szCs w:val="20"/>
                <w:color w:val="auto"/>
              </w:rPr>
              <w:t>By:</w:t>
            </w:r>
          </w:p>
        </w:tc>
        <w:tc>
          <w:tcPr>
            <w:tcW w:w="3320" w:type="dxa"/>
            <w:vAlign w:val="bottom"/>
            <w:tcBorders>
              <w:bottom w:val="single" w:sz="8" w:color="auto"/>
            </w:tcBorders>
          </w:tcPr>
          <w:p>
            <w:pPr>
              <w:ind w:left="20"/>
              <w:spacing w:after="0"/>
              <w:rPr>
                <w:sz w:val="20"/>
                <w:szCs w:val="20"/>
                <w:color w:val="auto"/>
              </w:rPr>
            </w:pPr>
            <w:r>
              <w:rPr>
                <w:rFonts w:ascii="Arial" w:cs="Arial" w:eastAsia="Arial" w:hAnsi="Arial"/>
                <w:sz w:val="20"/>
                <w:szCs w:val="20"/>
                <w:color w:val="auto"/>
              </w:rPr>
              <w:t>/s/ Kevin G. Hostetler</w:t>
            </w:r>
          </w:p>
        </w:tc>
        <w:tc>
          <w:tcPr>
            <w:tcW w:w="1840" w:type="dxa"/>
            <w:vAlign w:val="bottom"/>
            <w:tcBorders>
              <w:bottom w:val="single" w:sz="8" w:color="auto"/>
            </w:tcBorders>
          </w:tcPr>
          <w:p>
            <w:pPr>
              <w:spacing w:after="0"/>
              <w:rPr>
                <w:sz w:val="22"/>
                <w:szCs w:val="22"/>
                <w:color w:val="auto"/>
              </w:rPr>
            </w:pPr>
          </w:p>
        </w:tc>
        <w:tc>
          <w:tcPr>
            <w:tcW w:w="2060" w:type="dxa"/>
            <w:vAlign w:val="bottom"/>
          </w:tcPr>
          <w:p>
            <w:pPr>
              <w:ind w:left="1580"/>
              <w:spacing w:after="0"/>
              <w:rPr>
                <w:sz w:val="20"/>
                <w:szCs w:val="20"/>
                <w:color w:val="auto"/>
              </w:rPr>
            </w:pPr>
            <w:r>
              <w:rPr>
                <w:rFonts w:ascii="Arial" w:cs="Arial" w:eastAsia="Arial" w:hAnsi="Arial"/>
                <w:sz w:val="20"/>
                <w:szCs w:val="20"/>
                <w:color w:val="auto"/>
                <w:w w:val="96"/>
              </w:rPr>
              <w:t>Date:</w:t>
            </w:r>
          </w:p>
        </w:tc>
        <w:tc>
          <w:tcPr>
            <w:tcW w:w="2700" w:type="dxa"/>
            <w:vAlign w:val="bottom"/>
            <w:tcBorders>
              <w:bottom w:val="single" w:sz="8" w:color="auto"/>
            </w:tcBorders>
          </w:tcPr>
          <w:p>
            <w:pPr>
              <w:ind w:left="540"/>
              <w:spacing w:after="0"/>
              <w:rPr>
                <w:sz w:val="20"/>
                <w:szCs w:val="20"/>
                <w:color w:val="auto"/>
              </w:rPr>
            </w:pPr>
            <w:r>
              <w:rPr>
                <w:rFonts w:ascii="Arial" w:cs="Arial" w:eastAsia="Arial" w:hAnsi="Arial"/>
                <w:sz w:val="20"/>
                <w:szCs w:val="20"/>
                <w:color w:val="auto"/>
              </w:rPr>
              <w:t>November 5, 2025</w:t>
            </w:r>
          </w:p>
        </w:tc>
      </w:tr>
      <w:tr>
        <w:trPr>
          <w:trHeight w:val="244"/>
        </w:trPr>
        <w:tc>
          <w:tcPr>
            <w:tcW w:w="860" w:type="dxa"/>
            <w:vAlign w:val="bottom"/>
          </w:tcPr>
          <w:p>
            <w:pPr>
              <w:spacing w:after="0"/>
              <w:rPr>
                <w:sz w:val="21"/>
                <w:szCs w:val="21"/>
                <w:color w:val="auto"/>
              </w:rPr>
            </w:pPr>
          </w:p>
        </w:tc>
        <w:tc>
          <w:tcPr>
            <w:tcW w:w="3320" w:type="dxa"/>
            <w:vAlign w:val="bottom"/>
          </w:tcPr>
          <w:p>
            <w:pPr>
              <w:ind w:left="20"/>
              <w:spacing w:after="0"/>
              <w:rPr>
                <w:sz w:val="20"/>
                <w:szCs w:val="20"/>
                <w:color w:val="auto"/>
              </w:rPr>
            </w:pPr>
            <w:r>
              <w:rPr>
                <w:rFonts w:ascii="Arial" w:cs="Arial" w:eastAsia="Arial" w:hAnsi="Arial"/>
                <w:sz w:val="20"/>
                <w:szCs w:val="20"/>
                <w:color w:val="auto"/>
              </w:rPr>
              <w:t>Kevin G. Hostetler</w:t>
            </w:r>
          </w:p>
        </w:tc>
        <w:tc>
          <w:tcPr>
            <w:tcW w:w="1840" w:type="dxa"/>
            <w:vAlign w:val="bottom"/>
          </w:tcPr>
          <w:p>
            <w:pPr>
              <w:spacing w:after="0"/>
              <w:rPr>
                <w:sz w:val="21"/>
                <w:szCs w:val="21"/>
                <w:color w:val="auto"/>
              </w:rPr>
            </w:pPr>
          </w:p>
        </w:tc>
        <w:tc>
          <w:tcPr>
            <w:tcW w:w="2060" w:type="dxa"/>
            <w:vAlign w:val="bottom"/>
          </w:tcPr>
          <w:p>
            <w:pPr>
              <w:spacing w:after="0"/>
              <w:rPr>
                <w:sz w:val="21"/>
                <w:szCs w:val="21"/>
                <w:color w:val="auto"/>
              </w:rPr>
            </w:pPr>
          </w:p>
        </w:tc>
        <w:tc>
          <w:tcPr>
            <w:tcW w:w="2700" w:type="dxa"/>
            <w:vAlign w:val="bottom"/>
          </w:tcPr>
          <w:p>
            <w:pPr>
              <w:spacing w:after="0"/>
              <w:rPr>
                <w:sz w:val="21"/>
                <w:szCs w:val="21"/>
                <w:color w:val="auto"/>
              </w:rPr>
            </w:pPr>
          </w:p>
        </w:tc>
      </w:tr>
      <w:tr>
        <w:trPr>
          <w:trHeight w:val="261"/>
        </w:trPr>
        <w:tc>
          <w:tcPr>
            <w:tcW w:w="860" w:type="dxa"/>
            <w:vAlign w:val="bottom"/>
          </w:tcPr>
          <w:p>
            <w:pPr>
              <w:spacing w:after="0"/>
              <w:rPr>
                <w:sz w:val="22"/>
                <w:szCs w:val="22"/>
                <w:color w:val="auto"/>
              </w:rPr>
            </w:pPr>
          </w:p>
        </w:tc>
        <w:tc>
          <w:tcPr>
            <w:tcW w:w="3320" w:type="dxa"/>
            <w:vAlign w:val="bottom"/>
          </w:tcPr>
          <w:p>
            <w:pPr>
              <w:ind w:left="20"/>
              <w:spacing w:after="0"/>
              <w:rPr>
                <w:sz w:val="20"/>
                <w:szCs w:val="20"/>
                <w:color w:val="auto"/>
              </w:rPr>
            </w:pPr>
            <w:r>
              <w:rPr>
                <w:rFonts w:ascii="Arial" w:cs="Arial" w:eastAsia="Arial" w:hAnsi="Arial"/>
                <w:sz w:val="20"/>
                <w:szCs w:val="20"/>
                <w:color w:val="auto"/>
              </w:rPr>
              <w:t>Chief Executive Officer</w:t>
            </w:r>
          </w:p>
        </w:tc>
        <w:tc>
          <w:tcPr>
            <w:tcW w:w="1840" w:type="dxa"/>
            <w:vAlign w:val="bottom"/>
          </w:tcPr>
          <w:p>
            <w:pPr>
              <w:spacing w:after="0"/>
              <w:rPr>
                <w:sz w:val="22"/>
                <w:szCs w:val="22"/>
                <w:color w:val="auto"/>
              </w:rPr>
            </w:pPr>
          </w:p>
        </w:tc>
        <w:tc>
          <w:tcPr>
            <w:tcW w:w="2060" w:type="dxa"/>
            <w:vAlign w:val="bottom"/>
          </w:tcPr>
          <w:p>
            <w:pPr>
              <w:spacing w:after="0"/>
              <w:rPr>
                <w:sz w:val="22"/>
                <w:szCs w:val="22"/>
                <w:color w:val="auto"/>
              </w:rPr>
            </w:pPr>
          </w:p>
        </w:tc>
        <w:tc>
          <w:tcPr>
            <w:tcW w:w="2700" w:type="dxa"/>
            <w:vAlign w:val="bottom"/>
          </w:tcPr>
          <w:p>
            <w:pPr>
              <w:spacing w:after="0"/>
              <w:rPr>
                <w:sz w:val="22"/>
                <w:szCs w:val="22"/>
                <w:color w:val="auto"/>
              </w:rPr>
            </w:pPr>
          </w:p>
        </w:tc>
      </w:tr>
      <w:tr>
        <w:trPr>
          <w:trHeight w:val="866"/>
        </w:trPr>
        <w:tc>
          <w:tcPr>
            <w:tcW w:w="860" w:type="dxa"/>
            <w:vAlign w:val="bottom"/>
          </w:tcPr>
          <w:p>
            <w:pPr>
              <w:spacing w:after="0"/>
              <w:rPr>
                <w:sz w:val="20"/>
                <w:szCs w:val="20"/>
                <w:color w:val="auto"/>
              </w:rPr>
            </w:pPr>
            <w:r>
              <w:rPr>
                <w:rFonts w:ascii="Arial" w:cs="Arial" w:eastAsia="Arial" w:hAnsi="Arial"/>
                <w:sz w:val="20"/>
                <w:szCs w:val="20"/>
                <w:color w:val="auto"/>
              </w:rPr>
              <w:t>By:</w:t>
            </w:r>
          </w:p>
        </w:tc>
        <w:tc>
          <w:tcPr>
            <w:tcW w:w="3320" w:type="dxa"/>
            <w:vAlign w:val="bottom"/>
            <w:tcBorders>
              <w:bottom w:val="single" w:sz="8" w:color="auto"/>
            </w:tcBorders>
          </w:tcPr>
          <w:p>
            <w:pPr>
              <w:ind w:left="20"/>
              <w:spacing w:after="0"/>
              <w:rPr>
                <w:sz w:val="20"/>
                <w:szCs w:val="20"/>
                <w:color w:val="auto"/>
              </w:rPr>
            </w:pPr>
            <w:r>
              <w:rPr>
                <w:rFonts w:ascii="Arial" w:cs="Arial" w:eastAsia="Arial" w:hAnsi="Arial"/>
                <w:sz w:val="20"/>
                <w:szCs w:val="20"/>
                <w:color w:val="auto"/>
              </w:rPr>
              <w:t>/s/ Keith Jennings</w:t>
            </w:r>
          </w:p>
        </w:tc>
        <w:tc>
          <w:tcPr>
            <w:tcW w:w="1840" w:type="dxa"/>
            <w:vAlign w:val="bottom"/>
            <w:tcBorders>
              <w:bottom w:val="single" w:sz="8" w:color="auto"/>
            </w:tcBorders>
          </w:tcPr>
          <w:p>
            <w:pPr>
              <w:spacing w:after="0"/>
              <w:rPr>
                <w:sz w:val="24"/>
                <w:szCs w:val="24"/>
                <w:color w:val="auto"/>
              </w:rPr>
            </w:pPr>
          </w:p>
        </w:tc>
        <w:tc>
          <w:tcPr>
            <w:tcW w:w="2060" w:type="dxa"/>
            <w:vAlign w:val="bottom"/>
          </w:tcPr>
          <w:p>
            <w:pPr>
              <w:ind w:left="1580"/>
              <w:spacing w:after="0"/>
              <w:rPr>
                <w:sz w:val="20"/>
                <w:szCs w:val="20"/>
                <w:color w:val="auto"/>
              </w:rPr>
            </w:pPr>
            <w:r>
              <w:rPr>
                <w:rFonts w:ascii="Arial" w:cs="Arial" w:eastAsia="Arial" w:hAnsi="Arial"/>
                <w:sz w:val="20"/>
                <w:szCs w:val="20"/>
                <w:color w:val="auto"/>
                <w:w w:val="96"/>
              </w:rPr>
              <w:t>Date:</w:t>
            </w:r>
          </w:p>
        </w:tc>
        <w:tc>
          <w:tcPr>
            <w:tcW w:w="2700" w:type="dxa"/>
            <w:vAlign w:val="bottom"/>
            <w:tcBorders>
              <w:bottom w:val="single" w:sz="8" w:color="auto"/>
            </w:tcBorders>
          </w:tcPr>
          <w:p>
            <w:pPr>
              <w:ind w:left="540"/>
              <w:spacing w:after="0"/>
              <w:rPr>
                <w:sz w:val="20"/>
                <w:szCs w:val="20"/>
                <w:color w:val="auto"/>
              </w:rPr>
            </w:pPr>
            <w:r>
              <w:rPr>
                <w:rFonts w:ascii="Arial" w:cs="Arial" w:eastAsia="Arial" w:hAnsi="Arial"/>
                <w:sz w:val="20"/>
                <w:szCs w:val="20"/>
                <w:color w:val="auto"/>
              </w:rPr>
              <w:t>November 5, 2025</w:t>
            </w:r>
          </w:p>
        </w:tc>
      </w:tr>
      <w:tr>
        <w:trPr>
          <w:trHeight w:val="244"/>
        </w:trPr>
        <w:tc>
          <w:tcPr>
            <w:tcW w:w="860" w:type="dxa"/>
            <w:vAlign w:val="bottom"/>
          </w:tcPr>
          <w:p>
            <w:pPr>
              <w:spacing w:after="0"/>
              <w:rPr>
                <w:sz w:val="21"/>
                <w:szCs w:val="21"/>
                <w:color w:val="auto"/>
              </w:rPr>
            </w:pPr>
          </w:p>
        </w:tc>
        <w:tc>
          <w:tcPr>
            <w:tcW w:w="3320" w:type="dxa"/>
            <w:vAlign w:val="bottom"/>
          </w:tcPr>
          <w:p>
            <w:pPr>
              <w:ind w:left="20"/>
              <w:spacing w:after="0"/>
              <w:rPr>
                <w:sz w:val="20"/>
                <w:szCs w:val="20"/>
                <w:color w:val="auto"/>
              </w:rPr>
            </w:pPr>
            <w:r>
              <w:rPr>
                <w:rFonts w:ascii="Arial" w:cs="Arial" w:eastAsia="Arial" w:hAnsi="Arial"/>
                <w:sz w:val="20"/>
                <w:szCs w:val="20"/>
                <w:color w:val="auto"/>
              </w:rPr>
              <w:t>H. Keith Jennings</w:t>
            </w:r>
          </w:p>
        </w:tc>
        <w:tc>
          <w:tcPr>
            <w:tcW w:w="1840" w:type="dxa"/>
            <w:vAlign w:val="bottom"/>
          </w:tcPr>
          <w:p>
            <w:pPr>
              <w:spacing w:after="0"/>
              <w:rPr>
                <w:sz w:val="21"/>
                <w:szCs w:val="21"/>
                <w:color w:val="auto"/>
              </w:rPr>
            </w:pPr>
          </w:p>
        </w:tc>
        <w:tc>
          <w:tcPr>
            <w:tcW w:w="2060" w:type="dxa"/>
            <w:vAlign w:val="bottom"/>
          </w:tcPr>
          <w:p>
            <w:pPr>
              <w:spacing w:after="0"/>
              <w:rPr>
                <w:sz w:val="21"/>
                <w:szCs w:val="21"/>
                <w:color w:val="auto"/>
              </w:rPr>
            </w:pPr>
          </w:p>
        </w:tc>
        <w:tc>
          <w:tcPr>
            <w:tcW w:w="2700" w:type="dxa"/>
            <w:vAlign w:val="bottom"/>
          </w:tcPr>
          <w:p>
            <w:pPr>
              <w:spacing w:after="0"/>
              <w:rPr>
                <w:sz w:val="21"/>
                <w:szCs w:val="21"/>
                <w:color w:val="auto"/>
              </w:rPr>
            </w:pPr>
          </w:p>
        </w:tc>
      </w:tr>
      <w:tr>
        <w:trPr>
          <w:trHeight w:val="261"/>
        </w:trPr>
        <w:tc>
          <w:tcPr>
            <w:tcW w:w="860" w:type="dxa"/>
            <w:vAlign w:val="bottom"/>
          </w:tcPr>
          <w:p>
            <w:pPr>
              <w:spacing w:after="0"/>
              <w:rPr>
                <w:sz w:val="22"/>
                <w:szCs w:val="22"/>
                <w:color w:val="auto"/>
              </w:rPr>
            </w:pPr>
          </w:p>
        </w:tc>
        <w:tc>
          <w:tcPr>
            <w:tcW w:w="3320" w:type="dxa"/>
            <w:vAlign w:val="bottom"/>
          </w:tcPr>
          <w:p>
            <w:pPr>
              <w:ind w:left="20"/>
              <w:spacing w:after="0"/>
              <w:rPr>
                <w:sz w:val="20"/>
                <w:szCs w:val="20"/>
                <w:color w:val="auto"/>
              </w:rPr>
            </w:pPr>
            <w:r>
              <w:rPr>
                <w:rFonts w:ascii="Arial" w:cs="Arial" w:eastAsia="Arial" w:hAnsi="Arial"/>
                <w:sz w:val="20"/>
                <w:szCs w:val="20"/>
                <w:color w:val="auto"/>
              </w:rPr>
              <w:t>Chief Financial Officer</w:t>
            </w:r>
          </w:p>
        </w:tc>
        <w:tc>
          <w:tcPr>
            <w:tcW w:w="1840" w:type="dxa"/>
            <w:vAlign w:val="bottom"/>
          </w:tcPr>
          <w:p>
            <w:pPr>
              <w:spacing w:after="0"/>
              <w:rPr>
                <w:sz w:val="22"/>
                <w:szCs w:val="22"/>
                <w:color w:val="auto"/>
              </w:rPr>
            </w:pPr>
          </w:p>
        </w:tc>
        <w:tc>
          <w:tcPr>
            <w:tcW w:w="2060" w:type="dxa"/>
            <w:vAlign w:val="bottom"/>
          </w:tcPr>
          <w:p>
            <w:pPr>
              <w:spacing w:after="0"/>
              <w:rPr>
                <w:sz w:val="22"/>
                <w:szCs w:val="22"/>
                <w:color w:val="auto"/>
              </w:rPr>
            </w:pPr>
          </w:p>
        </w:tc>
        <w:tc>
          <w:tcPr>
            <w:tcW w:w="2700" w:type="dxa"/>
            <w:vAlign w:val="bottom"/>
          </w:tcPr>
          <w:p>
            <w:pPr>
              <w:spacing w:after="0"/>
              <w:rPr>
                <w:sz w:val="22"/>
                <w:szCs w:val="22"/>
                <w:color w:val="auto"/>
              </w:rPr>
            </w:pPr>
          </w:p>
        </w:tc>
      </w:tr>
      <w:tr>
        <w:trPr>
          <w:trHeight w:val="1066"/>
        </w:trPr>
        <w:tc>
          <w:tcPr>
            <w:tcW w:w="86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1840" w:type="dxa"/>
            <w:vAlign w:val="bottom"/>
          </w:tcPr>
          <w:p>
            <w:pPr>
              <w:jc w:val="right"/>
              <w:ind w:right="201"/>
              <w:spacing w:after="0"/>
              <w:rPr>
                <w:sz w:val="20"/>
                <w:szCs w:val="20"/>
                <w:color w:val="auto"/>
              </w:rPr>
            </w:pPr>
            <w:r>
              <w:rPr>
                <w:rFonts w:ascii="Arial" w:cs="Arial" w:eastAsia="Arial" w:hAnsi="Arial"/>
                <w:sz w:val="20"/>
                <w:szCs w:val="20"/>
                <w:color w:val="auto"/>
              </w:rPr>
              <w:t>67</w:t>
            </w:r>
          </w:p>
        </w:tc>
        <w:tc>
          <w:tcPr>
            <w:tcW w:w="2060" w:type="dxa"/>
            <w:vAlign w:val="bottom"/>
          </w:tcPr>
          <w:p>
            <w:pPr>
              <w:spacing w:after="0"/>
              <w:rPr>
                <w:sz w:val="24"/>
                <w:szCs w:val="24"/>
                <w:color w:val="auto"/>
              </w:rPr>
            </w:pPr>
          </w:p>
        </w:tc>
        <w:tc>
          <w:tcPr>
            <w:tcW w:w="2700" w:type="dxa"/>
            <w:vAlign w:val="bottom"/>
          </w:tcPr>
          <w:p>
            <w:pPr>
              <w:spacing w:after="0"/>
              <w:rPr>
                <w:sz w:val="24"/>
                <w:szCs w:val="24"/>
                <w:color w:val="auto"/>
              </w:rPr>
            </w:pPr>
          </w:p>
        </w:tc>
      </w:tr>
    </w:tbl>
    <w:p>
      <w:pPr>
        <w:sectPr>
          <w:pgSz w:w="11900" w:h="16838" w:orient="portrait"/>
          <w:cols w:equalWidth="0" w:num="1">
            <w:col w:w="11120"/>
          </w:cols>
          <w:pgMar w:left="320" w:top="1317" w:right="459" w:bottom="1440" w:gutter="0" w:footer="0" w:header="0"/>
        </w:sectPr>
      </w:pPr>
    </w:p>
    <w:bookmarkStart w:id="73" w:name="page74"/>
    <w:bookmarkEnd w:id="73"/>
    <w:p>
      <w:pPr>
        <w:jc w:val="right"/>
        <w:spacing w:after="0"/>
        <w:rPr>
          <w:sz w:val="20"/>
          <w:szCs w:val="20"/>
          <w:color w:val="auto"/>
        </w:rPr>
      </w:pPr>
      <w:r>
        <w:rPr>
          <w:rFonts w:ascii="Times New Roman" w:cs="Times New Roman" w:eastAsia="Times New Roman" w:hAnsi="Times New Roman"/>
          <w:sz w:val="20"/>
          <w:szCs w:val="20"/>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ARRAY TECHNOLOGIES, INC.</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2020 LONG-TERM INCENTIVE PLAN</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PERFORMANCE-BASED RESTRICTED STOCK UNIT GRANT NOTICE</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Pursuant to the terms and conditions of the Array Technologies, Inc. 2020 Long-Term Incentive Plan, as amended from time to time (the</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Plan</w:t>
      </w:r>
      <w:r>
        <w:rPr>
          <w:rFonts w:ascii="Times New Roman" w:cs="Times New Roman" w:eastAsia="Times New Roman" w:hAnsi="Times New Roman"/>
          <w:sz w:val="20"/>
          <w:szCs w:val="20"/>
          <w:color w:val="auto"/>
        </w:rPr>
        <w:t>”), Array Technologies, Inc., a Delaware corporation (the “</w:t>
      </w:r>
      <w:r>
        <w:rPr>
          <w:rFonts w:ascii="Times New Roman" w:cs="Times New Roman" w:eastAsia="Times New Roman" w:hAnsi="Times New Roman"/>
          <w:sz w:val="20"/>
          <w:szCs w:val="20"/>
          <w:u w:val="single" w:color="auto"/>
          <w:color w:val="auto"/>
        </w:rPr>
        <w:t>Company</w:t>
      </w:r>
      <w:r>
        <w:rPr>
          <w:rFonts w:ascii="Times New Roman" w:cs="Times New Roman" w:eastAsia="Times New Roman" w:hAnsi="Times New Roman"/>
          <w:sz w:val="20"/>
          <w:szCs w:val="20"/>
          <w:color w:val="auto"/>
        </w:rPr>
        <w:t>”), hereby grants to the individual listed below (“</w:t>
      </w:r>
      <w:r>
        <w:rPr>
          <w:rFonts w:ascii="Times New Roman" w:cs="Times New Roman" w:eastAsia="Times New Roman" w:hAnsi="Times New Roman"/>
          <w:sz w:val="20"/>
          <w:szCs w:val="20"/>
          <w:u w:val="single" w:color="auto"/>
          <w:color w:val="auto"/>
        </w:rPr>
        <w:t>you</w:t>
      </w:r>
      <w:r>
        <w:rPr>
          <w:rFonts w:ascii="Times New Roman" w:cs="Times New Roman" w:eastAsia="Times New Roman" w:hAnsi="Times New Roman"/>
          <w:sz w:val="20"/>
          <w:szCs w:val="20"/>
          <w:color w:val="auto"/>
        </w:rPr>
        <w:t>” or the</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Participant</w:t>
      </w:r>
      <w:r>
        <w:rPr>
          <w:rFonts w:ascii="Times New Roman" w:cs="Times New Roman" w:eastAsia="Times New Roman" w:hAnsi="Times New Roman"/>
          <w:sz w:val="20"/>
          <w:szCs w:val="20"/>
          <w:color w:val="auto"/>
        </w:rPr>
        <w:t>”) the number of performance-based restricted stock units (the “</w:t>
      </w:r>
      <w:r>
        <w:rPr>
          <w:rFonts w:ascii="Times New Roman" w:cs="Times New Roman" w:eastAsia="Times New Roman" w:hAnsi="Times New Roman"/>
          <w:sz w:val="20"/>
          <w:szCs w:val="20"/>
          <w:u w:val="single" w:color="auto"/>
          <w:color w:val="auto"/>
        </w:rPr>
        <w:t>PSUs</w:t>
      </w:r>
      <w:r>
        <w:rPr>
          <w:rFonts w:ascii="Times New Roman" w:cs="Times New Roman" w:eastAsia="Times New Roman" w:hAnsi="Times New Roman"/>
          <w:sz w:val="20"/>
          <w:szCs w:val="20"/>
          <w:color w:val="auto"/>
        </w:rPr>
        <w:t>”) set forth below. This award of PSUs (this “</w:t>
      </w:r>
      <w:r>
        <w:rPr>
          <w:rFonts w:ascii="Times New Roman" w:cs="Times New Roman" w:eastAsia="Times New Roman" w:hAnsi="Times New Roman"/>
          <w:sz w:val="20"/>
          <w:szCs w:val="20"/>
          <w:u w:val="single" w:color="auto"/>
          <w:color w:val="auto"/>
        </w:rPr>
        <w:t>Award</w:t>
      </w:r>
      <w:r>
        <w:rPr>
          <w:rFonts w:ascii="Times New Roman" w:cs="Times New Roman" w:eastAsia="Times New Roman" w:hAnsi="Times New Roman"/>
          <w:sz w:val="20"/>
          <w:szCs w:val="20"/>
          <w:color w:val="auto"/>
        </w:rPr>
        <w:t>”) is</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 xml:space="preserve">subject to the terms and conditions set forth herein and in the Performance-Based Restricted Stock Unit Agreement attached hereto as </w:t>
      </w:r>
      <w:r>
        <w:rPr>
          <w:rFonts w:ascii="Times New Roman" w:cs="Times New Roman" w:eastAsia="Times New Roman" w:hAnsi="Times New Roman"/>
          <w:sz w:val="19"/>
          <w:szCs w:val="19"/>
          <w:u w:val="single" w:color="auto"/>
          <w:color w:val="auto"/>
        </w:rPr>
        <w:t>Exhibit</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A</w:t>
      </w:r>
      <w:r>
        <w:rPr>
          <w:rFonts w:ascii="Times New Roman" w:cs="Times New Roman" w:eastAsia="Times New Roman" w:hAnsi="Times New Roman"/>
          <w:sz w:val="20"/>
          <w:szCs w:val="20"/>
          <w:color w:val="auto"/>
        </w:rPr>
        <w:t xml:space="preserve"> (the “</w:t>
      </w:r>
      <w:r>
        <w:rPr>
          <w:rFonts w:ascii="Times New Roman" w:cs="Times New Roman" w:eastAsia="Times New Roman" w:hAnsi="Times New Roman"/>
          <w:sz w:val="20"/>
          <w:szCs w:val="20"/>
          <w:u w:val="single" w:color="auto"/>
          <w:color w:val="auto"/>
        </w:rPr>
        <w:t>Agreement</w:t>
      </w:r>
      <w:r>
        <w:rPr>
          <w:rFonts w:ascii="Times New Roman" w:cs="Times New Roman" w:eastAsia="Times New Roman" w:hAnsi="Times New Roman"/>
          <w:sz w:val="20"/>
          <w:szCs w:val="20"/>
          <w:color w:val="auto"/>
        </w:rPr>
        <w:t>”), which is incorporated herein by reference. Capitalized terms used but not defined herein shall have the meanings set</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forth in the Plan.</w:t>
      </w:r>
    </w:p>
    <w:p>
      <w:pPr>
        <w:spacing w:after="0" w:line="244" w:lineRule="exact"/>
        <w:rPr>
          <w:sz w:val="20"/>
          <w:szCs w:val="20"/>
          <w:color w:val="auto"/>
        </w:rPr>
      </w:pPr>
    </w:p>
    <w:p>
      <w:pPr>
        <w:spacing w:after="0"/>
        <w:tabs>
          <w:tab w:leader="none" w:pos="1500" w:val="left"/>
        </w:tabs>
        <w:rPr>
          <w:sz w:val="20"/>
          <w:szCs w:val="20"/>
          <w:color w:val="auto"/>
        </w:rPr>
      </w:pPr>
      <w:r>
        <w:rPr>
          <w:rFonts w:ascii="Times New Roman" w:cs="Times New Roman" w:eastAsia="Times New Roman" w:hAnsi="Times New Roman"/>
          <w:sz w:val="20"/>
          <w:szCs w:val="20"/>
          <w:b w:val="1"/>
          <w:bCs w:val="1"/>
          <w:color w:val="auto"/>
        </w:rPr>
        <w:t>Type of Award:</w:t>
      </w:r>
      <w:r>
        <w:rPr>
          <w:sz w:val="20"/>
          <w:szCs w:val="20"/>
          <w:color w:val="auto"/>
        </w:rPr>
        <w:tab/>
      </w:r>
      <w:r>
        <w:rPr>
          <w:rFonts w:ascii="Times New Roman" w:cs="Times New Roman" w:eastAsia="Times New Roman" w:hAnsi="Times New Roman"/>
          <w:sz w:val="19"/>
          <w:szCs w:val="19"/>
          <w:b w:val="1"/>
          <w:bCs w:val="1"/>
          <w:color w:val="auto"/>
        </w:rPr>
        <w:t>Performance-Based Restricted Stock Units</w:t>
      </w:r>
    </w:p>
    <w:p>
      <w:pPr>
        <w:spacing w:after="0" w:line="135" w:lineRule="exact"/>
        <w:rPr>
          <w:sz w:val="20"/>
          <w:szCs w:val="20"/>
          <w:color w:val="auto"/>
        </w:rPr>
      </w:pPr>
    </w:p>
    <w:p>
      <w:pPr>
        <w:spacing w:after="0"/>
        <w:tabs>
          <w:tab w:leader="none" w:pos="1200" w:val="left"/>
        </w:tabs>
        <w:rPr>
          <w:sz w:val="20"/>
          <w:szCs w:val="20"/>
          <w:color w:val="auto"/>
        </w:rPr>
      </w:pPr>
      <w:r>
        <w:rPr>
          <w:rFonts w:ascii="Times New Roman" w:cs="Times New Roman" w:eastAsia="Times New Roman" w:hAnsi="Times New Roman"/>
          <w:sz w:val="20"/>
          <w:szCs w:val="20"/>
          <w:b w:val="1"/>
          <w:bCs w:val="1"/>
          <w:color w:val="auto"/>
        </w:rPr>
        <w:t>Participant:</w:t>
      </w:r>
      <w:r>
        <w:rPr>
          <w:sz w:val="20"/>
          <w:szCs w:val="20"/>
          <w:color w:val="auto"/>
        </w:rPr>
        <w:tab/>
      </w:r>
      <w:r>
        <w:rPr>
          <w:rFonts w:ascii="Times New Roman" w:cs="Times New Roman" w:eastAsia="Times New Roman" w:hAnsi="Times New Roman"/>
          <w:sz w:val="19"/>
          <w:szCs w:val="19"/>
          <w:b w:val="1"/>
          <w:bCs w:val="1"/>
          <w:color w:val="auto"/>
        </w:rPr>
        <w:t>#ParticipantName#</w:t>
      </w:r>
    </w:p>
    <w:p>
      <w:pPr>
        <w:spacing w:after="0" w:line="121" w:lineRule="exact"/>
        <w:rPr>
          <w:sz w:val="20"/>
          <w:szCs w:val="20"/>
          <w:color w:val="auto"/>
        </w:rPr>
      </w:pPr>
    </w:p>
    <w:p>
      <w:pPr>
        <w:spacing w:after="0"/>
        <w:tabs>
          <w:tab w:leader="none" w:pos="1420" w:val="left"/>
        </w:tabs>
        <w:rPr>
          <w:sz w:val="20"/>
          <w:szCs w:val="20"/>
          <w:color w:val="auto"/>
        </w:rPr>
      </w:pPr>
      <w:r>
        <w:rPr>
          <w:rFonts w:ascii="Times New Roman" w:cs="Times New Roman" w:eastAsia="Times New Roman" w:hAnsi="Times New Roman"/>
          <w:sz w:val="20"/>
          <w:szCs w:val="20"/>
          <w:b w:val="1"/>
          <w:bCs w:val="1"/>
          <w:color w:val="auto"/>
        </w:rPr>
        <w:t>Date of Grant:</w:t>
      </w:r>
      <w:r>
        <w:rPr>
          <w:sz w:val="20"/>
          <w:szCs w:val="20"/>
          <w:color w:val="auto"/>
        </w:rPr>
        <w:tab/>
      </w:r>
      <w:r>
        <w:rPr>
          <w:rFonts w:ascii="Times New Roman" w:cs="Times New Roman" w:eastAsia="Times New Roman" w:hAnsi="Times New Roman"/>
          <w:sz w:val="19"/>
          <w:szCs w:val="19"/>
          <w:b w:val="1"/>
          <w:bCs w:val="1"/>
          <w:color w:val="auto"/>
        </w:rPr>
        <w:t>#GrantDate#</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Total Target Number</w:t>
      </w:r>
    </w:p>
    <w:p>
      <w:pPr>
        <w:spacing w:after="0" w:line="26"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20"/>
          <w:szCs w:val="20"/>
          <w:b w:val="1"/>
          <w:bCs w:val="1"/>
          <w:color w:val="auto"/>
        </w:rPr>
        <w:t>of PSUs:</w:t>
      </w:r>
      <w:r>
        <w:rPr>
          <w:sz w:val="20"/>
          <w:szCs w:val="20"/>
          <w:color w:val="auto"/>
        </w:rPr>
        <w:tab/>
      </w:r>
      <w:r>
        <w:rPr>
          <w:rFonts w:ascii="Times New Roman" w:cs="Times New Roman" w:eastAsia="Times New Roman" w:hAnsi="Times New Roman"/>
          <w:sz w:val="19"/>
          <w:szCs w:val="19"/>
          <w:b w:val="1"/>
          <w:bCs w:val="1"/>
          <w:color w:val="auto"/>
        </w:rPr>
        <w:t>#QuantityGranted#</w:t>
      </w:r>
    </w:p>
    <w:p>
      <w:pPr>
        <w:spacing w:after="0" w:line="109" w:lineRule="exact"/>
        <w:rPr>
          <w:sz w:val="20"/>
          <w:szCs w:val="20"/>
          <w:color w:val="auto"/>
        </w:rPr>
      </w:pPr>
    </w:p>
    <w:p>
      <w:pPr>
        <w:jc w:val="both"/>
        <w:ind w:right="320"/>
        <w:spacing w:after="0" w:line="263" w:lineRule="auto"/>
        <w:rPr>
          <w:sz w:val="20"/>
          <w:szCs w:val="20"/>
          <w:color w:val="auto"/>
        </w:rPr>
      </w:pPr>
      <w:r>
        <w:rPr>
          <w:rFonts w:ascii="Times New Roman" w:cs="Times New Roman" w:eastAsia="Times New Roman" w:hAnsi="Times New Roman"/>
          <w:sz w:val="20"/>
          <w:szCs w:val="20"/>
          <w:b w:val="1"/>
          <w:bCs w:val="1"/>
          <w:color w:val="auto"/>
        </w:rPr>
        <w:t xml:space="preserve">Vesting Schedule: </w:t>
      </w:r>
      <w:r>
        <w:rPr>
          <w:rFonts w:ascii="Times New Roman" w:cs="Times New Roman" w:eastAsia="Times New Roman" w:hAnsi="Times New Roman"/>
          <w:sz w:val="20"/>
          <w:szCs w:val="20"/>
          <w:color w:val="auto"/>
        </w:rPr>
        <w:t>Subject to</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u w:val="single" w:color="auto"/>
          <w:color w:val="auto"/>
        </w:rPr>
        <w:t>Sections 2(c)</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u w:val="single" w:color="auto"/>
          <w:color w:val="auto"/>
        </w:rPr>
        <w:t>2(d)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and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u w:val="single" w:color="auto"/>
          <w:color w:val="auto"/>
        </w:rPr>
        <w:t>5</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of the Agreement, the Plan and the other terms and conditions set forth herein,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PSUs shall vest in full on the Vesting Date (as such term is defined in </w:t>
      </w:r>
      <w:r>
        <w:rPr>
          <w:rFonts w:ascii="Times New Roman" w:cs="Times New Roman" w:eastAsia="Times New Roman" w:hAnsi="Times New Roman"/>
          <w:sz w:val="20"/>
          <w:szCs w:val="20"/>
          <w:u w:val="single" w:color="auto"/>
          <w:color w:val="auto"/>
        </w:rPr>
        <w:t>Exhibit B</w:t>
      </w:r>
      <w:r>
        <w:rPr>
          <w:rFonts w:ascii="Times New Roman" w:cs="Times New Roman" w:eastAsia="Times New Roman" w:hAnsi="Times New Roman"/>
          <w:sz w:val="20"/>
          <w:szCs w:val="20"/>
          <w:color w:val="auto"/>
        </w:rPr>
        <w:t xml:space="preserve"> hereto), so long as you remain continuously employed by the Company or an Affiliate from the Date of Grant through the Vesting Date.</w:t>
      </w:r>
    </w:p>
    <w:p>
      <w:pPr>
        <w:spacing w:after="0" w:line="179" w:lineRule="exact"/>
        <w:rPr>
          <w:sz w:val="20"/>
          <w:szCs w:val="20"/>
          <w:color w:val="auto"/>
        </w:rPr>
      </w:pPr>
    </w:p>
    <w:p>
      <w:pPr>
        <w:ind w:right="140"/>
        <w:spacing w:after="0" w:line="253" w:lineRule="auto"/>
        <w:rPr>
          <w:sz w:val="20"/>
          <w:szCs w:val="20"/>
          <w:color w:val="auto"/>
        </w:rPr>
      </w:pPr>
      <w:r>
        <w:rPr>
          <w:rFonts w:ascii="Times New Roman" w:cs="Times New Roman" w:eastAsia="Times New Roman" w:hAnsi="Times New Roman"/>
          <w:sz w:val="20"/>
          <w:szCs w:val="20"/>
          <w:color w:val="auto"/>
        </w:rPr>
        <w:t>By your acknowledgment on the Fidelity website, you agree to be bound by the terms and conditions of the Plan, the Agreement and this Performance-Based Restricted Stock Unit Grant Notice (this “</w:t>
      </w:r>
      <w:r>
        <w:rPr>
          <w:rFonts w:ascii="Times New Roman" w:cs="Times New Roman" w:eastAsia="Times New Roman" w:hAnsi="Times New Roman"/>
          <w:sz w:val="20"/>
          <w:szCs w:val="20"/>
          <w:u w:val="single" w:color="auto"/>
          <w:color w:val="auto"/>
        </w:rPr>
        <w:t>Grant Notice</w:t>
      </w:r>
      <w:r>
        <w:rPr>
          <w:rFonts w:ascii="Times New Roman" w:cs="Times New Roman" w:eastAsia="Times New Roman" w:hAnsi="Times New Roman"/>
          <w:sz w:val="20"/>
          <w:szCs w:val="20"/>
          <w:color w:val="auto"/>
        </w:rPr>
        <w:t>”). You acknowledge that you have reviewed the Agreement, the Plan and this Grant Notice in their entirety and fully understand all provisions of the Agreement, the Plan and this Grant Notice. You hereby agree to accept as binding, conclusive and final all decisions or interpretations of the Committee regarding any questions or determinations that arise under the Agreement, the Plan or this Grant Notice. This Grant Notice may be executed in one or more counterparts (including portable document format (.pdf) and facsimile counterparts), each of which shall be deemed to be an original, but all of which together shall constitute one and the same agreement.</w:t>
      </w:r>
    </w:p>
    <w:p>
      <w:pPr>
        <w:spacing w:after="0" w:line="193"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20"/>
          <w:szCs w:val="20"/>
          <w:color w:val="auto"/>
        </w:rPr>
        <w:t>Notwithstanding any provision of this Grant Notice or the Agreement, if you have not executed this Grant Notice within 90 days following the Date of Grant set forth above, you will be deemed to have accepted this Award, subject to all of the terms and conditions of this Grant Notice, the Agreement and the Plan.</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i w:val="1"/>
          <w:iCs w:val="1"/>
          <w:color w:val="auto"/>
        </w:rPr>
        <w:t>[Signature Page Follows]</w:t>
      </w:r>
    </w:p>
    <w:p>
      <w:pPr>
        <w:sectPr>
          <w:pgSz w:w="11900" w:h="16838" w:orient="portrait"/>
          <w:cols w:equalWidth="0" w:num="1">
            <w:col w:w="11240"/>
          </w:cols>
          <w:pgMar w:left="320" w:top="114" w:right="339" w:bottom="1440" w:gutter="0" w:footer="0" w:header="0"/>
        </w:sectPr>
      </w:pPr>
    </w:p>
    <w:bookmarkStart w:id="74" w:name="page75"/>
    <w:bookmarkEnd w:id="74"/>
    <w:p>
      <w:pPr>
        <w:ind w:right="260"/>
        <w:spacing w:after="0" w:line="287" w:lineRule="auto"/>
        <w:rPr>
          <w:sz w:val="20"/>
          <w:szCs w:val="20"/>
          <w:color w:val="auto"/>
        </w:rPr>
      </w:pPr>
      <w:r>
        <w:rPr>
          <w:rFonts w:ascii="Times New Roman" w:cs="Times New Roman" w:eastAsia="Times New Roman" w:hAnsi="Times New Roman"/>
          <w:sz w:val="20"/>
          <w:szCs w:val="20"/>
          <w:b w:val="1"/>
          <w:bCs w:val="1"/>
          <w:color w:val="auto"/>
        </w:rPr>
        <w:t>IN WITNESS WHEREOF</w:t>
      </w:r>
      <w:r>
        <w:rPr>
          <w:rFonts w:ascii="Times New Roman" w:cs="Times New Roman" w:eastAsia="Times New Roman" w:hAnsi="Times New Roman"/>
          <w:sz w:val="20"/>
          <w:szCs w:val="20"/>
          <w:color w:val="auto"/>
        </w:rPr>
        <w:t>, the Company has caused this Grant Notice to be executed by an officer thereunto duly authorized, and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Participant has executed this Grant Notice, effective for all purposes as provided above.</w:t>
      </w:r>
    </w:p>
    <w:p>
      <w:pPr>
        <w:spacing w:after="0" w:line="200" w:lineRule="exact"/>
        <w:rPr>
          <w:sz w:val="20"/>
          <w:szCs w:val="20"/>
          <w:color w:val="auto"/>
        </w:rPr>
      </w:pPr>
    </w:p>
    <w:p>
      <w:pPr>
        <w:spacing w:after="0" w:line="301" w:lineRule="exact"/>
        <w:rPr>
          <w:sz w:val="20"/>
          <w:szCs w:val="20"/>
          <w:color w:val="auto"/>
        </w:rPr>
      </w:pPr>
    </w:p>
    <w:p>
      <w:pPr>
        <w:ind w:left="8500"/>
        <w:spacing w:after="0"/>
        <w:rPr>
          <w:sz w:val="20"/>
          <w:szCs w:val="20"/>
          <w:color w:val="auto"/>
        </w:rPr>
      </w:pPr>
      <w:r>
        <w:rPr>
          <w:rFonts w:ascii="Times New Roman" w:cs="Times New Roman" w:eastAsia="Times New Roman" w:hAnsi="Times New Roman"/>
          <w:sz w:val="20"/>
          <w:szCs w:val="20"/>
          <w:b w:val="1"/>
          <w:bCs w:val="1"/>
          <w:color w:val="auto"/>
        </w:rPr>
        <w:t>ARRAY TECHNOLOGIES,</w:t>
      </w:r>
    </w:p>
    <w:p>
      <w:pPr>
        <w:ind w:left="8500"/>
        <w:spacing w:after="0"/>
        <w:rPr>
          <w:sz w:val="20"/>
          <w:szCs w:val="20"/>
          <w:color w:val="auto"/>
        </w:rPr>
      </w:pPr>
      <w:r>
        <w:rPr>
          <w:rFonts w:ascii="Times New Roman" w:cs="Times New Roman" w:eastAsia="Times New Roman" w:hAnsi="Times New Roman"/>
          <w:sz w:val="20"/>
          <w:szCs w:val="20"/>
          <w:b w:val="1"/>
          <w:bCs w:val="1"/>
          <w:color w:val="auto"/>
        </w:rPr>
        <w:t>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5749925</wp:posOffset>
            </wp:positionH>
            <wp:positionV relativeFrom="paragraph">
              <wp:posOffset>342900</wp:posOffset>
            </wp:positionV>
            <wp:extent cx="1260475"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7">
                      <a:extLst>
                        <a:ext uri="{28A0092B-C50C-407E-A947-70E740481C1C}"/>
                      </a:extLst>
                    </a:blip>
                    <a:srcRect/>
                    <a:stretch>
                      <a:fillRect/>
                    </a:stretch>
                  </pic:blipFill>
                  <pic:spPr bwMode="auto">
                    <a:xfrm>
                      <a:off x="0" y="0"/>
                      <a:ext cx="1260475" cy="8255"/>
                    </a:xfrm>
                    <a:prstGeom prst="rect">
                      <a:avLst/>
                    </a:prstGeom>
                    <a:noFill/>
                  </pic:spPr>
                </pic:pic>
              </a:graphicData>
            </a:graphic>
          </wp:anchor>
        </w:drawing>
      </w:r>
    </w:p>
    <w:p>
      <w:pPr>
        <w:spacing w:after="0" w:line="200" w:lineRule="exact"/>
        <w:rPr>
          <w:sz w:val="20"/>
          <w:szCs w:val="20"/>
          <w:color w:val="auto"/>
        </w:rPr>
      </w:pPr>
    </w:p>
    <w:p>
      <w:pPr>
        <w:spacing w:after="0" w:line="325" w:lineRule="exact"/>
        <w:rPr>
          <w:sz w:val="20"/>
          <w:szCs w:val="20"/>
          <w:color w:val="auto"/>
        </w:rPr>
      </w:pPr>
    </w:p>
    <w:p>
      <w:pPr>
        <w:ind w:left="8500"/>
        <w:spacing w:after="0"/>
        <w:rPr>
          <w:sz w:val="20"/>
          <w:szCs w:val="20"/>
          <w:color w:val="auto"/>
        </w:rPr>
      </w:pPr>
      <w:r>
        <w:rPr>
          <w:rFonts w:ascii="Times New Roman" w:cs="Times New Roman" w:eastAsia="Times New Roman" w:hAnsi="Times New Roman"/>
          <w:sz w:val="20"/>
          <w:szCs w:val="20"/>
          <w:color w:val="auto"/>
        </w:rPr>
        <w:t>Name: Terrance Collins</w:t>
      </w:r>
    </w:p>
    <w:p>
      <w:pPr>
        <w:spacing w:after="0" w:line="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color w:val="auto"/>
        </w:rPr>
        <w:t>Chief Human Resources</w:t>
      </w:r>
    </w:p>
    <w:p>
      <w:pPr>
        <w:ind w:left="8500"/>
        <w:spacing w:after="0"/>
        <w:tabs>
          <w:tab w:leader="none" w:pos="9060" w:val="left"/>
        </w:tabs>
        <w:rPr>
          <w:sz w:val="20"/>
          <w:szCs w:val="20"/>
          <w:color w:val="auto"/>
        </w:rPr>
      </w:pPr>
      <w:r>
        <w:rPr>
          <w:rFonts w:ascii="Times New Roman" w:cs="Times New Roman" w:eastAsia="Times New Roman" w:hAnsi="Times New Roman"/>
          <w:sz w:val="20"/>
          <w:szCs w:val="20"/>
          <w:color w:val="auto"/>
        </w:rPr>
        <w:t>Title:</w:t>
      </w:r>
      <w:r>
        <w:rPr>
          <w:sz w:val="20"/>
          <w:szCs w:val="20"/>
          <w:color w:val="auto"/>
        </w:rPr>
        <w:tab/>
      </w:r>
      <w:r>
        <w:rPr>
          <w:rFonts w:ascii="Times New Roman" w:cs="Times New Roman" w:eastAsia="Times New Roman" w:hAnsi="Times New Roman"/>
          <w:sz w:val="19"/>
          <w:szCs w:val="19"/>
          <w:color w:val="auto"/>
        </w:rPr>
        <w:t>Officer</w:t>
      </w:r>
    </w:p>
    <w:p>
      <w:pPr>
        <w:spacing w:after="0" w:line="200" w:lineRule="exact"/>
        <w:rPr>
          <w:sz w:val="20"/>
          <w:szCs w:val="20"/>
          <w:color w:val="auto"/>
        </w:rPr>
      </w:pPr>
    </w:p>
    <w:p>
      <w:pPr>
        <w:spacing w:after="0" w:line="341" w:lineRule="exact"/>
        <w:rPr>
          <w:sz w:val="20"/>
          <w:szCs w:val="20"/>
          <w:color w:val="auto"/>
        </w:rPr>
      </w:pPr>
    </w:p>
    <w:p>
      <w:pPr>
        <w:ind w:left="8500"/>
        <w:spacing w:after="0"/>
        <w:rPr>
          <w:sz w:val="20"/>
          <w:szCs w:val="20"/>
          <w:color w:val="auto"/>
        </w:rPr>
      </w:pPr>
      <w:r>
        <w:rPr>
          <w:rFonts w:ascii="Times New Roman" w:cs="Times New Roman" w:eastAsia="Times New Roman" w:hAnsi="Times New Roman"/>
          <w:sz w:val="20"/>
          <w:szCs w:val="20"/>
          <w:b w:val="1"/>
          <w:bCs w:val="1"/>
          <w:color w:val="auto"/>
        </w:rPr>
        <w:t>PARTICIPANT</w:t>
      </w:r>
    </w:p>
    <w:p>
      <w:pPr>
        <w:spacing w:after="0" w:line="301" w:lineRule="exact"/>
        <w:rPr>
          <w:sz w:val="20"/>
          <w:szCs w:val="20"/>
          <w:color w:val="auto"/>
        </w:rPr>
      </w:pPr>
    </w:p>
    <w:p>
      <w:pPr>
        <w:ind w:left="8500"/>
        <w:spacing w:after="0"/>
        <w:rPr>
          <w:sz w:val="20"/>
          <w:szCs w:val="20"/>
          <w:color w:val="auto"/>
        </w:rPr>
      </w:pPr>
      <w:r>
        <w:rPr>
          <w:rFonts w:ascii="Times New Roman" w:cs="Times New Roman" w:eastAsia="Times New Roman" w:hAnsi="Times New Roman"/>
          <w:sz w:val="20"/>
          <w:szCs w:val="20"/>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5749925</wp:posOffset>
            </wp:positionH>
            <wp:positionV relativeFrom="paragraph">
              <wp:posOffset>-139700</wp:posOffset>
            </wp:positionV>
            <wp:extent cx="1260475"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8">
                      <a:extLst>
                        <a:ext uri="{28A0092B-C50C-407E-A947-70E740481C1C}"/>
                      </a:extLst>
                    </a:blip>
                    <a:srcRect/>
                    <a:stretch>
                      <a:fillRect/>
                    </a:stretch>
                  </pic:blipFill>
                  <pic:spPr bwMode="auto">
                    <a:xfrm>
                      <a:off x="0" y="0"/>
                      <a:ext cx="1260475" cy="8255"/>
                    </a:xfrm>
                    <a:prstGeom prst="rect">
                      <a:avLst/>
                    </a:prstGeom>
                    <a:noFill/>
                  </pic:spPr>
                </pic:pic>
              </a:graphicData>
            </a:graphic>
          </wp:anchor>
        </w:drawing>
      </w:r>
    </w:p>
    <w:p>
      <w:pPr>
        <w:sectPr>
          <w:pgSz w:w="11900" w:h="16838" w:orient="portrait"/>
          <w:cols w:equalWidth="0" w:num="1">
            <w:col w:w="11000"/>
          </w:cols>
          <w:pgMar w:left="520" w:top="1395" w:right="379" w:bottom="1440" w:gutter="0" w:footer="0" w:header="0"/>
        </w:sectPr>
      </w:pPr>
    </w:p>
    <w:bookmarkStart w:id="75" w:name="page76"/>
    <w:bookmarkEnd w:id="75"/>
    <w:p>
      <w:pPr>
        <w:jc w:val="center"/>
        <w:ind w:right="60"/>
        <w:spacing w:after="0"/>
        <w:rPr>
          <w:sz w:val="20"/>
          <w:szCs w:val="20"/>
          <w:color w:val="auto"/>
        </w:rPr>
      </w:pPr>
      <w:r>
        <w:rPr>
          <w:rFonts w:ascii="Times New Roman" w:cs="Times New Roman" w:eastAsia="Times New Roman" w:hAnsi="Times New Roman"/>
          <w:sz w:val="20"/>
          <w:szCs w:val="20"/>
          <w:b w:val="1"/>
          <w:bCs w:val="1"/>
          <w:u w:val="single" w:color="auto"/>
          <w:color w:val="auto"/>
        </w:rPr>
        <w:t>EXHIBIT A</w:t>
      </w:r>
    </w:p>
    <w:p>
      <w:pPr>
        <w:spacing w:after="0" w:line="229"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0"/>
          <w:szCs w:val="20"/>
          <w:b w:val="1"/>
          <w:bCs w:val="1"/>
          <w:color w:val="auto"/>
        </w:rPr>
        <w:t>PERFORMANCE-BASED RESTRICTED STOCK UNIT AGREEMENT</w:t>
      </w:r>
    </w:p>
    <w:p>
      <w:pPr>
        <w:spacing w:after="0" w:line="233" w:lineRule="exact"/>
        <w:rPr>
          <w:sz w:val="20"/>
          <w:szCs w:val="20"/>
          <w:color w:val="auto"/>
        </w:rPr>
      </w:pPr>
    </w:p>
    <w:p>
      <w:pPr>
        <w:ind w:right="300"/>
        <w:spacing w:after="0" w:line="267" w:lineRule="auto"/>
        <w:rPr>
          <w:sz w:val="20"/>
          <w:szCs w:val="20"/>
          <w:color w:val="auto"/>
        </w:rPr>
      </w:pPr>
      <w:r>
        <w:rPr>
          <w:rFonts w:ascii="Times New Roman" w:cs="Times New Roman" w:eastAsia="Times New Roman" w:hAnsi="Times New Roman"/>
          <w:sz w:val="19"/>
          <w:szCs w:val="19"/>
          <w:color w:val="auto"/>
        </w:rPr>
        <w:t>This Performance-Based Restricted Stock Unit Agreement (together with the Grant Notice to which this Agreement is attached, this “</w:t>
      </w:r>
      <w:r>
        <w:rPr>
          <w:rFonts w:ascii="Times New Roman" w:cs="Times New Roman" w:eastAsia="Times New Roman" w:hAnsi="Times New Roman"/>
          <w:sz w:val="19"/>
          <w:szCs w:val="19"/>
          <w:u w:val="single" w:color="auto"/>
          <w:color w:val="auto"/>
        </w:rPr>
        <w:t>Agreement</w:t>
      </w:r>
      <w:r>
        <w:rPr>
          <w:rFonts w:ascii="Times New Roman" w:cs="Times New Roman" w:eastAsia="Times New Roman" w:hAnsi="Times New Roman"/>
          <w:sz w:val="19"/>
          <w:szCs w:val="19"/>
          <w:color w:val="auto"/>
        </w:rPr>
        <w:t>”) is made as of the Date of Grant set forth in the Grant Notice to which this Agreement is attached by and between Array</w:t>
      </w:r>
    </w:p>
    <w:p>
      <w:pPr>
        <w:spacing w:after="0" w:line="2" w:lineRule="exact"/>
        <w:rPr>
          <w:sz w:val="20"/>
          <w:szCs w:val="20"/>
          <w:color w:val="auto"/>
        </w:rPr>
      </w:pPr>
    </w:p>
    <w:p>
      <w:pPr>
        <w:ind w:right="80"/>
        <w:spacing w:after="0" w:line="267" w:lineRule="auto"/>
        <w:rPr>
          <w:sz w:val="20"/>
          <w:szCs w:val="20"/>
          <w:color w:val="auto"/>
        </w:rPr>
      </w:pPr>
      <w:r>
        <w:rPr>
          <w:rFonts w:ascii="Times New Roman" w:cs="Times New Roman" w:eastAsia="Times New Roman" w:hAnsi="Times New Roman"/>
          <w:sz w:val="20"/>
          <w:szCs w:val="20"/>
          <w:color w:val="auto"/>
        </w:rPr>
        <w:t>Technologies, Inc., a Delaware corporation (the “</w:t>
      </w:r>
      <w:r>
        <w:rPr>
          <w:rFonts w:ascii="Times New Roman" w:cs="Times New Roman" w:eastAsia="Times New Roman" w:hAnsi="Times New Roman"/>
          <w:sz w:val="20"/>
          <w:szCs w:val="20"/>
          <w:u w:val="single" w:color="auto"/>
          <w:color w:val="auto"/>
        </w:rPr>
        <w:t>Company</w:t>
      </w:r>
      <w:r>
        <w:rPr>
          <w:rFonts w:ascii="Times New Roman" w:cs="Times New Roman" w:eastAsia="Times New Roman" w:hAnsi="Times New Roman"/>
          <w:sz w:val="20"/>
          <w:szCs w:val="20"/>
          <w:color w:val="auto"/>
        </w:rPr>
        <w:t>”), and (the “</w:t>
      </w:r>
      <w:r>
        <w:rPr>
          <w:rFonts w:ascii="Times New Roman" w:cs="Times New Roman" w:eastAsia="Times New Roman" w:hAnsi="Times New Roman"/>
          <w:sz w:val="20"/>
          <w:szCs w:val="20"/>
          <w:u w:val="single" w:color="auto"/>
          <w:color w:val="auto"/>
        </w:rPr>
        <w:t>Participant</w:t>
      </w:r>
      <w:r>
        <w:rPr>
          <w:rFonts w:ascii="Times New Roman" w:cs="Times New Roman" w:eastAsia="Times New Roman" w:hAnsi="Times New Roman"/>
          <w:sz w:val="20"/>
          <w:szCs w:val="20"/>
          <w:color w:val="auto"/>
        </w:rPr>
        <w:t>”). Capitalized terms used but not specifically defined herein shall have the meanings specified in the Plan or the Grant Notice.</w:t>
      </w:r>
    </w:p>
    <w:p>
      <w:pPr>
        <w:spacing w:after="0" w:line="171" w:lineRule="exact"/>
        <w:rPr>
          <w:sz w:val="20"/>
          <w:szCs w:val="20"/>
          <w:color w:val="auto"/>
        </w:rPr>
      </w:pPr>
    </w:p>
    <w:p>
      <w:pPr>
        <w:ind w:right="20" w:firstLine="330"/>
        <w:spacing w:after="0" w:line="252" w:lineRule="auto"/>
        <w:tabs>
          <w:tab w:leader="none" w:pos="1093" w:val="left"/>
        </w:tabs>
        <w:numPr>
          <w:ilvl w:val="0"/>
          <w:numId w:val="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Award</w:t>
      </w:r>
      <w:r>
        <w:rPr>
          <w:rFonts w:ascii="Times New Roman" w:cs="Times New Roman" w:eastAsia="Times New Roman" w:hAnsi="Times New Roman"/>
          <w:sz w:val="20"/>
          <w:szCs w:val="20"/>
          <w:color w:val="auto"/>
        </w:rPr>
        <w:t>. Effective as of the Date of Grant set forth in the Grant Notice (the “</w:t>
      </w:r>
      <w:r>
        <w:rPr>
          <w:rFonts w:ascii="Times New Roman" w:cs="Times New Roman" w:eastAsia="Times New Roman" w:hAnsi="Times New Roman"/>
          <w:sz w:val="20"/>
          <w:szCs w:val="20"/>
          <w:u w:val="single" w:color="auto"/>
          <w:color w:val="auto"/>
        </w:rPr>
        <w:t>Date of Grant</w:t>
      </w:r>
      <w:r>
        <w:rPr>
          <w:rFonts w:ascii="Times New Roman" w:cs="Times New Roman" w:eastAsia="Times New Roman" w:hAnsi="Times New Roman"/>
          <w:sz w:val="20"/>
          <w:szCs w:val="20"/>
          <w:color w:val="auto"/>
        </w:rPr>
        <w:t>”), the Company hereby grants to</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the Participant the target number of PSUs set forth in the Grant Notice (the “</w:t>
      </w:r>
      <w:r>
        <w:rPr>
          <w:rFonts w:ascii="Times New Roman" w:cs="Times New Roman" w:eastAsia="Times New Roman" w:hAnsi="Times New Roman"/>
          <w:sz w:val="20"/>
          <w:szCs w:val="20"/>
          <w:u w:val="single" w:color="auto"/>
          <w:color w:val="auto"/>
        </w:rPr>
        <w:t>Target Award</w:t>
      </w:r>
      <w:r>
        <w:rPr>
          <w:rFonts w:ascii="Times New Roman" w:cs="Times New Roman" w:eastAsia="Times New Roman" w:hAnsi="Times New Roman"/>
          <w:sz w:val="20"/>
          <w:szCs w:val="20"/>
          <w:color w:val="auto"/>
        </w:rPr>
        <w:t xml:space="preserve">”) on the terms and conditions set forth in the Grant Notice, this Agreement and the Plan, which is incorporated herein by reference as a part of this Agreement. In the event of any inconsistency between the Plan and this Agreement, the terms of the Plan shall control. To the extent vested, each PSU represents the right to receive one Share, subject to the terms and conditions set forth in the Grant Notice, this Agreement and the Plan. The percentage of the Target Award (if any) that may be earned by the Grantee will be determined in accordance with </w:t>
      </w:r>
      <w:r>
        <w:rPr>
          <w:rFonts w:ascii="Times New Roman" w:cs="Times New Roman" w:eastAsia="Times New Roman" w:hAnsi="Times New Roman"/>
          <w:sz w:val="20"/>
          <w:szCs w:val="20"/>
          <w:u w:val="single" w:color="auto"/>
          <w:color w:val="auto"/>
        </w:rPr>
        <w:t>Exhibit B</w:t>
      </w:r>
      <w:r>
        <w:rPr>
          <w:rFonts w:ascii="Times New Roman" w:cs="Times New Roman" w:eastAsia="Times New Roman" w:hAnsi="Times New Roman"/>
          <w:sz w:val="20"/>
          <w:szCs w:val="20"/>
          <w:color w:val="auto"/>
        </w:rPr>
        <w:t xml:space="preserve"> hereto. Unless and until the PSUs have become vested in the manner set forth in </w:t>
      </w:r>
      <w:r>
        <w:rPr>
          <w:rFonts w:ascii="Times New Roman" w:cs="Times New Roman" w:eastAsia="Times New Roman" w:hAnsi="Times New Roman"/>
          <w:sz w:val="20"/>
          <w:szCs w:val="20"/>
          <w:u w:val="single" w:color="auto"/>
          <w:color w:val="auto"/>
        </w:rPr>
        <w:t>Exhibit B</w:t>
      </w:r>
      <w:r>
        <w:rPr>
          <w:rFonts w:ascii="Times New Roman" w:cs="Times New Roman" w:eastAsia="Times New Roman" w:hAnsi="Times New Roman"/>
          <w:sz w:val="20"/>
          <w:szCs w:val="20"/>
          <w:color w:val="auto"/>
        </w:rPr>
        <w:t xml:space="preserve"> hereto, the Participant will have no right to receive any Shares or other payments in respect of the PSUs. Prior to settlement of this Award, the PSUs and this Award represent an unsecured obligation of the Company, payable only from the general assets of the Company.</w:t>
      </w:r>
    </w:p>
    <w:p>
      <w:pPr>
        <w:spacing w:after="0" w:line="175" w:lineRule="exact"/>
        <w:rPr>
          <w:rFonts w:ascii="Times New Roman" w:cs="Times New Roman" w:eastAsia="Times New Roman" w:hAnsi="Times New Roman"/>
          <w:sz w:val="20"/>
          <w:szCs w:val="20"/>
          <w:color w:val="auto"/>
        </w:rPr>
      </w:pPr>
    </w:p>
    <w:p>
      <w:pPr>
        <w:ind w:left="640" w:hanging="310"/>
        <w:spacing w:after="0"/>
        <w:tabs>
          <w:tab w:leader="none" w:pos="640" w:val="left"/>
        </w:tabs>
        <w:numPr>
          <w:ilvl w:val="0"/>
          <w:numId w:val="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Earned PSUs; Vesting</w:t>
      </w:r>
      <w:r>
        <w:rPr>
          <w:rFonts w:ascii="Times New Roman" w:cs="Times New Roman" w:eastAsia="Times New Roman" w:hAnsi="Times New Roman"/>
          <w:sz w:val="20"/>
          <w:szCs w:val="20"/>
          <w:color w:val="auto"/>
        </w:rPr>
        <w:t>.</w:t>
      </w:r>
    </w:p>
    <w:p>
      <w:pPr>
        <w:spacing w:after="0" w:line="233" w:lineRule="exact"/>
        <w:rPr>
          <w:rFonts w:ascii="Times New Roman" w:cs="Times New Roman" w:eastAsia="Times New Roman" w:hAnsi="Times New Roman"/>
          <w:sz w:val="20"/>
          <w:szCs w:val="20"/>
          <w:color w:val="auto"/>
        </w:rPr>
      </w:pPr>
    </w:p>
    <w:p>
      <w:pPr>
        <w:ind w:firstLine="654"/>
        <w:spacing w:after="0" w:line="310" w:lineRule="auto"/>
        <w:tabs>
          <w:tab w:leader="none" w:pos="1097" w:val="left"/>
        </w:tabs>
        <w:numPr>
          <w:ilvl w:val="1"/>
          <w:numId w:val="3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PSUs shall become the “</w:t>
      </w:r>
      <w:r>
        <w:rPr>
          <w:rFonts w:ascii="Times New Roman" w:cs="Times New Roman" w:eastAsia="Times New Roman" w:hAnsi="Times New Roman"/>
          <w:sz w:val="19"/>
          <w:szCs w:val="19"/>
          <w:u w:val="single" w:color="auto"/>
          <w:color w:val="auto"/>
        </w:rPr>
        <w:t>Earned PSUs</w:t>
      </w:r>
      <w:r>
        <w:rPr>
          <w:rFonts w:ascii="Times New Roman" w:cs="Times New Roman" w:eastAsia="Times New Roman" w:hAnsi="Times New Roman"/>
          <w:sz w:val="19"/>
          <w:szCs w:val="19"/>
          <w:color w:val="auto"/>
        </w:rPr>
        <w:t xml:space="preserve">” following the end of the Performance Period (as such term is defined in </w:t>
      </w:r>
      <w:r>
        <w:rPr>
          <w:rFonts w:ascii="Times New Roman" w:cs="Times New Roman" w:eastAsia="Times New Roman" w:hAnsi="Times New Roman"/>
          <w:sz w:val="19"/>
          <w:szCs w:val="19"/>
          <w:u w:val="single" w:color="auto"/>
          <w:color w:val="auto"/>
        </w:rPr>
        <w:t>Exhibit</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B</w:t>
      </w:r>
      <w:r>
        <w:rPr>
          <w:rFonts w:ascii="Times New Roman" w:cs="Times New Roman" w:eastAsia="Times New Roman" w:hAnsi="Times New Roman"/>
          <w:sz w:val="19"/>
          <w:szCs w:val="19"/>
          <w:color w:val="auto"/>
        </w:rPr>
        <w:t xml:space="preserve"> hereto) to the extent earned in accordance with the performance objectives set forth on </w:t>
      </w:r>
      <w:r>
        <w:rPr>
          <w:rFonts w:ascii="Times New Roman" w:cs="Times New Roman" w:eastAsia="Times New Roman" w:hAnsi="Times New Roman"/>
          <w:sz w:val="19"/>
          <w:szCs w:val="19"/>
          <w:u w:val="single" w:color="auto"/>
          <w:color w:val="auto"/>
        </w:rPr>
        <w:t>Exhibit B</w:t>
      </w:r>
      <w:r>
        <w:rPr>
          <w:rFonts w:ascii="Times New Roman" w:cs="Times New Roman" w:eastAsia="Times New Roman" w:hAnsi="Times New Roman"/>
          <w:sz w:val="19"/>
          <w:szCs w:val="19"/>
          <w:color w:val="auto"/>
        </w:rPr>
        <w:t xml:space="preserve"> (the “</w:t>
      </w:r>
      <w:r>
        <w:rPr>
          <w:rFonts w:ascii="Times New Roman" w:cs="Times New Roman" w:eastAsia="Times New Roman" w:hAnsi="Times New Roman"/>
          <w:sz w:val="19"/>
          <w:szCs w:val="19"/>
          <w:u w:val="single" w:color="auto"/>
          <w:color w:val="auto"/>
        </w:rPr>
        <w:t>Performance Objectives</w:t>
      </w:r>
      <w:r>
        <w:rPr>
          <w:rFonts w:ascii="Times New Roman" w:cs="Times New Roman" w:eastAsia="Times New Roman" w:hAnsi="Times New Roman"/>
          <w:sz w:val="19"/>
          <w:szCs w:val="19"/>
          <w:color w:val="auto"/>
        </w:rPr>
        <w:t>”).</w:t>
      </w:r>
    </w:p>
    <w:p>
      <w:pPr>
        <w:spacing w:after="0" w:line="124" w:lineRule="exact"/>
        <w:rPr>
          <w:rFonts w:ascii="Times New Roman" w:cs="Times New Roman" w:eastAsia="Times New Roman" w:hAnsi="Times New Roman"/>
          <w:sz w:val="19"/>
          <w:szCs w:val="19"/>
          <w:color w:val="auto"/>
        </w:rPr>
      </w:pPr>
    </w:p>
    <w:p>
      <w:pPr>
        <w:ind w:right="20" w:firstLine="652"/>
        <w:spacing w:after="0" w:line="253" w:lineRule="auto"/>
        <w:tabs>
          <w:tab w:leader="none" w:pos="1095" w:val="left"/>
        </w:tabs>
        <w:numPr>
          <w:ilvl w:val="1"/>
          <w:numId w:val="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Except as otherwise set forth in </w:t>
      </w:r>
      <w:r>
        <w:rPr>
          <w:rFonts w:ascii="Times New Roman" w:cs="Times New Roman" w:eastAsia="Times New Roman" w:hAnsi="Times New Roman"/>
          <w:sz w:val="20"/>
          <w:szCs w:val="20"/>
          <w:u w:val="single" w:color="auto"/>
          <w:color w:val="auto"/>
        </w:rPr>
        <w:t>Sections 2(c)</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2(d)</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5</w:t>
      </w:r>
      <w:r>
        <w:rPr>
          <w:rFonts w:ascii="Times New Roman" w:cs="Times New Roman" w:eastAsia="Times New Roman" w:hAnsi="Times New Roman"/>
          <w:sz w:val="20"/>
          <w:szCs w:val="20"/>
          <w:color w:val="auto"/>
        </w:rPr>
        <w:t xml:space="preserve">, the Earned PSUs shall vest in full on the Vesting Date (as such term is defined in </w:t>
      </w:r>
      <w:r>
        <w:rPr>
          <w:rFonts w:ascii="Times New Roman" w:cs="Times New Roman" w:eastAsia="Times New Roman" w:hAnsi="Times New Roman"/>
          <w:sz w:val="20"/>
          <w:szCs w:val="20"/>
          <w:u w:val="single" w:color="auto"/>
          <w:color w:val="auto"/>
        </w:rPr>
        <w:t>Exhibit B</w:t>
      </w:r>
      <w:r>
        <w:rPr>
          <w:rFonts w:ascii="Times New Roman" w:cs="Times New Roman" w:eastAsia="Times New Roman" w:hAnsi="Times New Roman"/>
          <w:sz w:val="20"/>
          <w:szCs w:val="20"/>
          <w:color w:val="auto"/>
        </w:rPr>
        <w:t xml:space="preserve"> hereto). Unless and until the PSUs have become vested Earned PSUs, the Participant will have no right to receive any dividends or other distribution with respect to the PSUs. Except as provided pursuant to </w:t>
      </w:r>
      <w:r>
        <w:rPr>
          <w:rFonts w:ascii="Times New Roman" w:cs="Times New Roman" w:eastAsia="Times New Roman" w:hAnsi="Times New Roman"/>
          <w:sz w:val="20"/>
          <w:szCs w:val="20"/>
          <w:u w:val="single" w:color="auto"/>
          <w:color w:val="auto"/>
        </w:rPr>
        <w:t>Sections 2(c)</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2(d)</w:t>
      </w:r>
      <w:r>
        <w:rPr>
          <w:rFonts w:ascii="Times New Roman" w:cs="Times New Roman" w:eastAsia="Times New Roman" w:hAnsi="Times New Roman"/>
          <w:sz w:val="20"/>
          <w:szCs w:val="20"/>
          <w:color w:val="auto"/>
        </w:rPr>
        <w:t>, upon the Participant’s Termination of Service prior to the vesting of the PSUs, any unvested PSUs (and all rights arising from such PSUs and from being a holder thereof) will terminate automatically without any further action by the Company and will be forfeited without further notice and at no cost to the Company.</w:t>
      </w:r>
    </w:p>
    <w:p>
      <w:pPr>
        <w:spacing w:after="0" w:line="192" w:lineRule="exact"/>
        <w:rPr>
          <w:rFonts w:ascii="Times New Roman" w:cs="Times New Roman" w:eastAsia="Times New Roman" w:hAnsi="Times New Roman"/>
          <w:sz w:val="20"/>
          <w:szCs w:val="20"/>
          <w:color w:val="auto"/>
        </w:rPr>
      </w:pPr>
    </w:p>
    <w:p>
      <w:pPr>
        <w:ind w:right="20" w:firstLine="652"/>
        <w:spacing w:after="0" w:line="250" w:lineRule="auto"/>
        <w:tabs>
          <w:tab w:leader="none" w:pos="1097" w:val="left"/>
        </w:tabs>
        <w:numPr>
          <w:ilvl w:val="1"/>
          <w:numId w:val="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Notwithstanding anything in the Grant Notice, this Agreement or the Plan to the contrary, subject to </w:t>
      </w:r>
      <w:r>
        <w:rPr>
          <w:rFonts w:ascii="Times New Roman" w:cs="Times New Roman" w:eastAsia="Times New Roman" w:hAnsi="Times New Roman"/>
          <w:sz w:val="20"/>
          <w:szCs w:val="20"/>
          <w:u w:val="single" w:color="auto"/>
          <w:color w:val="auto"/>
        </w:rPr>
        <w:t>Section 11</w:t>
      </w:r>
      <w:r>
        <w:rPr>
          <w:rFonts w:ascii="Times New Roman" w:cs="Times New Roman" w:eastAsia="Times New Roman" w:hAnsi="Times New Roman"/>
          <w:sz w:val="20"/>
          <w:szCs w:val="20"/>
          <w:color w:val="auto"/>
        </w:rPr>
        <w:t xml:space="preserve">, if prior to the Performance Period End Date (as such term is defined in </w:t>
      </w:r>
      <w:r>
        <w:rPr>
          <w:rFonts w:ascii="Times New Roman" w:cs="Times New Roman" w:eastAsia="Times New Roman" w:hAnsi="Times New Roman"/>
          <w:sz w:val="20"/>
          <w:szCs w:val="20"/>
          <w:u w:val="single" w:color="auto"/>
          <w:color w:val="auto"/>
        </w:rPr>
        <w:t>Exhibit B</w:t>
      </w:r>
      <w:r>
        <w:rPr>
          <w:rFonts w:ascii="Times New Roman" w:cs="Times New Roman" w:eastAsia="Times New Roman" w:hAnsi="Times New Roman"/>
          <w:sz w:val="20"/>
          <w:szCs w:val="20"/>
          <w:color w:val="auto"/>
        </w:rPr>
        <w:t xml:space="preserve"> hereto), the Participant experiences a Termination of Service (i) by the Company or an Affiliate without Cause or (ii) by the Participant for Good Reason (if the Participant is party to an employment agreement or offer letter with the Company or an Affiliate that contains a definition of Good Reason) (any such Termination of Service, a “</w:t>
      </w:r>
      <w:r>
        <w:rPr>
          <w:rFonts w:ascii="Times New Roman" w:cs="Times New Roman" w:eastAsia="Times New Roman" w:hAnsi="Times New Roman"/>
          <w:sz w:val="20"/>
          <w:szCs w:val="20"/>
          <w:u w:val="single" w:color="auto"/>
          <w:color w:val="auto"/>
        </w:rPr>
        <w:t>Qualifying Termination</w:t>
      </w:r>
      <w:r>
        <w:rPr>
          <w:rFonts w:ascii="Times New Roman" w:cs="Times New Roman" w:eastAsia="Times New Roman" w:hAnsi="Times New Roman"/>
          <w:sz w:val="20"/>
          <w:szCs w:val="20"/>
          <w:color w:val="auto"/>
        </w:rPr>
        <w:t xml:space="preserve">”), the PSUs shall not terminate upon such Qualifying Termination and instead shall remain outstanding and eligible to become Earned PSUs in accordance with the terms of </w:t>
      </w:r>
      <w:r>
        <w:rPr>
          <w:rFonts w:ascii="Times New Roman" w:cs="Times New Roman" w:eastAsia="Times New Roman" w:hAnsi="Times New Roman"/>
          <w:sz w:val="20"/>
          <w:szCs w:val="20"/>
          <w:u w:val="single" w:color="auto"/>
          <w:color w:val="auto"/>
        </w:rPr>
        <w:t>Exhibit B</w:t>
      </w:r>
      <w:r>
        <w:rPr>
          <w:rFonts w:ascii="Times New Roman" w:cs="Times New Roman" w:eastAsia="Times New Roman" w:hAnsi="Times New Roman"/>
          <w:sz w:val="20"/>
          <w:szCs w:val="20"/>
          <w:color w:val="auto"/>
        </w:rPr>
        <w:t xml:space="preserve"> and to vest on the Performance Period End Date. The number of Earned PSUs, if any, will be prorated based on the number of the days that have elapsed in the Performance Period from the first day of the Performance Period to the date of such Qualifying Termination (but not more than 1,095 days) over 1,095 and, notwithstanding Section 4 hereof, shall be settled no later than March 15 of the year following the year in which the Performance Period End Date occurs. If, prior to the</w:t>
      </w:r>
    </w:p>
    <w:p>
      <w:pPr>
        <w:sectPr>
          <w:pgSz w:w="11900" w:h="16838" w:orient="portrait"/>
          <w:cols w:equalWidth="0" w:num="1">
            <w:col w:w="10900"/>
          </w:cols>
          <w:pgMar w:left="520" w:top="1395" w:right="479" w:bottom="1440" w:gutter="0" w:footer="0" w:header="0"/>
        </w:sectPr>
      </w:pPr>
    </w:p>
    <w:bookmarkStart w:id="76" w:name="page77"/>
    <w:bookmarkEnd w:id="76"/>
    <w:p>
      <w:pPr>
        <w:spacing w:after="0" w:line="108"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20"/>
          <w:szCs w:val="20"/>
          <w:color w:val="auto"/>
        </w:rPr>
        <w:t xml:space="preserve">Performance Period End Date, the Participant experiences a Termination of Service by reason of the Participant’s death or by the Company due to his or her Disability, upon such termination, a number of PSUs shall be deemed to become Earned PSUs based on the Target Award multiplied by the number of the days that have elapsed in the Performance Period from the first day of the Performance Period to the date of such termination (but not more than 1,095 days) over 1,095, and such Earned PSUs shall vest as of such termination. If any such termination occurs after the end of the Performance Period but before the Vesting Date, the number of PSUs that become Earned PSUs shall be based on actual performance during the Performance Period as determined under </w:t>
      </w:r>
      <w:r>
        <w:rPr>
          <w:rFonts w:ascii="Times New Roman" w:cs="Times New Roman" w:eastAsia="Times New Roman" w:hAnsi="Times New Roman"/>
          <w:sz w:val="20"/>
          <w:szCs w:val="20"/>
          <w:u w:val="single" w:color="auto"/>
          <w:color w:val="auto"/>
        </w:rPr>
        <w:t>Exhibit B</w:t>
      </w:r>
      <w:r>
        <w:rPr>
          <w:rFonts w:ascii="Times New Roman" w:cs="Times New Roman" w:eastAsia="Times New Roman" w:hAnsi="Times New Roman"/>
          <w:sz w:val="20"/>
          <w:szCs w:val="20"/>
          <w:color w:val="auto"/>
        </w:rPr>
        <w:t xml:space="preserve"> hereto and shall be prorated as determined in accordance with this subsection (c) and the Earned PSUs shall be settled upon the Vesting Date or the date of termination, as applicable, depending on the nature of the termination as set forth herein.</w:t>
      </w:r>
    </w:p>
    <w:p>
      <w:pPr>
        <w:spacing w:after="0" w:line="195" w:lineRule="exact"/>
        <w:rPr>
          <w:sz w:val="20"/>
          <w:szCs w:val="20"/>
          <w:color w:val="auto"/>
        </w:rPr>
      </w:pPr>
    </w:p>
    <w:p>
      <w:pPr>
        <w:ind w:right="120" w:firstLine="652"/>
        <w:spacing w:after="0" w:line="266" w:lineRule="auto"/>
        <w:tabs>
          <w:tab w:leader="none" w:pos="1095" w:val="left"/>
        </w:tabs>
        <w:numPr>
          <w:ilvl w:val="1"/>
          <w:numId w:val="3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If, prior to the Performance Period End Date (as defined in </w:t>
      </w:r>
      <w:r>
        <w:rPr>
          <w:rFonts w:ascii="Times New Roman" w:cs="Times New Roman" w:eastAsia="Times New Roman" w:hAnsi="Times New Roman"/>
          <w:sz w:val="19"/>
          <w:szCs w:val="19"/>
          <w:u w:val="single" w:color="auto"/>
          <w:color w:val="auto"/>
        </w:rPr>
        <w:t>Exhibit B</w:t>
      </w:r>
      <w:r>
        <w:rPr>
          <w:rFonts w:ascii="Times New Roman" w:cs="Times New Roman" w:eastAsia="Times New Roman" w:hAnsi="Times New Roman"/>
          <w:sz w:val="19"/>
          <w:szCs w:val="19"/>
          <w:color w:val="auto"/>
        </w:rPr>
        <w:t>), a Change in Control occurs, to the extent the PSUs are outstanding immediately prior to such Change in Control, the Committee shall determine the extent to which the Performance Objectives have been met as of the date of such Change in Control as if the Performance Period End Date were the date of such Change in Control and shall determine the number of Earned PSUs, if any. The number of Earned PSUs, if any, shall continue to vest based solely on time and shall vest on the Vesting Date, subject to the Participant remaining in continuous employment with the Company or an Affiliate through such date; provided, that, if the Participant experiences a Qualifying Termination within 24 months following the Change in Control or if the Participant experiences a Termination of Service by reason of the Participant’s death or by the Company due to his or her Disability following the Change in Control, the Earned PSUs will automatically vest in full upon such termination.</w:t>
      </w:r>
    </w:p>
    <w:p>
      <w:pPr>
        <w:spacing w:after="0" w:line="178" w:lineRule="exact"/>
        <w:rPr>
          <w:rFonts w:ascii="Times New Roman" w:cs="Times New Roman" w:eastAsia="Times New Roman" w:hAnsi="Times New Roman"/>
          <w:sz w:val="19"/>
          <w:szCs w:val="19"/>
          <w:color w:val="auto"/>
        </w:rPr>
      </w:pPr>
    </w:p>
    <w:p>
      <w:pPr>
        <w:ind w:right="100" w:firstLine="330"/>
        <w:spacing w:after="0" w:line="251" w:lineRule="auto"/>
        <w:tabs>
          <w:tab w:leader="none" w:pos="1093" w:val="left"/>
        </w:tabs>
        <w:numPr>
          <w:ilvl w:val="0"/>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Dividend Equivalents</w:t>
      </w:r>
      <w:r>
        <w:rPr>
          <w:rFonts w:ascii="Times New Roman" w:cs="Times New Roman" w:eastAsia="Times New Roman" w:hAnsi="Times New Roman"/>
          <w:sz w:val="20"/>
          <w:szCs w:val="20"/>
          <w:color w:val="auto"/>
        </w:rPr>
        <w:t>. In the event that the Company declares and pays a dividend in respect of its outstanding Shares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and, on the record date for such dividend, the Participant holds PSUs granted pursuant to this Agreement that have not been settled, the Company shall record the amount of such dividend in a bookkeeping account and pay to the Participant an amount in cash equal to the cash dividends the Participant would have received if the Participant was the holder of record, as of such record date, of a number of Shares equal to the number of PSUs subject to the Target Award held by the Participant that have not been settled as of such record date, such payment to be made on the date on which such PSUs are settled in accordance with </w:t>
      </w:r>
      <w:r>
        <w:rPr>
          <w:rFonts w:ascii="Times New Roman" w:cs="Times New Roman" w:eastAsia="Times New Roman" w:hAnsi="Times New Roman"/>
          <w:sz w:val="20"/>
          <w:szCs w:val="20"/>
          <w:u w:val="single" w:color="auto"/>
          <w:color w:val="auto"/>
        </w:rPr>
        <w:t>Section 4</w:t>
      </w:r>
      <w:r>
        <w:rPr>
          <w:rFonts w:ascii="Times New Roman" w:cs="Times New Roman" w:eastAsia="Times New Roman" w:hAnsi="Times New Roman"/>
          <w:sz w:val="20"/>
          <w:szCs w:val="20"/>
          <w:color w:val="auto"/>
        </w:rPr>
        <w:t xml:space="preserve"> and based on the number of PSUs that become Earned PSUs (the “</w:t>
      </w:r>
      <w:r>
        <w:rPr>
          <w:rFonts w:ascii="Times New Roman" w:cs="Times New Roman" w:eastAsia="Times New Roman" w:hAnsi="Times New Roman"/>
          <w:sz w:val="20"/>
          <w:szCs w:val="20"/>
          <w:u w:val="single" w:color="auto"/>
          <w:color w:val="auto"/>
        </w:rPr>
        <w:t>Dividend Equivalents</w:t>
      </w:r>
      <w:r>
        <w:rPr>
          <w:rFonts w:ascii="Times New Roman" w:cs="Times New Roman" w:eastAsia="Times New Roman" w:hAnsi="Times New Roman"/>
          <w:sz w:val="20"/>
          <w:szCs w:val="20"/>
          <w:color w:val="auto"/>
        </w:rPr>
        <w:t>”). For purposes of clarity, if the PSUs (or any portion thereof) are forfeited by the Participant pursuant to the terms of this Agreement, then the Participant shall also forfeit the Dividend Equivalents, if any, accrued with respect to such forfeited PSUs. No interest will accrue on the Dividend Equivalents between the declaration and payment of the applicable dividends and the settlement of the Dividend Equivalents.</w:t>
      </w:r>
    </w:p>
    <w:p>
      <w:pPr>
        <w:spacing w:after="0" w:line="186" w:lineRule="exact"/>
        <w:rPr>
          <w:rFonts w:ascii="Times New Roman" w:cs="Times New Roman" w:eastAsia="Times New Roman" w:hAnsi="Times New Roman"/>
          <w:sz w:val="20"/>
          <w:szCs w:val="20"/>
          <w:color w:val="auto"/>
        </w:rPr>
      </w:pPr>
    </w:p>
    <w:p>
      <w:pPr>
        <w:ind w:right="280" w:firstLine="328"/>
        <w:spacing w:after="0" w:line="252" w:lineRule="auto"/>
        <w:tabs>
          <w:tab w:leader="none" w:pos="1093" w:val="left"/>
        </w:tabs>
        <w:numPr>
          <w:ilvl w:val="0"/>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Settlement of Earned PSUs</w:t>
      </w:r>
      <w:r>
        <w:rPr>
          <w:rFonts w:ascii="Times New Roman" w:cs="Times New Roman" w:eastAsia="Times New Roman" w:hAnsi="Times New Roman"/>
          <w:sz w:val="20"/>
          <w:szCs w:val="20"/>
          <w:color w:val="auto"/>
        </w:rPr>
        <w:t>. As soon as administratively practicable following the vesting of any Earned PSUs subject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to this award, but in no event later than 30 days after the date on which such Earned PSUs vest, the Company shall deliver to the Participant a number of Shares equal to the number of vested Earned PSUs subject to this Award. All Shares issued hereunder shall be delivered either by delivering one or more certificates for such shares to the Participant or by entering such shares in book-entry form, as determined by the Committee in its sole discretion. The value of Shares shall not bear any interest owing to the passage of time. Neither this </w:t>
      </w:r>
      <w:r>
        <w:rPr>
          <w:rFonts w:ascii="Times New Roman" w:cs="Times New Roman" w:eastAsia="Times New Roman" w:hAnsi="Times New Roman"/>
          <w:sz w:val="20"/>
          <w:szCs w:val="20"/>
          <w:u w:val="single" w:color="auto"/>
          <w:color w:val="auto"/>
        </w:rPr>
        <w:t>Section 4</w:t>
      </w:r>
      <w:r>
        <w:rPr>
          <w:rFonts w:ascii="Times New Roman" w:cs="Times New Roman" w:eastAsia="Times New Roman" w:hAnsi="Times New Roman"/>
          <w:sz w:val="20"/>
          <w:szCs w:val="20"/>
          <w:color w:val="auto"/>
        </w:rPr>
        <w:t xml:space="preserve"> nor any action taken pursuant to or in accordance with this Agreement shall be construed to create a trust or a funded or secured obligation of any kind.</w:t>
      </w:r>
    </w:p>
    <w:p>
      <w:pPr>
        <w:spacing w:after="0" w:line="186" w:lineRule="exact"/>
        <w:rPr>
          <w:rFonts w:ascii="Times New Roman" w:cs="Times New Roman" w:eastAsia="Times New Roman" w:hAnsi="Times New Roman"/>
          <w:sz w:val="20"/>
          <w:szCs w:val="20"/>
          <w:color w:val="auto"/>
        </w:rPr>
      </w:pPr>
    </w:p>
    <w:p>
      <w:pPr>
        <w:ind w:right="520" w:firstLine="328"/>
        <w:spacing w:after="0" w:line="263" w:lineRule="auto"/>
        <w:tabs>
          <w:tab w:leader="none" w:pos="1093" w:val="left"/>
        </w:tabs>
        <w:numPr>
          <w:ilvl w:val="0"/>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Restrictive Covenants</w:t>
      </w:r>
      <w:r>
        <w:rPr>
          <w:rFonts w:ascii="Times New Roman" w:cs="Times New Roman" w:eastAsia="Times New Roman" w:hAnsi="Times New Roman"/>
          <w:sz w:val="20"/>
          <w:szCs w:val="20"/>
          <w:color w:val="auto"/>
        </w:rPr>
        <w:t>. Notwithstanding any provision in this Agreement or the Plan to the contrary, in the event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Committee determines that the Participant has failed to abide by the provisions of any confidentiality, non-competition or non-solicitation covenant in any agreement by</w:t>
      </w:r>
    </w:p>
    <w:p>
      <w:pPr>
        <w:sectPr>
          <w:pgSz w:w="11900" w:h="16838" w:orient="portrait"/>
          <w:cols w:equalWidth="0" w:num="1">
            <w:col w:w="10900"/>
          </w:cols>
          <w:pgMar w:left="520" w:top="1440" w:right="479" w:bottom="1440" w:gutter="0" w:footer="0" w:header="0"/>
        </w:sectPr>
      </w:pPr>
    </w:p>
    <w:bookmarkStart w:id="77" w:name="page78"/>
    <w:bookmarkEnd w:id="77"/>
    <w:p>
      <w:pPr>
        <w:spacing w:after="0" w:line="108" w:lineRule="exact"/>
        <w:rPr>
          <w:sz w:val="20"/>
          <w:szCs w:val="20"/>
          <w:color w:val="auto"/>
        </w:rPr>
      </w:pPr>
    </w:p>
    <w:p>
      <w:pPr>
        <w:ind w:right="440"/>
        <w:spacing w:after="0" w:line="281" w:lineRule="auto"/>
        <w:rPr>
          <w:sz w:val="20"/>
          <w:szCs w:val="20"/>
          <w:color w:val="auto"/>
        </w:rPr>
      </w:pPr>
      <w:r>
        <w:rPr>
          <w:rFonts w:ascii="Times New Roman" w:cs="Times New Roman" w:eastAsia="Times New Roman" w:hAnsi="Times New Roman"/>
          <w:sz w:val="19"/>
          <w:szCs w:val="19"/>
          <w:color w:val="auto"/>
        </w:rPr>
        <w:t>and between the Company or any Affiliate and the Participant, then all PSUs that have not been settled as of the date of such determination, whether or not earned (and all rights arising from such PSUs and from being a holder thereof) will terminate automatically without any further action by the Company and will be forfeited without further notice and at no cost to the Company.</w:t>
      </w:r>
    </w:p>
    <w:p>
      <w:pPr>
        <w:spacing w:after="0" w:line="160" w:lineRule="exact"/>
        <w:rPr>
          <w:sz w:val="20"/>
          <w:szCs w:val="20"/>
          <w:color w:val="auto"/>
        </w:rPr>
      </w:pPr>
    </w:p>
    <w:p>
      <w:pPr>
        <w:ind w:firstLine="326"/>
        <w:spacing w:after="0" w:line="250" w:lineRule="auto"/>
        <w:tabs>
          <w:tab w:leader="none" w:pos="1093" w:val="left"/>
        </w:tabs>
        <w:numPr>
          <w:ilvl w:val="0"/>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Tax Withholding</w:t>
      </w:r>
      <w:r>
        <w:rPr>
          <w:rFonts w:ascii="Times New Roman" w:cs="Times New Roman" w:eastAsia="Times New Roman" w:hAnsi="Times New Roman"/>
          <w:sz w:val="20"/>
          <w:szCs w:val="20"/>
          <w:color w:val="auto"/>
        </w:rPr>
        <w:t>. To the extent that the receipt, vesting or settlement of this Award results in compensation income or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wages to the Participant for federal, state, local and/or foreign tax purposes, the Participant shall make arrangements satisfactory to the Company regarding the payment of, any income tax, social insurance contribution or other applicable taxes that are required to be withheld in respect of this Award, which arrangements include the delivery of cash or cash equivalents, Shares (including previously owned Shares (which are not subject to any pledge or other security interest), net settlement, a broker-assisted sale, or other cashless withholding or reduction of the amount of shares otherwise issuable or delivered pursuant to this Award), other property, or any other legal consideration the Committee deems appropriate. If such tax obligations are satisfied through net settlement or the surrender of previously owned Shares, the maximum number of Shares that may be so withheld (or surrendered) shall be the number of Shares that have an aggregate Fair Market Value on the date of withholding or surrender equal to the aggregate amount of such tax liabilities determined based on the greatest withholding rates for federal, state, local and/or foreign tax purposes, including payroll taxes, that may be utilized without creating adverse accounting treatment for the Company with respect to this Award, as determined by the Committee. Any fraction of a Share required to satisfy such tax obligations shall be disregarded and the amount due shall be paid instead in cash to the Participant. The Participant acknowledges that there may be adverse tax consequences upon the receipt, vesting or settlement of this Award or disposition of the underlying shares and that the Participant has been advised, and hereby is advised, to consult a tax advisor. The Participant represents that the Participant is in no manner relying on the Board, the Committee, the Company or an Affiliate or any of their respective managers, directors, officers, employees or authorized representatives (including attorneys, accountants, consultants, bankers, lenders, prospective lenders and financial representatives) for tax advice or an assessment of such tax consequences.</w:t>
      </w:r>
    </w:p>
    <w:p>
      <w:pPr>
        <w:spacing w:after="0" w:line="179" w:lineRule="exact"/>
        <w:rPr>
          <w:rFonts w:ascii="Times New Roman" w:cs="Times New Roman" w:eastAsia="Times New Roman" w:hAnsi="Times New Roman"/>
          <w:sz w:val="20"/>
          <w:szCs w:val="20"/>
          <w:color w:val="auto"/>
        </w:rPr>
      </w:pPr>
    </w:p>
    <w:p>
      <w:pPr>
        <w:jc w:val="both"/>
        <w:ind w:right="380" w:firstLine="328"/>
        <w:spacing w:after="0" w:line="263" w:lineRule="auto"/>
        <w:tabs>
          <w:tab w:leader="none" w:pos="1093" w:val="left"/>
        </w:tabs>
        <w:numPr>
          <w:ilvl w:val="0"/>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Employment Relationship</w:t>
      </w:r>
      <w:r>
        <w:rPr>
          <w:rFonts w:ascii="Times New Roman" w:cs="Times New Roman" w:eastAsia="Times New Roman" w:hAnsi="Times New Roman"/>
          <w:sz w:val="20"/>
          <w:szCs w:val="20"/>
          <w:color w:val="auto"/>
        </w:rPr>
        <w:t>. For purposes of this Agreement, the Participant shall be considered to be employed by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Company or an Affiliate as long as the Participant remains an employee of any of the Company, an Affiliate or a corporation or other entity (or a parent or subsidiary of such corporation or other entity) assuming or substituting a new award for this Award.</w:t>
      </w:r>
    </w:p>
    <w:p>
      <w:pPr>
        <w:spacing w:after="0" w:line="175" w:lineRule="exact"/>
        <w:rPr>
          <w:rFonts w:ascii="Times New Roman" w:cs="Times New Roman" w:eastAsia="Times New Roman" w:hAnsi="Times New Roman"/>
          <w:sz w:val="20"/>
          <w:szCs w:val="20"/>
          <w:color w:val="auto"/>
        </w:rPr>
      </w:pPr>
    </w:p>
    <w:p>
      <w:pPr>
        <w:ind w:right="140" w:firstLine="328"/>
        <w:spacing w:after="0" w:line="252" w:lineRule="auto"/>
        <w:tabs>
          <w:tab w:leader="none" w:pos="1093" w:val="left"/>
        </w:tabs>
        <w:numPr>
          <w:ilvl w:val="0"/>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Non-Transferability</w:t>
      </w:r>
      <w:r>
        <w:rPr>
          <w:rFonts w:ascii="Times New Roman" w:cs="Times New Roman" w:eastAsia="Times New Roman" w:hAnsi="Times New Roman"/>
          <w:sz w:val="20"/>
          <w:szCs w:val="20"/>
          <w:color w:val="auto"/>
        </w:rPr>
        <w:t>. During the lifetime of the Participant, the PSUs may not be sold, pledged, assigned or transferred in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any manner other than by will or by the laws of descent and distribution, unless and until the Shares underlying the PSUs have been issued, and all restrictions applicable to such shares have lapsed. Neither the PSUs nor any interest or right therein shall be liable for the debts, contracts or engagements of the Participant or his or her successors in interest or shall be subject to disposition by transfer, alienation, anticipation, pledge, encumbrance, assignment or any other means, whether such disposition be voluntary or involuntary or by operation of law by judgment, levy, attachment, garnishment or any other legal or equitable proceedings (including bankruptcy), and any attempted disposition thereof shall be null and void and of no effect, except to the extent that such disposition is permitted by the preceding sentence.</w:t>
      </w:r>
    </w:p>
    <w:p>
      <w:pPr>
        <w:spacing w:after="0" w:line="187" w:lineRule="exact"/>
        <w:rPr>
          <w:rFonts w:ascii="Times New Roman" w:cs="Times New Roman" w:eastAsia="Times New Roman" w:hAnsi="Times New Roman"/>
          <w:sz w:val="20"/>
          <w:szCs w:val="20"/>
          <w:color w:val="auto"/>
        </w:rPr>
      </w:pPr>
    </w:p>
    <w:p>
      <w:pPr>
        <w:ind w:right="400" w:firstLine="329"/>
        <w:spacing w:after="0" w:line="255" w:lineRule="auto"/>
        <w:tabs>
          <w:tab w:leader="none" w:pos="1093" w:val="left"/>
        </w:tabs>
        <w:numPr>
          <w:ilvl w:val="0"/>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Compliance with Applicable Law</w:t>
      </w:r>
      <w:r>
        <w:rPr>
          <w:rFonts w:ascii="Times New Roman" w:cs="Times New Roman" w:eastAsia="Times New Roman" w:hAnsi="Times New Roman"/>
          <w:sz w:val="20"/>
          <w:szCs w:val="20"/>
          <w:color w:val="auto"/>
        </w:rPr>
        <w:t>. Notwithstanding any provision of this Agreement to the contrary, the issuance of</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Shares hereunder will be subject to compliance with all applicable requirements of applicable law with respect to such securities and with the requirements of any stock exchange or market system upon which the Common Stock may then be listed. No Shares will be issued hereunder if such issuance would constitute a violation of any applicable law or regulation or the</w:t>
      </w:r>
    </w:p>
    <w:p>
      <w:pPr>
        <w:sectPr>
          <w:pgSz w:w="11900" w:h="16838" w:orient="portrait"/>
          <w:cols w:equalWidth="0" w:num="1">
            <w:col w:w="10920"/>
          </w:cols>
          <w:pgMar w:left="520" w:top="1440" w:right="459" w:bottom="1440" w:gutter="0" w:footer="0" w:header="0"/>
        </w:sectPr>
      </w:pPr>
    </w:p>
    <w:bookmarkStart w:id="78" w:name="page79"/>
    <w:bookmarkEnd w:id="78"/>
    <w:p>
      <w:pPr>
        <w:spacing w:after="0" w:line="108" w:lineRule="exact"/>
        <w:rPr>
          <w:sz w:val="20"/>
          <w:szCs w:val="20"/>
          <w:color w:val="auto"/>
        </w:rPr>
      </w:pPr>
    </w:p>
    <w:p>
      <w:pPr>
        <w:ind w:right="60"/>
        <w:spacing w:after="0" w:line="252" w:lineRule="auto"/>
        <w:rPr>
          <w:sz w:val="20"/>
          <w:szCs w:val="20"/>
          <w:color w:val="auto"/>
        </w:rPr>
      </w:pPr>
      <w:r>
        <w:rPr>
          <w:rFonts w:ascii="Times New Roman" w:cs="Times New Roman" w:eastAsia="Times New Roman" w:hAnsi="Times New Roman"/>
          <w:sz w:val="20"/>
          <w:szCs w:val="20"/>
          <w:color w:val="auto"/>
        </w:rPr>
        <w:t>requirements of any stock exchange or market system upon which the Shares may then be listed. In addition, Shares will not be issued hereunder unless (a) a registration statement under the Securities Act is in effect at the time of such issuance with respect to the shares to be issued or (b) in the opinion of legal counsel to the Company, the shares to be issued are permitted to be issued in accordance with the terms of an applicable exemption from the registration requirements of the Securities Act. The inability of the Company to obtain from any regulatory body having jurisdiction the authority, if any, deemed by the Company’s legal counsel to be necessary for the lawful issuance and sale of any Shares hereunder will relieve the Company of any liability in respect of the failure to issue such shares as to which such requisite authority has not been obtained. As a condition to any issuance of Shares hereunder, the Company may require the Participant to satisfy any requirements that may be necessary or appropriate to evidence compliance with any applicable law or regulation and to make any representation or warranty with respect to such compliance as may be requested by the Company.</w:t>
      </w:r>
    </w:p>
    <w:p>
      <w:pPr>
        <w:spacing w:after="0" w:line="185" w:lineRule="exact"/>
        <w:rPr>
          <w:sz w:val="20"/>
          <w:szCs w:val="20"/>
          <w:color w:val="auto"/>
        </w:rPr>
      </w:pPr>
    </w:p>
    <w:p>
      <w:pPr>
        <w:ind w:right="100" w:firstLine="330"/>
        <w:spacing w:after="0" w:line="255" w:lineRule="auto"/>
        <w:tabs>
          <w:tab w:leader="none" w:pos="1098" w:val="left"/>
        </w:tabs>
        <w:numPr>
          <w:ilvl w:val="0"/>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Rights as a Stockholder</w:t>
      </w:r>
      <w:r>
        <w:rPr>
          <w:rFonts w:ascii="Times New Roman" w:cs="Times New Roman" w:eastAsia="Times New Roman" w:hAnsi="Times New Roman"/>
          <w:sz w:val="20"/>
          <w:szCs w:val="20"/>
          <w:color w:val="auto"/>
        </w:rPr>
        <w:t>. The Participant shall have no rights as a stockholder of the Company with respect to any Shares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that may become deliverable hereunder unless and until the Participant has become the holder of record of such Shares, and no adjustments shall be made for dividends in cash or other property, distributions or other rights in respect of any such Shares, except as otherwise specifically provided for in the Plan or this Agreement.</w:t>
      </w:r>
    </w:p>
    <w:p>
      <w:pPr>
        <w:spacing w:after="0" w:line="183" w:lineRule="exact"/>
        <w:rPr>
          <w:rFonts w:ascii="Times New Roman" w:cs="Times New Roman" w:eastAsia="Times New Roman" w:hAnsi="Times New Roman"/>
          <w:sz w:val="20"/>
          <w:szCs w:val="20"/>
          <w:color w:val="auto"/>
        </w:rPr>
      </w:pPr>
    </w:p>
    <w:p>
      <w:pPr>
        <w:ind w:right="120" w:firstLine="328"/>
        <w:spacing w:after="0" w:line="254" w:lineRule="auto"/>
        <w:tabs>
          <w:tab w:leader="none" w:pos="1090" w:val="left"/>
        </w:tabs>
        <w:numPr>
          <w:ilvl w:val="0"/>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Execution of Receipts and Releases</w:t>
      </w:r>
      <w:r>
        <w:rPr>
          <w:rFonts w:ascii="Times New Roman" w:cs="Times New Roman" w:eastAsia="Times New Roman" w:hAnsi="Times New Roman"/>
          <w:sz w:val="20"/>
          <w:szCs w:val="20"/>
          <w:color w:val="auto"/>
        </w:rPr>
        <w:t>. Any issuance or transfer of Shares or other property to the Participant or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Participant’s legal representative, heir, legatee or distributee, in accordance with this Agreement shall be in full satisfaction of all claims of such Person hereunder. As a condition precedent to such payment or issuance, the Company may require the Participant or the Participant’s legal representative, heir, legatee or distributee to execute (and not revoke within any time provided to do so) a release and receipt therefor in such form as it shall determine appropriate; provided, however, that any review period under such release will not modify the date of settlement with respect to vested Earned PSUs.</w:t>
      </w:r>
    </w:p>
    <w:p>
      <w:pPr>
        <w:spacing w:after="0" w:line="186" w:lineRule="exact"/>
        <w:rPr>
          <w:rFonts w:ascii="Times New Roman" w:cs="Times New Roman" w:eastAsia="Times New Roman" w:hAnsi="Times New Roman"/>
          <w:sz w:val="20"/>
          <w:szCs w:val="20"/>
          <w:color w:val="auto"/>
        </w:rPr>
      </w:pPr>
    </w:p>
    <w:p>
      <w:pPr>
        <w:ind w:firstLine="328"/>
        <w:spacing w:after="0" w:line="251" w:lineRule="auto"/>
        <w:tabs>
          <w:tab w:leader="none" w:pos="1098" w:val="left"/>
        </w:tabs>
        <w:numPr>
          <w:ilvl w:val="0"/>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No Right to Continued Employment, Service or Awards</w:t>
      </w:r>
      <w:r>
        <w:rPr>
          <w:rFonts w:ascii="Times New Roman" w:cs="Times New Roman" w:eastAsia="Times New Roman" w:hAnsi="Times New Roman"/>
          <w:sz w:val="20"/>
          <w:szCs w:val="20"/>
          <w:color w:val="auto"/>
        </w:rPr>
        <w:t>. Nothing in the adoption of the Plan, nor the award of the PSUs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thereunder pursuant to the Grant Notice and this Agreement, shall confer upon the Participant the right to continued employment by, or a continued service relationship with, the Company or any Affiliate, or any other entity, or affect in any way the right of the Company or any such Affiliate, or any other entity to terminate such employment or other service relationship at any time. The grant of the PSUs is a one-time benefit and does not create any contractual or other right to receive a grant of Awards or benefits in lieu of Awards in the future. Any future Awards will be granted at the sole discretion of the Company.</w:t>
      </w:r>
    </w:p>
    <w:p>
      <w:pPr>
        <w:spacing w:after="0" w:line="190" w:lineRule="exact"/>
        <w:rPr>
          <w:rFonts w:ascii="Times New Roman" w:cs="Times New Roman" w:eastAsia="Times New Roman" w:hAnsi="Times New Roman"/>
          <w:sz w:val="20"/>
          <w:szCs w:val="20"/>
          <w:color w:val="auto"/>
        </w:rPr>
      </w:pPr>
    </w:p>
    <w:p>
      <w:pPr>
        <w:ind w:right="520" w:firstLine="330"/>
        <w:spacing w:after="0" w:line="287" w:lineRule="auto"/>
        <w:tabs>
          <w:tab w:leader="none" w:pos="1098" w:val="left"/>
        </w:tabs>
        <w:numPr>
          <w:ilvl w:val="0"/>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Notices</w:t>
      </w:r>
      <w:r>
        <w:rPr>
          <w:rFonts w:ascii="Times New Roman" w:cs="Times New Roman" w:eastAsia="Times New Roman" w:hAnsi="Times New Roman"/>
          <w:sz w:val="20"/>
          <w:szCs w:val="20"/>
          <w:color w:val="auto"/>
        </w:rPr>
        <w:t>. All notices and other communications under this Agreement shall be in writing and shall be delivered to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parties at the following addresses (or at such other address for a party as shall be specified by like notice):</w:t>
      </w:r>
    </w:p>
    <w:p>
      <w:pPr>
        <w:spacing w:after="0" w:line="14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If to the Company, unless otherwise designated by the Company in a written notice to the Participant (or other holder):</w:t>
      </w:r>
    </w:p>
    <w:p>
      <w:pPr>
        <w:spacing w:after="0" w:line="22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Array Technologies, Inc.</w:t>
      </w:r>
    </w:p>
    <w:p>
      <w:pPr>
        <w:spacing w:after="0" w:line="2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Attn: Chief Legal Officer</w:t>
      </w:r>
    </w:p>
    <w:p>
      <w:pPr>
        <w:spacing w:after="0" w:line="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3901 Midway Place NE</w:t>
      </w:r>
    </w:p>
    <w:p>
      <w:pPr>
        <w:spacing w:after="0" w:line="1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Albuquerque, New Mexico 87109</w:t>
      </w:r>
    </w:p>
    <w:p>
      <w:pPr>
        <w:spacing w:after="0" w:line="20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If to the Participant, at the Participant’s last known address on file with the Company.</w:t>
      </w:r>
    </w:p>
    <w:p>
      <w:pPr>
        <w:sectPr>
          <w:pgSz w:w="11900" w:h="16838" w:orient="portrait"/>
          <w:cols w:equalWidth="0" w:num="1">
            <w:col w:w="10880"/>
          </w:cols>
          <w:pgMar w:left="520" w:top="1440" w:right="499" w:bottom="1440" w:gutter="0" w:footer="0" w:header="0"/>
        </w:sectPr>
      </w:pPr>
    </w:p>
    <w:bookmarkStart w:id="79" w:name="page80"/>
    <w:bookmarkEnd w:id="79"/>
    <w:p>
      <w:pPr>
        <w:spacing w:after="0" w:line="108" w:lineRule="exact"/>
        <w:rPr>
          <w:sz w:val="20"/>
          <w:szCs w:val="20"/>
          <w:color w:val="auto"/>
        </w:rPr>
      </w:pPr>
    </w:p>
    <w:p>
      <w:pPr>
        <w:ind w:right="160" w:firstLine="648"/>
        <w:spacing w:after="0" w:line="257" w:lineRule="auto"/>
        <w:rPr>
          <w:sz w:val="20"/>
          <w:szCs w:val="20"/>
          <w:color w:val="auto"/>
        </w:rPr>
      </w:pPr>
      <w:r>
        <w:rPr>
          <w:rFonts w:ascii="Times New Roman" w:cs="Times New Roman" w:eastAsia="Times New Roman" w:hAnsi="Times New Roman"/>
          <w:sz w:val="20"/>
          <w:szCs w:val="20"/>
          <w:color w:val="auto"/>
        </w:rPr>
        <w:t>Any notice that is delivered personally or by overnight courier or telecopier in the manner provided herein shall be deemed to have been duly given to the Participant when it is mailed by the Company or, if such notice is not mailed to the Participant, upon receipt by the Participant. Any notice that is addressed and mailed in the manner herein provided shall be conclusively presumed to have been given to the party to whom it is addressed at the close of business, local time of the recipient, on the fourth day after the day it is so placed in the mail.</w:t>
      </w:r>
    </w:p>
    <w:p>
      <w:pPr>
        <w:spacing w:after="0" w:line="169" w:lineRule="exact"/>
        <w:rPr>
          <w:sz w:val="20"/>
          <w:szCs w:val="20"/>
          <w:color w:val="auto"/>
        </w:rPr>
      </w:pPr>
    </w:p>
    <w:p>
      <w:pPr>
        <w:ind w:firstLine="326"/>
        <w:spacing w:after="0" w:line="267" w:lineRule="auto"/>
        <w:tabs>
          <w:tab w:leader="none" w:pos="1098" w:val="left"/>
        </w:tabs>
        <w:numPr>
          <w:ilvl w:val="0"/>
          <w:numId w:val="3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u w:val="single" w:color="auto"/>
          <w:color w:val="auto"/>
        </w:rPr>
        <w:t>Consent to Electronic Delivery; Electronic Signature</w:t>
      </w:r>
      <w:r>
        <w:rPr>
          <w:rFonts w:ascii="Times New Roman" w:cs="Times New Roman" w:eastAsia="Times New Roman" w:hAnsi="Times New Roman"/>
          <w:sz w:val="19"/>
          <w:szCs w:val="19"/>
          <w:color w:val="auto"/>
        </w:rPr>
        <w:t>. In lieu of receiving documents in paper format, the Participant</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agrees, to the fullest extent permitted by law, to accept electronic delivery of any documents that the Company may be required to deliver (including, but not limited to, prospectuses, prospectus supplements, grant or award notifications and agreements, account statements, annual and quarterly reports and all other forms of communications) in connection with this and any other Award made or offered by the Company. Electronic delivery may be via a Company electronic mail system or by reference to a location on a Company intranet to which the Participant has access. The Participant hereby consents to any and all procedures the Company has established or may establish for an electronic signature system for delivery and acceptance of any such documents that the Company may be required to deliver, and agrees that his or her electronic signature is the same as, and shall have the same force and effect as, his or her manual signature.</w:t>
      </w:r>
    </w:p>
    <w:p>
      <w:pPr>
        <w:spacing w:after="0" w:line="175" w:lineRule="exact"/>
        <w:rPr>
          <w:rFonts w:ascii="Times New Roman" w:cs="Times New Roman" w:eastAsia="Times New Roman" w:hAnsi="Times New Roman"/>
          <w:sz w:val="19"/>
          <w:szCs w:val="19"/>
          <w:color w:val="auto"/>
        </w:rPr>
      </w:pPr>
    </w:p>
    <w:p>
      <w:pPr>
        <w:ind w:left="1100" w:hanging="772"/>
        <w:spacing w:after="0"/>
        <w:tabs>
          <w:tab w:leader="none" w:pos="1100" w:val="left"/>
        </w:tabs>
        <w:numPr>
          <w:ilvl w:val="0"/>
          <w:numId w:val="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Agreement to Furnish Information</w:t>
      </w:r>
      <w:r>
        <w:rPr>
          <w:rFonts w:ascii="Times New Roman" w:cs="Times New Roman" w:eastAsia="Times New Roman" w:hAnsi="Times New Roman"/>
          <w:sz w:val="20"/>
          <w:szCs w:val="20"/>
          <w:color w:val="auto"/>
        </w:rPr>
        <w:t>. The Participant agrees to furnish to the Company all information requested by</w:t>
      </w:r>
    </w:p>
    <w:p>
      <w:pPr>
        <w:spacing w:after="0" w:line="32" w:lineRule="exact"/>
        <w:rPr>
          <w:sz w:val="20"/>
          <w:szCs w:val="20"/>
          <w:color w:val="auto"/>
        </w:rPr>
      </w:pPr>
    </w:p>
    <w:p>
      <w:pPr>
        <w:ind w:right="480"/>
        <w:spacing w:after="0" w:line="253" w:lineRule="auto"/>
        <w:rPr>
          <w:sz w:val="20"/>
          <w:szCs w:val="20"/>
          <w:color w:val="auto"/>
        </w:rPr>
      </w:pPr>
      <w:r>
        <w:rPr>
          <w:rFonts w:ascii="Times New Roman" w:cs="Times New Roman" w:eastAsia="Times New Roman" w:hAnsi="Times New Roman"/>
          <w:sz w:val="20"/>
          <w:szCs w:val="20"/>
          <w:color w:val="auto"/>
        </w:rPr>
        <w:t>the Company to enable it to comply with any reporting or other requirement imposed upon the Company by or under any applicable statute or regulation.</w:t>
      </w:r>
    </w:p>
    <w:p>
      <w:pPr>
        <w:spacing w:after="0" w:line="184" w:lineRule="exact"/>
        <w:rPr>
          <w:sz w:val="20"/>
          <w:szCs w:val="20"/>
          <w:color w:val="auto"/>
        </w:rPr>
      </w:pPr>
    </w:p>
    <w:p>
      <w:pPr>
        <w:ind w:firstLine="330"/>
        <w:spacing w:after="0" w:line="250" w:lineRule="auto"/>
        <w:tabs>
          <w:tab w:leader="none" w:pos="1098" w:val="left"/>
        </w:tabs>
        <w:numPr>
          <w:ilvl w:val="0"/>
          <w:numId w:val="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Entire Agreement; Amendment</w:t>
      </w:r>
      <w:r>
        <w:rPr>
          <w:rFonts w:ascii="Times New Roman" w:cs="Times New Roman" w:eastAsia="Times New Roman" w:hAnsi="Times New Roman"/>
          <w:sz w:val="20"/>
          <w:szCs w:val="20"/>
          <w:color w:val="auto"/>
        </w:rPr>
        <w:t>. This Agreement constitutes the entire agreement of the parties with regard to the subject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matter hereof, and contains all the covenants, promises, representations, warranties and agreements between the parties with respect to the PSUs granted hereby; provided¸ however, that the terms of this Agreement shall not modify and shall be subject to the terms and conditions of any employment, consulting and/or severance agreement between the Company (or an Affiliate or other entity) and the Participant in effect as of the date a determination is to be made under this Agreement. Without limiting the scope of the preceding sentence, except as provided therein, all prior understandings and agreements, if any, among the parties hereto relating to the subject matter hereof are hereby null and void and of no further force and effect. The Committee may, in its sole discretion, amend this Agreement from time to time in any manner that is not inconsistent with the Plan; provided, however, that except as otherwise provided in the Plan or this Agreement, any such amendment that impairs the rights of the Participant shall be effective only if it is in writing and signed by both the Participant and an authorized officer of the Company. The Participant acknowledges and agrees that, without limiting the other provisions of this Agreement, no determination by the Committee under </w:t>
      </w:r>
      <w:r>
        <w:rPr>
          <w:rFonts w:ascii="Times New Roman" w:cs="Times New Roman" w:eastAsia="Times New Roman" w:hAnsi="Times New Roman"/>
          <w:sz w:val="20"/>
          <w:szCs w:val="20"/>
          <w:u w:val="single" w:color="auto"/>
          <w:color w:val="auto"/>
        </w:rPr>
        <w:t>Exhibit B</w:t>
      </w:r>
      <w:r>
        <w:rPr>
          <w:rFonts w:ascii="Times New Roman" w:cs="Times New Roman" w:eastAsia="Times New Roman" w:hAnsi="Times New Roman"/>
          <w:sz w:val="20"/>
          <w:szCs w:val="20"/>
          <w:color w:val="auto"/>
        </w:rPr>
        <w:t xml:space="preserve"> shall be treated as an amendment to this Agreement.</w:t>
      </w:r>
    </w:p>
    <w:p>
      <w:pPr>
        <w:spacing w:after="0" w:line="189" w:lineRule="exact"/>
        <w:rPr>
          <w:rFonts w:ascii="Times New Roman" w:cs="Times New Roman" w:eastAsia="Times New Roman" w:hAnsi="Times New Roman"/>
          <w:sz w:val="20"/>
          <w:szCs w:val="20"/>
          <w:color w:val="auto"/>
        </w:rPr>
      </w:pPr>
    </w:p>
    <w:p>
      <w:pPr>
        <w:ind w:left="1100" w:hanging="770"/>
        <w:spacing w:after="0"/>
        <w:tabs>
          <w:tab w:leader="none" w:pos="1100" w:val="left"/>
        </w:tabs>
        <w:numPr>
          <w:ilvl w:val="0"/>
          <w:numId w:val="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Severability and Waiver</w:t>
      </w:r>
      <w:r>
        <w:rPr>
          <w:rFonts w:ascii="Times New Roman" w:cs="Times New Roman" w:eastAsia="Times New Roman" w:hAnsi="Times New Roman"/>
          <w:sz w:val="20"/>
          <w:szCs w:val="20"/>
          <w:color w:val="auto"/>
        </w:rPr>
        <w:t>. If a court of competent jurisdiction determines that any provision of this Agreement is invalid</w:t>
      </w:r>
    </w:p>
    <w:p>
      <w:pPr>
        <w:spacing w:after="0" w:line="26" w:lineRule="exact"/>
        <w:rPr>
          <w:sz w:val="20"/>
          <w:szCs w:val="20"/>
          <w:color w:val="auto"/>
        </w:rPr>
      </w:pPr>
    </w:p>
    <w:p>
      <w:pPr>
        <w:ind w:right="240"/>
        <w:spacing w:after="0" w:line="251" w:lineRule="auto"/>
        <w:rPr>
          <w:sz w:val="20"/>
          <w:szCs w:val="20"/>
          <w:color w:val="auto"/>
        </w:rPr>
      </w:pPr>
      <w:r>
        <w:rPr>
          <w:rFonts w:ascii="Times New Roman" w:cs="Times New Roman" w:eastAsia="Times New Roman" w:hAnsi="Times New Roman"/>
          <w:sz w:val="20"/>
          <w:szCs w:val="20"/>
          <w:color w:val="auto"/>
        </w:rPr>
        <w:t>or unenforceable, then the invalidity or unenforceability of such provision shall not affect the validity or enforceability of any other provision of this Agreement, and all other provisions shall remain in full force and effect. Waiver by any party of any breach of this Agreement or failure to exercise any right hereunder shall not be deemed to be a waiver of any other breach or right. The failure of any party to take action by reason of such breach or to exercise any such right shall not deprive the party of the right to take action at any time while or after such breach or condition giving rise to such rights continues.</w:t>
      </w:r>
    </w:p>
    <w:p>
      <w:pPr>
        <w:spacing w:after="0" w:line="175" w:lineRule="exact"/>
        <w:rPr>
          <w:sz w:val="20"/>
          <w:szCs w:val="20"/>
          <w:color w:val="auto"/>
        </w:rPr>
      </w:pPr>
    </w:p>
    <w:p>
      <w:pPr>
        <w:ind w:right="340" w:firstLine="328"/>
        <w:spacing w:after="0" w:line="287" w:lineRule="auto"/>
        <w:tabs>
          <w:tab w:leader="none" w:pos="1098" w:val="left"/>
        </w:tabs>
        <w:numPr>
          <w:ilvl w:val="0"/>
          <w:numId w:val="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Company Recoupment of Awards</w:t>
      </w:r>
      <w:r>
        <w:rPr>
          <w:rFonts w:ascii="Times New Roman" w:cs="Times New Roman" w:eastAsia="Times New Roman" w:hAnsi="Times New Roman"/>
          <w:sz w:val="20"/>
          <w:szCs w:val="20"/>
          <w:color w:val="auto"/>
        </w:rPr>
        <w:t>. A Participant’s rights with respect to this Award shall in all events be subject to (a)</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any right that the Company may have under any Company</w:t>
      </w:r>
    </w:p>
    <w:p>
      <w:pPr>
        <w:sectPr>
          <w:pgSz w:w="11900" w:h="16838" w:orient="portrait"/>
          <w:cols w:equalWidth="0" w:num="1">
            <w:col w:w="10940"/>
          </w:cols>
          <w:pgMar w:left="520" w:top="1440" w:right="439" w:bottom="1440" w:gutter="0" w:footer="0" w:header="0"/>
        </w:sectPr>
      </w:pPr>
    </w:p>
    <w:bookmarkStart w:id="80" w:name="page81"/>
    <w:bookmarkEnd w:id="80"/>
    <w:p>
      <w:pPr>
        <w:spacing w:after="0" w:line="108" w:lineRule="exact"/>
        <w:rPr>
          <w:sz w:val="20"/>
          <w:szCs w:val="20"/>
          <w:color w:val="auto"/>
        </w:rPr>
      </w:pPr>
    </w:p>
    <w:p>
      <w:pPr>
        <w:ind w:right="520"/>
        <w:spacing w:after="0" w:line="258" w:lineRule="auto"/>
        <w:rPr>
          <w:sz w:val="20"/>
          <w:szCs w:val="20"/>
          <w:color w:val="auto"/>
        </w:rPr>
      </w:pPr>
      <w:r>
        <w:rPr>
          <w:rFonts w:ascii="Times New Roman" w:cs="Times New Roman" w:eastAsia="Times New Roman" w:hAnsi="Times New Roman"/>
          <w:sz w:val="20"/>
          <w:szCs w:val="20"/>
          <w:color w:val="auto"/>
        </w:rPr>
        <w:t>recoupment policy or other agreement or arrangement with a Participant, or (b) any right or obligation that the Company may have regarding the clawback of “incentive-based compensation” under Section 10D of the Exchange Act and any applicable rules and regulations promulgated thereunder form time to time by the U.S. Securities and Exchange Commission, including pursuant to the Company’s Clawback Policy.</w:t>
      </w:r>
    </w:p>
    <w:p>
      <w:pPr>
        <w:spacing w:after="0" w:line="182" w:lineRule="exact"/>
        <w:rPr>
          <w:sz w:val="20"/>
          <w:szCs w:val="20"/>
          <w:color w:val="auto"/>
        </w:rPr>
      </w:pPr>
    </w:p>
    <w:p>
      <w:pPr>
        <w:ind w:right="240" w:firstLine="328"/>
        <w:spacing w:after="0" w:line="263" w:lineRule="auto"/>
        <w:tabs>
          <w:tab w:leader="none" w:pos="1096" w:val="left"/>
        </w:tabs>
        <w:numPr>
          <w:ilvl w:val="0"/>
          <w:numId w:val="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Governing Law</w:t>
      </w:r>
      <w:r>
        <w:rPr>
          <w:rFonts w:ascii="Times New Roman" w:cs="Times New Roman" w:eastAsia="Times New Roman" w:hAnsi="Times New Roman"/>
          <w:sz w:val="20"/>
          <w:szCs w:val="20"/>
          <w:color w:val="auto"/>
        </w:rPr>
        <w:t>. THIS AGREEMENT SHALL BE GOVERNED BY AND CONSTRUED IN ACCORDANCE WITH</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THE LAWS OF THE STATE OF DELAWARE APPLICABLE TO CONTRACTS MADE AND TO BE PERFORMED THEREIN, EXCLUSIVE OF THE CONFLICT OF LAWS PROVISIONS OF DELAWARE LAW.</w:t>
      </w:r>
    </w:p>
    <w:p>
      <w:pPr>
        <w:spacing w:after="0" w:line="161" w:lineRule="exact"/>
        <w:rPr>
          <w:rFonts w:ascii="Times New Roman" w:cs="Times New Roman" w:eastAsia="Times New Roman" w:hAnsi="Times New Roman"/>
          <w:sz w:val="20"/>
          <w:szCs w:val="20"/>
          <w:color w:val="auto"/>
        </w:rPr>
      </w:pPr>
    </w:p>
    <w:p>
      <w:pPr>
        <w:ind w:right="460" w:firstLine="330"/>
        <w:spacing w:after="0" w:line="258" w:lineRule="auto"/>
        <w:tabs>
          <w:tab w:leader="none" w:pos="1098" w:val="left"/>
        </w:tabs>
        <w:numPr>
          <w:ilvl w:val="0"/>
          <w:numId w:val="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Successors and Assigns</w:t>
      </w:r>
      <w:r>
        <w:rPr>
          <w:rFonts w:ascii="Times New Roman" w:cs="Times New Roman" w:eastAsia="Times New Roman" w:hAnsi="Times New Roman"/>
          <w:sz w:val="20"/>
          <w:szCs w:val="20"/>
          <w:color w:val="auto"/>
        </w:rPr>
        <w:t>. The Company may assign any of its rights under this Agreement without the Participant’s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consent. This Agreement will be binding upon and inure to the benefit of the successors and assigns of the Company. Subject to the restrictions on transfer set forth herein and in the Plan, this Agreement will be binding upon the Participant and the Participant’s beneficiaries, executors, administrators and the Person(s) to whom the PSUs may be transferred by will or the laws of descent or distribution.</w:t>
      </w:r>
    </w:p>
    <w:p>
      <w:pPr>
        <w:spacing w:after="0" w:line="167" w:lineRule="exact"/>
        <w:rPr>
          <w:rFonts w:ascii="Times New Roman" w:cs="Times New Roman" w:eastAsia="Times New Roman" w:hAnsi="Times New Roman"/>
          <w:sz w:val="20"/>
          <w:szCs w:val="20"/>
          <w:color w:val="auto"/>
        </w:rPr>
      </w:pPr>
    </w:p>
    <w:p>
      <w:pPr>
        <w:ind w:firstLine="328"/>
        <w:spacing w:after="0" w:line="250" w:lineRule="auto"/>
        <w:tabs>
          <w:tab w:leader="none" w:pos="1098" w:val="left"/>
        </w:tabs>
        <w:numPr>
          <w:ilvl w:val="0"/>
          <w:numId w:val="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Headings; References; Interpretation</w:t>
      </w:r>
      <w:r>
        <w:rPr>
          <w:rFonts w:ascii="Times New Roman" w:cs="Times New Roman" w:eastAsia="Times New Roman" w:hAnsi="Times New Roman"/>
          <w:sz w:val="20"/>
          <w:szCs w:val="20"/>
          <w:color w:val="auto"/>
        </w:rPr>
        <w:t>. Headings are for convenience only and are not deemed to be part of this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Agreement. The words “hereof,” “herein” and “hereunder” and words of similar import, when used in this Agreement, shall refer to this Agreement as a whole and not to any particular provision of this Agreement. All references herein to Sections shall, unless the context requires a different construction, be deemed to be references to the Sections of this Agreement. The word “or” as used herein is not exclusive and is deemed to have the meaning “and/or.” All references to “including” shall be construed as meaning “including without limitation.” Unless the context requires otherwise, all references herein to a law, agreement, instrument or other document shall be deemed to refer to such law, agreement, instrument or other document as amended, supplemented, modified and restated from time to time to the extent permitted by the provisions thereof. All references to “dollars” or “$” in this Agreement refer to United States dollars. Whenever the context may require, any pronouns used herein shall include the corresponding masculine, feminine or neuter forms, and the singular form of nouns and pronouns shall include the plural and vice versa. Neither this Agreement nor any uncertainty or ambiguity herein shall be construed or resolved against any party hereto, whether under any rule of construction or otherwise. On the contrary, this Agreement has been reviewed by each of the parties hereto and shall be construed and interpreted according to the ordinary meaning of the words used so as to fairly accomplish the purposes and intentions of the parties hereto.</w:t>
      </w:r>
    </w:p>
    <w:p>
      <w:pPr>
        <w:spacing w:after="0" w:line="193" w:lineRule="exact"/>
        <w:rPr>
          <w:rFonts w:ascii="Times New Roman" w:cs="Times New Roman" w:eastAsia="Times New Roman" w:hAnsi="Times New Roman"/>
          <w:sz w:val="20"/>
          <w:szCs w:val="20"/>
          <w:color w:val="auto"/>
        </w:rPr>
      </w:pPr>
    </w:p>
    <w:p>
      <w:pPr>
        <w:ind w:left="1100" w:hanging="772"/>
        <w:spacing w:after="0"/>
        <w:tabs>
          <w:tab w:leader="none" w:pos="1100" w:val="left"/>
        </w:tabs>
        <w:numPr>
          <w:ilvl w:val="0"/>
          <w:numId w:val="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Counterparts</w:t>
      </w:r>
      <w:r>
        <w:rPr>
          <w:rFonts w:ascii="Times New Roman" w:cs="Times New Roman" w:eastAsia="Times New Roman" w:hAnsi="Times New Roman"/>
          <w:sz w:val="20"/>
          <w:szCs w:val="20"/>
          <w:color w:val="auto"/>
        </w:rPr>
        <w:t>. The Grant Notice may be executed in one or more counterparts, each of which shall be deemed an</w:t>
      </w:r>
    </w:p>
    <w:p>
      <w:pPr>
        <w:spacing w:after="0" w:line="32" w:lineRule="exact"/>
        <w:rPr>
          <w:sz w:val="20"/>
          <w:szCs w:val="20"/>
          <w:color w:val="auto"/>
        </w:rPr>
      </w:pPr>
    </w:p>
    <w:p>
      <w:pPr>
        <w:ind w:right="200"/>
        <w:spacing w:after="0" w:line="253" w:lineRule="auto"/>
        <w:rPr>
          <w:sz w:val="20"/>
          <w:szCs w:val="20"/>
          <w:color w:val="auto"/>
        </w:rPr>
      </w:pPr>
      <w:r>
        <w:rPr>
          <w:rFonts w:ascii="Times New Roman" w:cs="Times New Roman" w:eastAsia="Times New Roman" w:hAnsi="Times New Roman"/>
          <w:sz w:val="20"/>
          <w:szCs w:val="20"/>
          <w:color w:val="auto"/>
        </w:rPr>
        <w:t>original and all of which together shall constitute one instrument. Delivery of an executed counterpart of the Grant Notice by facsimile or portable document format (.pdf) attachment to electronic mail shall be effective as delivery of a manually executed counterpart of the Grant Notice.</w:t>
      </w:r>
    </w:p>
    <w:p>
      <w:pPr>
        <w:spacing w:after="0" w:line="171" w:lineRule="exact"/>
        <w:rPr>
          <w:sz w:val="20"/>
          <w:szCs w:val="20"/>
          <w:color w:val="auto"/>
        </w:rPr>
      </w:pPr>
    </w:p>
    <w:p>
      <w:pPr>
        <w:ind w:firstLine="329"/>
        <w:spacing w:after="0" w:line="254" w:lineRule="auto"/>
        <w:tabs>
          <w:tab w:leader="none" w:pos="1098" w:val="left"/>
        </w:tabs>
        <w:numPr>
          <w:ilvl w:val="0"/>
          <w:numId w:val="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Section 409A</w:t>
      </w:r>
      <w:r>
        <w:rPr>
          <w:rFonts w:ascii="Times New Roman" w:cs="Times New Roman" w:eastAsia="Times New Roman" w:hAnsi="Times New Roman"/>
          <w:sz w:val="20"/>
          <w:szCs w:val="20"/>
          <w:color w:val="auto"/>
        </w:rPr>
        <w:t>. Notwithstanding anything herein or in the Plan to the contrary, the PSUs granted pursuant to this Agreement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are intended to be exempt from the applicable requirements of Section 409A of the Code and shall be limited, construed and interpreted in accordance with such intent. Nevertheless, to the extent that the Committee determines that the PSUs may not be exempt from Section 409A of the Code, then, if the Participant is deemed to be a “specified employee” within the meaning of Section 409A of the Code, as determined by the Committee, at a time when the Participant becomes eligible for settlement of the PSUs upon his “separation from service” within the meaning of Section 409A of the Code, then to the extent necessary to prevent any accelerated or additional tax under Section</w:t>
      </w:r>
    </w:p>
    <w:p>
      <w:pPr>
        <w:sectPr>
          <w:pgSz w:w="11900" w:h="16838" w:orient="portrait"/>
          <w:cols w:equalWidth="0" w:num="1">
            <w:col w:w="10880"/>
          </w:cols>
          <w:pgMar w:left="520" w:top="1440" w:right="499" w:bottom="1440" w:gutter="0" w:footer="0" w:header="0"/>
        </w:sectPr>
      </w:pPr>
    </w:p>
    <w:bookmarkStart w:id="81" w:name="page82"/>
    <w:bookmarkEnd w:id="81"/>
    <w:p>
      <w:pPr>
        <w:spacing w:after="0" w:line="108"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20"/>
          <w:szCs w:val="20"/>
          <w:color w:val="auto"/>
        </w:rPr>
        <w:t>409A of the Code, such settlement will be delayed until the earlier of: (a) the date that is six months following the Participant’s separation from service and (b) the Participant’s death. Notwithstanding the foregoing, the Company and its Affiliates make no representations that the PSUs provided under this Agreement are exempt from or compliant with Section 409A of the Code and in no event shall the Company or any Affiliate be liable for all or any portion of any taxes, penalties, interest or other expenses that may be incurred by the Participant on account of non-compliance with Section 409A of the Code.</w:t>
      </w:r>
    </w:p>
    <w:p>
      <w:pPr>
        <w:spacing w:after="0" w:line="169"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Remainder of Page Intentionally Blank</w:t>
      </w:r>
      <w:r>
        <w:rPr>
          <w:rFonts w:ascii="Times New Roman" w:cs="Times New Roman" w:eastAsia="Times New Roman" w:hAnsi="Times New Roman"/>
          <w:sz w:val="20"/>
          <w:szCs w:val="20"/>
          <w:color w:val="auto"/>
        </w:rPr>
        <w:t>]</w:t>
      </w:r>
    </w:p>
    <w:p>
      <w:pPr>
        <w:sectPr>
          <w:pgSz w:w="11900" w:h="16838" w:orient="portrait"/>
          <w:cols w:equalWidth="0" w:num="1">
            <w:col w:w="10920"/>
          </w:cols>
          <w:pgMar w:left="520" w:top="1440" w:right="459" w:bottom="1440" w:gutter="0" w:footer="0" w:header="0"/>
        </w:sectPr>
      </w:pPr>
    </w:p>
    <w:bookmarkStart w:id="82" w:name="page83"/>
    <w:bookmarkEnd w:id="82"/>
    <w:p>
      <w:pPr>
        <w:jc w:val="right"/>
        <w:spacing w:after="0"/>
        <w:rPr>
          <w:sz w:val="20"/>
          <w:szCs w:val="20"/>
          <w:color w:val="auto"/>
        </w:rPr>
      </w:pPr>
      <w:r>
        <w:rPr>
          <w:rFonts w:ascii="Times New Roman" w:cs="Times New Roman" w:eastAsia="Times New Roman" w:hAnsi="Times New Roman"/>
          <w:sz w:val="20"/>
          <w:szCs w:val="20"/>
          <w:b w:val="1"/>
          <w:bCs w:val="1"/>
          <w:color w:val="auto"/>
        </w:rPr>
        <w:t>Exhibit 10.2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FIRST AMENDMENT TO EXHIBIT B “CONSTRUCTION AGREEMENT” TO INDUSTRIAL TRIPLE NET LEASE</w:t>
      </w:r>
    </w:p>
    <w:p>
      <w:pPr>
        <w:spacing w:after="0" w:line="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BETWEEN GDC SUNSHINE, LLC</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AND ARRAY TECH, INC.</w:t>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Portions of this exhibit have been redacted in compliance with Regulation S-K Item 601(b)(10)(iv).</w:t>
      </w:r>
    </w:p>
    <w:p>
      <w:pPr>
        <w:spacing w:after="0" w:line="253" w:lineRule="exact"/>
        <w:rPr>
          <w:sz w:val="20"/>
          <w:szCs w:val="20"/>
          <w:color w:val="auto"/>
        </w:rPr>
      </w:pPr>
    </w:p>
    <w:p>
      <w:pPr>
        <w:ind w:right="100" w:firstLine="216"/>
        <w:spacing w:after="0" w:line="251" w:lineRule="auto"/>
        <w:rPr>
          <w:sz w:val="20"/>
          <w:szCs w:val="20"/>
          <w:color w:val="auto"/>
        </w:rPr>
      </w:pPr>
      <w:r>
        <w:rPr>
          <w:rFonts w:ascii="Times New Roman" w:cs="Times New Roman" w:eastAsia="Times New Roman" w:hAnsi="Times New Roman"/>
          <w:sz w:val="22"/>
          <w:szCs w:val="22"/>
          <w:color w:val="auto"/>
        </w:rPr>
        <w:t>GDC Sunshine, LLC (“GDC”) and Array Tech, Inc. (“Array”) (GDC and Array may be referred to herein as the “Parties”) hereby enter into this First Amendment (the “First Amendment”) to Exhibit B “Construction Agreement” to the Industrial Triple Net Lease dated May 31, 2024 (the “Lease”) executed by and between GDC and Array and pertaining to leased premises located at the southwest corner of Ladera Drive and Atrisco Vista Boulevard, in Bernalillo County, New Mexico. The purpose of this First Amendment is to memorialize an agreed upon modification and change to Section 7(b)(d) to Exhibit B of the Lease. The Parties hereby agree that Section 7(b)(d) shall now read as follows:</w:t>
      </w:r>
    </w:p>
    <w:p>
      <w:pPr>
        <w:spacing w:after="0" w:line="222" w:lineRule="exact"/>
        <w:rPr>
          <w:sz w:val="20"/>
          <w:szCs w:val="20"/>
          <w:color w:val="auto"/>
        </w:rPr>
      </w:pPr>
    </w:p>
    <w:p>
      <w:pPr>
        <w:ind w:left="660" w:right="20" w:hanging="4"/>
        <w:spacing w:after="0" w:line="247" w:lineRule="auto"/>
        <w:tabs>
          <w:tab w:leader="none" w:pos="966" w:val="left"/>
        </w:tabs>
        <w:numPr>
          <w:ilvl w:val="0"/>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shall carry and furnish Tenant and Landlord with certificates of insurance evidencing (i) statutory workers’ compensation insurance with limits as required by applicable Laws and employer’s liability insurance with limits of $[ ] each accident, $[ ] disease-policy limit, $[ ] disease each employee; (ii) commercial general liability insurance including products and completed operations coverage, premises liability, blanket contractual liability including contractor’s indemnity agreements, personal injury employees exclusion deleted, with minimum coverage of at least $[ ] per occurrence bodily injury and property damage and $[ ] aggregate; (iii) causes of loss-special form builders risk insurance in the full amount of the contract sum; (iv) commercial auto liability, including owned, non-owned, or hired vehicles, with a combined single limit of $[ ]; and (v) umbrella liability insurance with minimum coverage of at least $[ ] per occurrence. All of said policies of insurance, except workers’ compensation insurance, shall name Landlord, the Project Manager, Landlord’s mortgagee, and such other Landlord Entities as may be designated by Landlord as additional insureds.</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p>
    <w:p>
      <w:pPr>
        <w:spacing w:after="0" w:line="247" w:lineRule="exact"/>
        <w:rPr>
          <w:sz w:val="20"/>
          <w:szCs w:val="20"/>
          <w:color w:val="auto"/>
        </w:rPr>
      </w:pPr>
    </w:p>
    <w:p>
      <w:pPr>
        <w:ind w:right="20"/>
        <w:spacing w:after="0" w:line="257" w:lineRule="auto"/>
        <w:rPr>
          <w:sz w:val="20"/>
          <w:szCs w:val="20"/>
          <w:color w:val="auto"/>
        </w:rPr>
      </w:pPr>
      <w:r>
        <w:rPr>
          <w:rFonts w:ascii="Times New Roman" w:cs="Times New Roman" w:eastAsia="Times New Roman" w:hAnsi="Times New Roman"/>
          <w:sz w:val="22"/>
          <w:szCs w:val="22"/>
          <w:color w:val="auto"/>
        </w:rPr>
        <w:t>This First Amendment only serves to amend Section 7(b)(d) of Exhibit B to the Lease as set forth herein. No other terms in the Lease or any associated exhibits thereto are modified or amended by virtue of this First Amendment and the Lease and associated exhibits continue to be in full force and effect.</w:t>
      </w: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i w:val="1"/>
          <w:iCs w:val="1"/>
          <w:color w:val="auto"/>
        </w:rPr>
        <w:t>[THE REMAINDER OF THIS PAGE INTENTIONALLY LEFT BLANK]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Page 1 of 3</w:t>
      </w:r>
    </w:p>
    <w:p>
      <w:pPr>
        <w:sectPr>
          <w:pgSz w:w="11900" w:h="16838" w:orient="portrait"/>
          <w:cols w:equalWidth="0" w:num="1">
            <w:col w:w="11240"/>
          </w:cols>
          <w:pgMar w:left="320" w:top="126" w:right="339" w:bottom="1440" w:gutter="0" w:footer="0" w:header="0"/>
        </w:sectPr>
      </w:pPr>
    </w:p>
    <w:bookmarkStart w:id="83" w:name="page84"/>
    <w:bookmarkEnd w:id="8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2820"/>
        <w:spacing w:after="0"/>
        <w:rPr>
          <w:sz w:val="20"/>
          <w:szCs w:val="20"/>
          <w:color w:val="auto"/>
        </w:rPr>
      </w:pPr>
      <w:r>
        <w:rPr>
          <w:rFonts w:ascii="Times New Roman" w:cs="Times New Roman" w:eastAsia="Times New Roman" w:hAnsi="Times New Roman"/>
          <w:sz w:val="22"/>
          <w:szCs w:val="22"/>
          <w:color w:val="auto"/>
        </w:rPr>
        <w:t>[LANDLORD SIGNATURE PAGE TO FIRST AMENDMENT]</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 WITNESS WHEREOF, Landlord has executed this First Amendment to the Lease on this _____ day of July,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6900"/>
        <w:spacing w:after="0"/>
        <w:rPr>
          <w:sz w:val="20"/>
          <w:szCs w:val="20"/>
          <w:color w:val="auto"/>
        </w:rPr>
      </w:pPr>
      <w:r>
        <w:rPr>
          <w:rFonts w:ascii="Times New Roman" w:cs="Times New Roman" w:eastAsia="Times New Roman" w:hAnsi="Times New Roman"/>
          <w:sz w:val="22"/>
          <w:szCs w:val="22"/>
          <w:b w:val="1"/>
          <w:bCs w:val="1"/>
          <w:color w:val="auto"/>
        </w:rPr>
        <w:t>LANDLORD:</w:t>
      </w:r>
    </w:p>
    <w:p>
      <w:pPr>
        <w:spacing w:after="0" w:line="183" w:lineRule="exact"/>
        <w:rPr>
          <w:sz w:val="20"/>
          <w:szCs w:val="20"/>
          <w:color w:val="auto"/>
        </w:rPr>
      </w:pPr>
    </w:p>
    <w:p>
      <w:pPr>
        <w:ind w:left="6900"/>
        <w:spacing w:after="0"/>
        <w:rPr>
          <w:sz w:val="20"/>
          <w:szCs w:val="20"/>
          <w:color w:val="auto"/>
        </w:rPr>
      </w:pPr>
      <w:r>
        <w:rPr>
          <w:rFonts w:ascii="Times New Roman" w:cs="Times New Roman" w:eastAsia="Times New Roman" w:hAnsi="Times New Roman"/>
          <w:sz w:val="22"/>
          <w:szCs w:val="22"/>
          <w:color w:val="auto"/>
        </w:rPr>
        <w:t>GDC SUNSHINE, LLC,</w:t>
      </w:r>
    </w:p>
    <w:p>
      <w:pPr>
        <w:spacing w:after="0" w:line="29" w:lineRule="exact"/>
        <w:rPr>
          <w:sz w:val="20"/>
          <w:szCs w:val="20"/>
          <w:color w:val="auto"/>
        </w:rPr>
      </w:pPr>
    </w:p>
    <w:p>
      <w:pPr>
        <w:ind w:left="6900"/>
        <w:spacing w:after="0"/>
        <w:rPr>
          <w:sz w:val="20"/>
          <w:szCs w:val="20"/>
          <w:color w:val="auto"/>
        </w:rPr>
      </w:pPr>
      <w:r>
        <w:rPr>
          <w:rFonts w:ascii="Times New Roman" w:cs="Times New Roman" w:eastAsia="Times New Roman" w:hAnsi="Times New Roman"/>
          <w:sz w:val="22"/>
          <w:szCs w:val="22"/>
          <w:color w:val="auto"/>
        </w:rPr>
        <w:t>a New Mexico limited liability company</w:t>
      </w:r>
    </w:p>
    <w:p>
      <w:pPr>
        <w:spacing w:after="0" w:line="234" w:lineRule="exact"/>
        <w:rPr>
          <w:sz w:val="20"/>
          <w:szCs w:val="20"/>
          <w:color w:val="auto"/>
        </w:rPr>
      </w:pPr>
    </w:p>
    <w:p>
      <w:pPr>
        <w:ind w:left="6900"/>
        <w:spacing w:after="0"/>
        <w:tabs>
          <w:tab w:leader="none" w:pos="7460" w:val="left"/>
        </w:tabs>
        <w:rPr>
          <w:sz w:val="20"/>
          <w:szCs w:val="20"/>
          <w:color w:val="auto"/>
        </w:rPr>
      </w:pPr>
      <w:r>
        <w:rPr>
          <w:rFonts w:ascii="Times New Roman" w:cs="Times New Roman" w:eastAsia="Times New Roman" w:hAnsi="Times New Roman"/>
          <w:sz w:val="22"/>
          <w:szCs w:val="22"/>
          <w:color w:val="auto"/>
        </w:rPr>
        <w:t>By:</w:t>
        <w:tab/>
        <w:t>GDC Sunshine Investors, LLC,</w:t>
      </w:r>
    </w:p>
    <w:p>
      <w:pPr>
        <w:spacing w:after="0" w:line="28"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22"/>
          <w:szCs w:val="22"/>
          <w:color w:val="auto"/>
        </w:rPr>
        <w:t>a New Mexico limited liability company,</w:t>
      </w:r>
    </w:p>
    <w:p>
      <w:pPr>
        <w:spacing w:after="0" w:line="4"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22"/>
          <w:szCs w:val="22"/>
          <w:color w:val="auto"/>
        </w:rPr>
        <w:t>its Sole Member</w:t>
      </w:r>
    </w:p>
    <w:p>
      <w:pPr>
        <w:spacing w:after="0" w:line="223" w:lineRule="exact"/>
        <w:rPr>
          <w:sz w:val="20"/>
          <w:szCs w:val="20"/>
          <w:color w:val="auto"/>
        </w:rPr>
      </w:pPr>
    </w:p>
    <w:p>
      <w:pPr>
        <w:ind w:left="6900"/>
        <w:spacing w:after="0"/>
        <w:tabs>
          <w:tab w:leader="none" w:pos="7400" w:val="left"/>
        </w:tabs>
        <w:rPr>
          <w:sz w:val="20"/>
          <w:szCs w:val="20"/>
          <w:color w:val="auto"/>
        </w:rPr>
      </w:pPr>
      <w:r>
        <w:rPr>
          <w:rFonts w:ascii="Times New Roman" w:cs="Times New Roman" w:eastAsia="Times New Roman" w:hAnsi="Times New Roman"/>
          <w:sz w:val="22"/>
          <w:szCs w:val="22"/>
          <w:color w:val="auto"/>
        </w:rPr>
        <w:t>By:</w:t>
        <w:tab/>
        <w:t>GDC-NM, LLC,</w:t>
      </w:r>
    </w:p>
    <w:p>
      <w:pPr>
        <w:spacing w:after="0" w:line="28"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22"/>
          <w:szCs w:val="22"/>
          <w:color w:val="auto"/>
        </w:rPr>
        <w:t>a New Mexico limited liability company,</w:t>
      </w:r>
    </w:p>
    <w:p>
      <w:pPr>
        <w:spacing w:after="0" w:line="5"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22"/>
          <w:szCs w:val="22"/>
          <w:color w:val="auto"/>
        </w:rPr>
        <w:t>its Member</w:t>
      </w:r>
    </w:p>
    <w:p>
      <w:pPr>
        <w:spacing w:after="0" w:line="234" w:lineRule="exact"/>
        <w:rPr>
          <w:sz w:val="20"/>
          <w:szCs w:val="20"/>
          <w:color w:val="auto"/>
        </w:rPr>
      </w:pPr>
    </w:p>
    <w:p>
      <w:pPr>
        <w:ind w:left="6900"/>
        <w:spacing w:after="0"/>
        <w:tabs>
          <w:tab w:leader="none" w:pos="7400" w:val="left"/>
        </w:tabs>
        <w:rPr>
          <w:sz w:val="20"/>
          <w:szCs w:val="20"/>
          <w:color w:val="auto"/>
        </w:rPr>
      </w:pPr>
      <w:r>
        <w:rPr>
          <w:rFonts w:ascii="Times New Roman" w:cs="Times New Roman" w:eastAsia="Times New Roman" w:hAnsi="Times New Roman"/>
          <w:sz w:val="21"/>
          <w:szCs w:val="21"/>
          <w:color w:val="auto"/>
        </w:rPr>
        <w:t>By:</w:t>
        <w:tab/>
        <w:t>Jeffrey D. and Elizabeth C. Garrett Trust</w:t>
      </w:r>
    </w:p>
    <w:p>
      <w:pPr>
        <w:spacing w:after="0" w:line="39" w:lineRule="exact"/>
        <w:rPr>
          <w:sz w:val="20"/>
          <w:szCs w:val="20"/>
          <w:color w:val="auto"/>
        </w:rPr>
      </w:pPr>
    </w:p>
    <w:p>
      <w:pPr>
        <w:ind w:left="6900"/>
        <w:spacing w:after="0"/>
        <w:tabs>
          <w:tab w:leader="none" w:pos="7600" w:val="left"/>
        </w:tabs>
        <w:rPr>
          <w:sz w:val="20"/>
          <w:szCs w:val="20"/>
          <w:color w:val="auto"/>
        </w:rPr>
      </w:pPr>
      <w:r>
        <w:rPr>
          <w:rFonts w:ascii="Times New Roman" w:cs="Times New Roman" w:eastAsia="Times New Roman" w:hAnsi="Times New Roman"/>
          <w:sz w:val="22"/>
          <w:szCs w:val="22"/>
          <w:color w:val="auto"/>
        </w:rPr>
        <w:t>dated</w:t>
        <w:tab/>
        <w:t>August 9, 2002, as amended,</w:t>
      </w:r>
    </w:p>
    <w:p>
      <w:pPr>
        <w:spacing w:after="0" w:line="4"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22"/>
          <w:szCs w:val="22"/>
          <w:color w:val="auto"/>
        </w:rPr>
        <w:t>its Sole Member</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left="6900"/>
        <w:spacing w:after="0"/>
        <w:rPr>
          <w:sz w:val="20"/>
          <w:szCs w:val="20"/>
          <w:color w:val="auto"/>
        </w:rPr>
      </w:pPr>
      <w:r>
        <w:rPr>
          <w:rFonts w:ascii="Times New Roman" w:cs="Times New Roman" w:eastAsia="Times New Roman" w:hAnsi="Times New Roman"/>
          <w:sz w:val="22"/>
          <w:szCs w:val="22"/>
          <w:color w:val="auto"/>
        </w:rPr>
        <w:t>By: /s/ Jeff Garrett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4607560</wp:posOffset>
            </wp:positionH>
            <wp:positionV relativeFrom="paragraph">
              <wp:posOffset>-13970</wp:posOffset>
            </wp:positionV>
            <wp:extent cx="1200785"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9">
                      <a:extLst>
                        <a:ext uri="{28A0092B-C50C-407E-A947-70E740481C1C}"/>
                      </a:extLst>
                    </a:blip>
                    <a:srcRect/>
                    <a:stretch>
                      <a:fillRect/>
                    </a:stretch>
                  </pic:blipFill>
                  <pic:spPr bwMode="auto">
                    <a:xfrm>
                      <a:off x="0" y="0"/>
                      <a:ext cx="1200785" cy="8255"/>
                    </a:xfrm>
                    <a:prstGeom prst="rect">
                      <a:avLst/>
                    </a:prstGeom>
                    <a:noFill/>
                  </pic:spPr>
                </pic:pic>
              </a:graphicData>
            </a:graphic>
          </wp:anchor>
        </w:drawing>
      </w:r>
    </w:p>
    <w:p>
      <w:pPr>
        <w:spacing w:after="0" w:line="9" w:lineRule="exact"/>
        <w:rPr>
          <w:sz w:val="20"/>
          <w:szCs w:val="20"/>
          <w:color w:val="auto"/>
        </w:rPr>
      </w:pPr>
    </w:p>
    <w:p>
      <w:pPr>
        <w:ind w:left="6900"/>
        <w:spacing w:after="0"/>
        <w:rPr>
          <w:sz w:val="20"/>
          <w:szCs w:val="20"/>
          <w:color w:val="auto"/>
        </w:rPr>
      </w:pPr>
      <w:r>
        <w:rPr>
          <w:rFonts w:ascii="Times New Roman" w:cs="Times New Roman" w:eastAsia="Times New Roman" w:hAnsi="Times New Roman"/>
          <w:sz w:val="22"/>
          <w:szCs w:val="22"/>
          <w:color w:val="auto"/>
        </w:rPr>
        <w:t>Name: Jeff Garrett</w:t>
      </w:r>
    </w:p>
    <w:p>
      <w:pPr>
        <w:spacing w:after="0" w:line="17" w:lineRule="exact"/>
        <w:rPr>
          <w:sz w:val="20"/>
          <w:szCs w:val="20"/>
          <w:color w:val="auto"/>
        </w:rPr>
      </w:pPr>
    </w:p>
    <w:p>
      <w:pPr>
        <w:ind w:left="6900"/>
        <w:spacing w:after="0"/>
        <w:rPr>
          <w:sz w:val="20"/>
          <w:szCs w:val="20"/>
          <w:color w:val="auto"/>
        </w:rPr>
      </w:pPr>
      <w:r>
        <w:rPr>
          <w:rFonts w:ascii="Times New Roman" w:cs="Times New Roman" w:eastAsia="Times New Roman" w:hAnsi="Times New Roman"/>
          <w:sz w:val="22"/>
          <w:szCs w:val="22"/>
          <w:color w:val="auto"/>
        </w:rPr>
        <w:t>Title: Trustee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20"/>
          <w:szCs w:val="20"/>
          <w:b w:val="1"/>
          <w:bCs w:val="1"/>
          <w:color w:val="auto"/>
        </w:rPr>
        <w:t>Page 2 of 3</w:t>
      </w:r>
    </w:p>
    <w:p>
      <w:pPr>
        <w:sectPr>
          <w:pgSz w:w="11900" w:h="16838" w:orient="portrait"/>
          <w:cols w:equalWidth="0" w:num="1">
            <w:col w:w="10940"/>
          </w:cols>
          <w:pgMar w:left="320" w:top="1440" w:right="639" w:bottom="1440" w:gutter="0" w:footer="0" w:header="0"/>
        </w:sectPr>
      </w:pPr>
    </w:p>
    <w:bookmarkStart w:id="84" w:name="page85"/>
    <w:bookmarkEnd w:id="84"/>
    <w:p>
      <w:pPr>
        <w:spacing w:after="0" w:line="131" w:lineRule="exact"/>
        <w:rPr>
          <w:sz w:val="20"/>
          <w:szCs w:val="20"/>
          <w:color w:val="auto"/>
        </w:rPr>
      </w:pPr>
    </w:p>
    <w:p>
      <w:pPr>
        <w:ind w:left="2980"/>
        <w:spacing w:after="0"/>
        <w:rPr>
          <w:sz w:val="20"/>
          <w:szCs w:val="20"/>
          <w:color w:val="auto"/>
        </w:rPr>
      </w:pPr>
      <w:r>
        <w:rPr>
          <w:rFonts w:ascii="Times New Roman" w:cs="Times New Roman" w:eastAsia="Times New Roman" w:hAnsi="Times New Roman"/>
          <w:sz w:val="22"/>
          <w:szCs w:val="22"/>
          <w:color w:val="auto"/>
        </w:rPr>
        <w:t>[TENANT SIGNATURE PAGE TO FIRST AMENDMENT]</w:t>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 xml:space="preserve">IN WITNESS WHEREOF, Tenant has executed this First Amendment to the Lease on this </w:t>
      </w:r>
      <w:r>
        <w:rPr>
          <w:rFonts w:ascii="Times New Roman" w:cs="Times New Roman" w:eastAsia="Times New Roman" w:hAnsi="Times New Roman"/>
          <w:sz w:val="21"/>
          <w:szCs w:val="21"/>
          <w:u w:val="single" w:color="auto"/>
          <w:color w:val="auto"/>
        </w:rPr>
        <w:t>25th</w:t>
      </w:r>
      <w:r>
        <w:rPr>
          <w:rFonts w:ascii="Times New Roman" w:cs="Times New Roman" w:eastAsia="Times New Roman" w:hAnsi="Times New Roman"/>
          <w:sz w:val="21"/>
          <w:szCs w:val="21"/>
          <w:color w:val="auto"/>
        </w:rPr>
        <w:t xml:space="preserve"> day of July, 2024.</w:t>
      </w:r>
    </w:p>
    <w:p>
      <w:pPr>
        <w:spacing w:after="0" w:line="200" w:lineRule="exact"/>
        <w:rPr>
          <w:sz w:val="20"/>
          <w:szCs w:val="20"/>
          <w:color w:val="auto"/>
        </w:rPr>
      </w:pPr>
    </w:p>
    <w:p>
      <w:pPr>
        <w:spacing w:after="0" w:line="365" w:lineRule="exact"/>
        <w:rPr>
          <w:sz w:val="20"/>
          <w:szCs w:val="20"/>
          <w:color w:val="auto"/>
        </w:rPr>
      </w:pPr>
    </w:p>
    <w:p>
      <w:pPr>
        <w:ind w:left="6900"/>
        <w:spacing w:after="0"/>
        <w:rPr>
          <w:sz w:val="20"/>
          <w:szCs w:val="20"/>
          <w:color w:val="auto"/>
        </w:rPr>
      </w:pPr>
      <w:r>
        <w:rPr>
          <w:rFonts w:ascii="Times New Roman" w:cs="Times New Roman" w:eastAsia="Times New Roman" w:hAnsi="Times New Roman"/>
          <w:sz w:val="22"/>
          <w:szCs w:val="22"/>
          <w:b w:val="1"/>
          <w:bCs w:val="1"/>
          <w:color w:val="auto"/>
        </w:rPr>
        <w:t>TENANT:</w:t>
      </w:r>
    </w:p>
    <w:p>
      <w:pPr>
        <w:spacing w:after="0" w:line="183" w:lineRule="exact"/>
        <w:rPr>
          <w:sz w:val="20"/>
          <w:szCs w:val="20"/>
          <w:color w:val="auto"/>
        </w:rPr>
      </w:pPr>
    </w:p>
    <w:p>
      <w:pPr>
        <w:ind w:left="6900"/>
        <w:spacing w:after="0"/>
        <w:rPr>
          <w:sz w:val="20"/>
          <w:szCs w:val="20"/>
          <w:color w:val="auto"/>
        </w:rPr>
      </w:pPr>
      <w:r>
        <w:rPr>
          <w:rFonts w:ascii="Times New Roman" w:cs="Times New Roman" w:eastAsia="Times New Roman" w:hAnsi="Times New Roman"/>
          <w:sz w:val="22"/>
          <w:szCs w:val="22"/>
          <w:color w:val="auto"/>
        </w:rPr>
        <w:t>ARRAY TECH, INC.,</w:t>
      </w:r>
    </w:p>
    <w:p>
      <w:pPr>
        <w:spacing w:after="0" w:line="28" w:lineRule="exact"/>
        <w:rPr>
          <w:sz w:val="20"/>
          <w:szCs w:val="20"/>
          <w:color w:val="auto"/>
        </w:rPr>
      </w:pPr>
    </w:p>
    <w:p>
      <w:pPr>
        <w:ind w:left="6900"/>
        <w:spacing w:after="0"/>
        <w:rPr>
          <w:sz w:val="20"/>
          <w:szCs w:val="20"/>
          <w:color w:val="auto"/>
        </w:rPr>
      </w:pPr>
      <w:r>
        <w:rPr>
          <w:rFonts w:ascii="Times New Roman" w:cs="Times New Roman" w:eastAsia="Times New Roman" w:hAnsi="Times New Roman"/>
          <w:sz w:val="22"/>
          <w:szCs w:val="22"/>
          <w:color w:val="auto"/>
        </w:rPr>
        <w:t>a New Mexico corporation</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ind w:left="6900"/>
        <w:spacing w:after="0"/>
        <w:rPr>
          <w:sz w:val="20"/>
          <w:szCs w:val="20"/>
          <w:color w:val="auto"/>
        </w:rPr>
      </w:pPr>
      <w:r>
        <w:rPr>
          <w:rFonts w:ascii="Times New Roman" w:cs="Times New Roman" w:eastAsia="Times New Roman" w:hAnsi="Times New Roman"/>
          <w:sz w:val="22"/>
          <w:szCs w:val="22"/>
          <w:color w:val="auto"/>
        </w:rPr>
        <w:t>By: /s/ Tyson Hottinger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4573270</wp:posOffset>
            </wp:positionH>
            <wp:positionV relativeFrom="paragraph">
              <wp:posOffset>-13970</wp:posOffset>
            </wp:positionV>
            <wp:extent cx="1228725"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90">
                      <a:extLst>
                        <a:ext uri="{28A0092B-C50C-407E-A947-70E740481C1C}"/>
                      </a:extLst>
                    </a:blip>
                    <a:srcRect/>
                    <a:stretch>
                      <a:fillRect/>
                    </a:stretch>
                  </pic:blipFill>
                  <pic:spPr bwMode="auto">
                    <a:xfrm>
                      <a:off x="0" y="0"/>
                      <a:ext cx="1228725" cy="8255"/>
                    </a:xfrm>
                    <a:prstGeom prst="rect">
                      <a:avLst/>
                    </a:prstGeom>
                    <a:noFill/>
                  </pic:spPr>
                </pic:pic>
              </a:graphicData>
            </a:graphic>
          </wp:anchor>
        </w:drawing>
      </w:r>
    </w:p>
    <w:p>
      <w:pPr>
        <w:spacing w:after="0" w:line="9" w:lineRule="exact"/>
        <w:rPr>
          <w:sz w:val="20"/>
          <w:szCs w:val="20"/>
          <w:color w:val="auto"/>
        </w:rPr>
      </w:pPr>
    </w:p>
    <w:p>
      <w:pPr>
        <w:ind w:left="6900"/>
        <w:spacing w:after="0"/>
        <w:rPr>
          <w:sz w:val="20"/>
          <w:szCs w:val="20"/>
          <w:color w:val="auto"/>
        </w:rPr>
      </w:pPr>
      <w:r>
        <w:rPr>
          <w:rFonts w:ascii="Times New Roman" w:cs="Times New Roman" w:eastAsia="Times New Roman" w:hAnsi="Times New Roman"/>
          <w:sz w:val="22"/>
          <w:szCs w:val="22"/>
          <w:color w:val="auto"/>
        </w:rPr>
        <w:t>Name: Tyson Hottinger</w:t>
      </w:r>
    </w:p>
    <w:p>
      <w:pPr>
        <w:spacing w:after="0" w:line="17" w:lineRule="exact"/>
        <w:rPr>
          <w:sz w:val="20"/>
          <w:szCs w:val="20"/>
          <w:color w:val="auto"/>
        </w:rPr>
      </w:pPr>
    </w:p>
    <w:p>
      <w:pPr>
        <w:ind w:left="6900"/>
        <w:spacing w:after="0"/>
        <w:rPr>
          <w:sz w:val="20"/>
          <w:szCs w:val="20"/>
          <w:color w:val="auto"/>
        </w:rPr>
      </w:pPr>
      <w:r>
        <w:rPr>
          <w:rFonts w:ascii="Times New Roman" w:cs="Times New Roman" w:eastAsia="Times New Roman" w:hAnsi="Times New Roman"/>
          <w:sz w:val="22"/>
          <w:szCs w:val="22"/>
          <w:color w:val="auto"/>
        </w:rPr>
        <w:t>Title: Chief Legal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20"/>
          <w:szCs w:val="20"/>
          <w:b w:val="1"/>
          <w:bCs w:val="1"/>
          <w:color w:val="auto"/>
        </w:rPr>
        <w:t>Page 3 of 3</w:t>
      </w:r>
    </w:p>
    <w:p>
      <w:pPr>
        <w:sectPr>
          <w:pgSz w:w="11900" w:h="16838" w:orient="portrait"/>
          <w:cols w:equalWidth="0" w:num="1">
            <w:col w:w="10139"/>
          </w:cols>
          <w:pgMar w:left="320" w:top="1440" w:right="1440" w:bottom="1440" w:gutter="0" w:footer="0" w:header="0"/>
        </w:sectPr>
      </w:pPr>
    </w:p>
    <w:bookmarkStart w:id="85" w:name="page86"/>
    <w:bookmarkEnd w:id="85"/>
    <w:p>
      <w:pPr>
        <w:jc w:val="right"/>
        <w:spacing w:after="0"/>
        <w:rPr>
          <w:sz w:val="20"/>
          <w:szCs w:val="20"/>
          <w:color w:val="auto"/>
        </w:rPr>
      </w:pPr>
      <w:r>
        <w:rPr>
          <w:rFonts w:ascii="Times New Roman" w:cs="Times New Roman" w:eastAsia="Times New Roman" w:hAnsi="Times New Roman"/>
          <w:sz w:val="20"/>
          <w:szCs w:val="20"/>
          <w:b w:val="1"/>
          <w:bCs w:val="1"/>
          <w:color w:val="auto"/>
        </w:rPr>
        <w:t>Exhibit 10.3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SECOND AMENDMENT TO INDUSTRIAL TRIPLE NET 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1453515</wp:posOffset>
            </wp:positionH>
            <wp:positionV relativeFrom="paragraph">
              <wp:posOffset>213995</wp:posOffset>
            </wp:positionV>
            <wp:extent cx="424307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91">
                      <a:extLst>
                        <a:ext uri="{28A0092B-C50C-407E-A947-70E740481C1C}"/>
                      </a:extLst>
                    </a:blip>
                    <a:srcRect/>
                    <a:stretch>
                      <a:fillRect/>
                    </a:stretch>
                  </pic:blipFill>
                  <pic:spPr bwMode="auto">
                    <a:xfrm>
                      <a:off x="0" y="0"/>
                      <a:ext cx="42430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ARRAY TECH,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Bernalillo County, New Mexico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1453515</wp:posOffset>
            </wp:positionH>
            <wp:positionV relativeFrom="paragraph">
              <wp:posOffset>193040</wp:posOffset>
            </wp:positionV>
            <wp:extent cx="424307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92">
                      <a:extLst>
                        <a:ext uri="{28A0092B-C50C-407E-A947-70E740481C1C}"/>
                      </a:extLst>
                    </a:blip>
                    <a:srcRect/>
                    <a:stretch>
                      <a:fillRect/>
                    </a:stretch>
                  </pic:blipFill>
                  <pic:spPr bwMode="auto">
                    <a:xfrm>
                      <a:off x="0" y="0"/>
                      <a:ext cx="42430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both"/>
        <w:ind w:firstLine="208"/>
        <w:spacing w:after="0" w:line="263" w:lineRule="auto"/>
        <w:rPr>
          <w:sz w:val="20"/>
          <w:szCs w:val="20"/>
          <w:color w:val="auto"/>
        </w:rPr>
      </w:pPr>
      <w:r>
        <w:rPr>
          <w:rFonts w:ascii="Times New Roman" w:cs="Times New Roman" w:eastAsia="Times New Roman" w:hAnsi="Times New Roman"/>
          <w:sz w:val="20"/>
          <w:szCs w:val="20"/>
          <w:b w:val="1"/>
          <w:bCs w:val="1"/>
          <w:color w:val="auto"/>
        </w:rPr>
        <w:t xml:space="preserve">THIS SECOND AMENDMENT TO INDUSTRIAL TRIPLE NET LEASE </w:t>
      </w:r>
      <w:r>
        <w:rPr>
          <w:rFonts w:ascii="Times New Roman" w:cs="Times New Roman" w:eastAsia="Times New Roman" w:hAnsi="Times New Roman"/>
          <w:sz w:val="20"/>
          <w:szCs w:val="20"/>
          <w:color w:val="auto"/>
        </w:rPr>
        <w:t>(“Second Amendment”) is made and entered for reference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purposes as of the 26th day of September, 2024, by and between GDC Sunshine, LLC, a New Mexico limited liability company (“Landlord”), as landlord, and Array Tech, Inc., a New Mexico corporation (“Tenant”), as tenant.</w:t>
      </w: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R E C I T A L S</w:t>
      </w:r>
    </w:p>
    <w:p>
      <w:pPr>
        <w:spacing w:after="0" w:line="247" w:lineRule="exact"/>
        <w:rPr>
          <w:sz w:val="20"/>
          <w:szCs w:val="20"/>
          <w:color w:val="auto"/>
        </w:rPr>
      </w:pPr>
    </w:p>
    <w:p>
      <w:pPr>
        <w:ind w:firstLine="656"/>
        <w:spacing w:after="0" w:line="283" w:lineRule="auto"/>
        <w:tabs>
          <w:tab w:leader="none" w:pos="1064" w:val="left"/>
        </w:tabs>
        <w:numPr>
          <w:ilvl w:val="0"/>
          <w:numId w:val="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This Second Amendment is entered into in consideration of the mutual promises, covenants and conditions set forth below, the receipt and sufficiency of which are hereby acknowledged by the parties.</w:t>
      </w:r>
    </w:p>
    <w:p>
      <w:pPr>
        <w:spacing w:after="0" w:line="186" w:lineRule="exact"/>
        <w:rPr>
          <w:rFonts w:ascii="Times New Roman" w:cs="Times New Roman" w:eastAsia="Times New Roman" w:hAnsi="Times New Roman"/>
          <w:sz w:val="20"/>
          <w:szCs w:val="20"/>
          <w:color w:val="auto"/>
        </w:rPr>
      </w:pPr>
    </w:p>
    <w:p>
      <w:pPr>
        <w:jc w:val="both"/>
        <w:ind w:firstLine="656"/>
        <w:spacing w:after="0" w:line="253" w:lineRule="auto"/>
        <w:tabs>
          <w:tab w:leader="none" w:pos="1104" w:val="left"/>
        </w:tabs>
        <w:numPr>
          <w:ilvl w:val="0"/>
          <w:numId w:val="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Landlord and Tenant are parties to a written Industrial Triple Net Lease, including the Lease Summary (“Lease Summary”), Articles 1 through 40 and Exhibits A-1, A-2 and B through K thereto, dated May 31, 2024 (collectively, the “Lease”), which includes that certain Construction Agreement attached to the Lease as Exhibit B and Schedules 1 through 4 thereto dated May 31, 2024 (collectively, the “Construction Agreement”), pertaining to leased premises located at the southwest corner of Ladera Drive and Atrisco Vista Boulevard, in Bernalillo County, New Mexico (as more particularly described in the Lease, the “Premises”).</w:t>
      </w:r>
    </w:p>
    <w:p>
      <w:pPr>
        <w:spacing w:after="0" w:line="218" w:lineRule="exact"/>
        <w:rPr>
          <w:rFonts w:ascii="Times New Roman" w:cs="Times New Roman" w:eastAsia="Times New Roman" w:hAnsi="Times New Roman"/>
          <w:sz w:val="20"/>
          <w:szCs w:val="20"/>
          <w:color w:val="auto"/>
        </w:rPr>
      </w:pPr>
    </w:p>
    <w:p>
      <w:pPr>
        <w:jc w:val="both"/>
        <w:ind w:firstLine="656"/>
        <w:spacing w:after="0" w:line="261" w:lineRule="auto"/>
        <w:tabs>
          <w:tab w:leader="none" w:pos="1064" w:val="left"/>
        </w:tabs>
        <w:numPr>
          <w:ilvl w:val="0"/>
          <w:numId w:val="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Landlord and Tenant are also parties to a written First Amendment to Exhibit B “Construction Agreement” to Industrial Triple Net Lease Between GDC Sunshine, LLC and Array Tech, Inc. (the “First Amendment”). The term “Construction Agreement” as used below in this Second Amendment shall mean the Construction Agreement, as amended by the First Amendment.</w:t>
      </w:r>
    </w:p>
    <w:p>
      <w:pPr>
        <w:spacing w:after="0" w:line="194" w:lineRule="exact"/>
        <w:rPr>
          <w:rFonts w:ascii="Times New Roman" w:cs="Times New Roman" w:eastAsia="Times New Roman" w:hAnsi="Times New Roman"/>
          <w:sz w:val="20"/>
          <w:szCs w:val="20"/>
          <w:color w:val="auto"/>
        </w:rPr>
      </w:pPr>
    </w:p>
    <w:p>
      <w:pPr>
        <w:ind w:right="20" w:firstLine="656"/>
        <w:spacing w:after="0" w:line="283" w:lineRule="auto"/>
        <w:tabs>
          <w:tab w:leader="none" w:pos="1033" w:val="left"/>
        </w:tabs>
        <w:numPr>
          <w:ilvl w:val="0"/>
          <w:numId w:val="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Array Technologies, Inc., a Delaware corporation (“Guarantor”), has executed and delivered to Landlord that certain Continuing Lease Guarantee dated May 31, 2024 (the “Guarantee”).</w:t>
      </w:r>
    </w:p>
    <w:p>
      <w:pPr>
        <w:spacing w:after="0" w:line="186" w:lineRule="exact"/>
        <w:rPr>
          <w:rFonts w:ascii="Times New Roman" w:cs="Times New Roman" w:eastAsia="Times New Roman" w:hAnsi="Times New Roman"/>
          <w:sz w:val="20"/>
          <w:szCs w:val="20"/>
          <w:color w:val="auto"/>
        </w:rPr>
      </w:pPr>
    </w:p>
    <w:p>
      <w:pPr>
        <w:ind w:left="1020" w:hanging="364"/>
        <w:spacing w:after="0"/>
        <w:tabs>
          <w:tab w:leader="none" w:pos="1020" w:val="left"/>
        </w:tabs>
        <w:numPr>
          <w:ilvl w:val="0"/>
          <w:numId w:val="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parties have now agreed to further amend the Construction Agreement as provided below.</w:t>
      </w: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 G R E E M E N T S</w:t>
      </w:r>
    </w:p>
    <w:p>
      <w:pPr>
        <w:spacing w:after="0" w:line="260" w:lineRule="exact"/>
        <w:rPr>
          <w:sz w:val="20"/>
          <w:szCs w:val="20"/>
          <w:color w:val="auto"/>
        </w:rPr>
      </w:pPr>
    </w:p>
    <w:p>
      <w:pPr>
        <w:jc w:val="both"/>
        <w:ind w:firstLine="656"/>
        <w:spacing w:after="0" w:line="261" w:lineRule="auto"/>
        <w:tabs>
          <w:tab w:leader="none" w:pos="1296" w:val="left"/>
        </w:tabs>
        <w:numPr>
          <w:ilvl w:val="0"/>
          <w:numId w:val="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Capitalized Terms</w:t>
      </w:r>
      <w:r>
        <w:rPr>
          <w:rFonts w:ascii="Times New Roman" w:cs="Times New Roman" w:eastAsia="Times New Roman" w:hAnsi="Times New Roman"/>
          <w:sz w:val="20"/>
          <w:szCs w:val="20"/>
          <w:color w:val="auto"/>
        </w:rPr>
        <w:t>. All capitalized terms used below in this Second Amendment without definitions shall have the meanings given such terms in the Construction Agreement or, to the extent not defined in the Construction Agreement, the meanings given such terms in the Lease.</w:t>
      </w:r>
    </w:p>
    <w:p>
      <w:pPr>
        <w:spacing w:after="0" w:line="208" w:lineRule="exact"/>
        <w:rPr>
          <w:rFonts w:ascii="Times New Roman" w:cs="Times New Roman" w:eastAsia="Times New Roman" w:hAnsi="Times New Roman"/>
          <w:sz w:val="20"/>
          <w:szCs w:val="20"/>
          <w:color w:val="auto"/>
        </w:rPr>
      </w:pPr>
    </w:p>
    <w:p>
      <w:pPr>
        <w:jc w:val="both"/>
        <w:ind w:firstLine="656"/>
        <w:spacing w:after="0" w:line="261" w:lineRule="auto"/>
        <w:tabs>
          <w:tab w:leader="none" w:pos="1296" w:val="left"/>
        </w:tabs>
        <w:numPr>
          <w:ilvl w:val="0"/>
          <w:numId w:val="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Amended Scope of Landlord’s Work</w:t>
      </w:r>
      <w:r>
        <w:rPr>
          <w:rFonts w:ascii="Times New Roman" w:cs="Times New Roman" w:eastAsia="Times New Roman" w:hAnsi="Times New Roman"/>
          <w:sz w:val="20"/>
          <w:szCs w:val="20"/>
          <w:color w:val="auto"/>
        </w:rPr>
        <w:t>. “Landlord’s Work Construction Contract” shall mean that certain Guaranteed Maximum Price Construction Contract for Landlord’s Work, described as AIA Document A133 – 2019 (Standard Form of Agreement Between Owner and Construction Manager as Constructor where the basis of payment is the Cost of the Work Plus a Fee with a Guaranteed</w:t>
      </w:r>
    </w:p>
    <w:p>
      <w:pPr>
        <w:sectPr>
          <w:pgSz w:w="11900" w:h="16838" w:orient="portrait"/>
          <w:cols w:equalWidth="0" w:num="1">
            <w:col w:w="11240"/>
          </w:cols>
          <w:pgMar w:left="320" w:top="100" w:right="33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20"/>
          <w:szCs w:val="20"/>
          <w:color w:val="auto"/>
        </w:rPr>
        <w:t>Maximum Price), dated September 13, 2024, between Landlord, as Owner, and the Building Contractor, Ryan Companies US, Inc., as</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Construction Manager, comprised of the following:</w:t>
      </w:r>
    </w:p>
    <w:p>
      <w:pPr>
        <w:spacing w:after="0" w:line="228" w:lineRule="exact"/>
        <w:rPr>
          <w:sz w:val="20"/>
          <w:szCs w:val="20"/>
          <w:color w:val="auto"/>
        </w:rPr>
      </w:pPr>
    </w:p>
    <w:p>
      <w:pPr>
        <w:ind w:left="540" w:hanging="127"/>
        <w:spacing w:after="0"/>
        <w:tabs>
          <w:tab w:leader="none" w:pos="540" w:val="left"/>
        </w:tabs>
        <w:numPr>
          <w:ilvl w:val="0"/>
          <w:numId w:val="4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15.2 </w:t>
      </w:r>
      <w:r>
        <w:rPr>
          <w:rFonts w:ascii="Times New Roman" w:cs="Times New Roman" w:eastAsia="Times New Roman" w:hAnsi="Times New Roman"/>
          <w:sz w:val="18"/>
          <w:szCs w:val="18"/>
          <w:color w:val="auto"/>
        </w:rPr>
        <w:t>The following documents comprise the Agreement:</w:t>
      </w:r>
    </w:p>
    <w:p>
      <w:pPr>
        <w:spacing w:after="0" w:line="31" w:lineRule="exact"/>
        <w:rPr>
          <w:sz w:val="20"/>
          <w:szCs w:val="20"/>
          <w:color w:val="auto"/>
        </w:rPr>
      </w:pPr>
    </w:p>
    <w:p>
      <w:pPr>
        <w:ind w:left="420"/>
        <w:spacing w:after="0"/>
        <w:tabs>
          <w:tab w:leader="none" w:pos="740" w:val="left"/>
        </w:tabs>
        <w:rPr>
          <w:sz w:val="20"/>
          <w:szCs w:val="20"/>
          <w:color w:val="auto"/>
        </w:rPr>
      </w:pPr>
      <w:r>
        <w:rPr>
          <w:rFonts w:ascii="Times New Roman" w:cs="Times New Roman" w:eastAsia="Times New Roman" w:hAnsi="Times New Roman"/>
          <w:sz w:val="18"/>
          <w:szCs w:val="18"/>
          <w:b w:val="1"/>
          <w:bCs w:val="1"/>
          <w:color w:val="auto"/>
        </w:rPr>
        <w:t>.1</w:t>
      </w:r>
      <w:r>
        <w:rPr>
          <w:sz w:val="20"/>
          <w:szCs w:val="20"/>
          <w:color w:val="auto"/>
        </w:rPr>
        <w:tab/>
      </w:r>
      <w:r>
        <w:rPr>
          <w:rFonts w:ascii="Times New Roman" w:cs="Times New Roman" w:eastAsia="Times New Roman" w:hAnsi="Times New Roman"/>
          <w:sz w:val="18"/>
          <w:szCs w:val="18"/>
          <w:color w:val="auto"/>
        </w:rPr>
        <w:t>AIA Document A133™–2019, Standard Form of Agreement Between Owner and Construction Manager</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as Constructor where the basis of payment is the Cost of the Work Plus a Fee with a Guaranteed Maximum Price</w:t>
      </w:r>
    </w:p>
    <w:p>
      <w:pPr>
        <w:spacing w:after="0" w:line="9" w:lineRule="exact"/>
        <w:rPr>
          <w:sz w:val="20"/>
          <w:szCs w:val="20"/>
          <w:color w:val="auto"/>
        </w:rPr>
      </w:pPr>
    </w:p>
    <w:p>
      <w:pPr>
        <w:ind w:left="420"/>
        <w:spacing w:after="0"/>
        <w:tabs>
          <w:tab w:leader="none" w:pos="740" w:val="left"/>
        </w:tabs>
        <w:rPr>
          <w:sz w:val="20"/>
          <w:szCs w:val="20"/>
          <w:color w:val="auto"/>
        </w:rPr>
      </w:pPr>
      <w:r>
        <w:rPr>
          <w:rFonts w:ascii="Times New Roman" w:cs="Times New Roman" w:eastAsia="Times New Roman" w:hAnsi="Times New Roman"/>
          <w:sz w:val="18"/>
          <w:szCs w:val="18"/>
          <w:b w:val="1"/>
          <w:bCs w:val="1"/>
          <w:color w:val="auto"/>
        </w:rPr>
        <w:t>.2</w:t>
      </w:r>
      <w:r>
        <w:rPr>
          <w:sz w:val="20"/>
          <w:szCs w:val="20"/>
          <w:color w:val="auto"/>
        </w:rPr>
        <w:tab/>
      </w:r>
      <w:r>
        <w:rPr>
          <w:rFonts w:ascii="Times New Roman" w:cs="Times New Roman" w:eastAsia="Times New Roman" w:hAnsi="Times New Roman"/>
          <w:sz w:val="18"/>
          <w:szCs w:val="18"/>
          <w:color w:val="auto"/>
        </w:rPr>
        <w:t>AIA Document A133™–2019, Exhibit A, Guaranteed Maximum Price Amendment, if executed</w:t>
      </w:r>
    </w:p>
    <w:p>
      <w:pPr>
        <w:spacing w:after="0" w:line="9" w:lineRule="exact"/>
        <w:rPr>
          <w:sz w:val="20"/>
          <w:szCs w:val="20"/>
          <w:color w:val="auto"/>
        </w:rPr>
      </w:pPr>
    </w:p>
    <w:p>
      <w:pPr>
        <w:ind w:left="420"/>
        <w:spacing w:after="0"/>
        <w:tabs>
          <w:tab w:leader="none" w:pos="740" w:val="left"/>
        </w:tabs>
        <w:rPr>
          <w:sz w:val="20"/>
          <w:szCs w:val="20"/>
          <w:color w:val="auto"/>
        </w:rPr>
      </w:pPr>
      <w:r>
        <w:rPr>
          <w:rFonts w:ascii="Times New Roman" w:cs="Times New Roman" w:eastAsia="Times New Roman" w:hAnsi="Times New Roman"/>
          <w:sz w:val="18"/>
          <w:szCs w:val="18"/>
          <w:b w:val="1"/>
          <w:bCs w:val="1"/>
          <w:color w:val="auto"/>
        </w:rPr>
        <w:t>.3</w:t>
      </w:r>
      <w:r>
        <w:rPr>
          <w:sz w:val="20"/>
          <w:szCs w:val="20"/>
          <w:color w:val="auto"/>
        </w:rPr>
        <w:tab/>
      </w:r>
      <w:r>
        <w:rPr>
          <w:rFonts w:ascii="Times New Roman" w:cs="Times New Roman" w:eastAsia="Times New Roman" w:hAnsi="Times New Roman"/>
          <w:sz w:val="18"/>
          <w:szCs w:val="18"/>
          <w:color w:val="auto"/>
        </w:rPr>
        <w:t>AIA Document A133™–2019, Exhibit B, Insurance and Bonds</w:t>
      </w:r>
    </w:p>
    <w:p>
      <w:pPr>
        <w:spacing w:after="0" w:line="9" w:lineRule="exact"/>
        <w:rPr>
          <w:sz w:val="20"/>
          <w:szCs w:val="20"/>
          <w:color w:val="auto"/>
        </w:rPr>
      </w:pPr>
    </w:p>
    <w:p>
      <w:pPr>
        <w:ind w:left="420"/>
        <w:spacing w:after="0"/>
        <w:tabs>
          <w:tab w:leader="none" w:pos="740" w:val="left"/>
        </w:tabs>
        <w:rPr>
          <w:sz w:val="20"/>
          <w:szCs w:val="20"/>
          <w:color w:val="auto"/>
        </w:rPr>
      </w:pPr>
      <w:r>
        <w:rPr>
          <w:rFonts w:ascii="Times New Roman" w:cs="Times New Roman" w:eastAsia="Times New Roman" w:hAnsi="Times New Roman"/>
          <w:sz w:val="18"/>
          <w:szCs w:val="18"/>
          <w:b w:val="1"/>
          <w:bCs w:val="1"/>
          <w:color w:val="auto"/>
        </w:rPr>
        <w:t>.4</w:t>
      </w:r>
      <w:r>
        <w:rPr>
          <w:sz w:val="20"/>
          <w:szCs w:val="20"/>
          <w:color w:val="auto"/>
        </w:rPr>
        <w:tab/>
      </w:r>
      <w:r>
        <w:rPr>
          <w:rFonts w:ascii="Times New Roman" w:cs="Times New Roman" w:eastAsia="Times New Roman" w:hAnsi="Times New Roman"/>
          <w:sz w:val="18"/>
          <w:szCs w:val="18"/>
          <w:color w:val="auto"/>
        </w:rPr>
        <w:t>AIA Document A201™–2017, General Conditions of the Contract for Construction</w:t>
      </w:r>
    </w:p>
    <w:p>
      <w:pPr>
        <w:spacing w:after="0" w:line="9" w:lineRule="exact"/>
        <w:rPr>
          <w:sz w:val="20"/>
          <w:szCs w:val="20"/>
          <w:color w:val="auto"/>
        </w:rPr>
      </w:pPr>
    </w:p>
    <w:p>
      <w:pPr>
        <w:ind w:left="420"/>
        <w:spacing w:after="0"/>
        <w:tabs>
          <w:tab w:leader="none" w:pos="760" w:val="left"/>
        </w:tabs>
        <w:rPr>
          <w:sz w:val="20"/>
          <w:szCs w:val="20"/>
          <w:color w:val="auto"/>
        </w:rPr>
      </w:pPr>
      <w:r>
        <w:rPr>
          <w:rFonts w:ascii="Times New Roman" w:cs="Times New Roman" w:eastAsia="Times New Roman" w:hAnsi="Times New Roman"/>
          <w:sz w:val="18"/>
          <w:szCs w:val="18"/>
          <w:b w:val="1"/>
          <w:bCs w:val="1"/>
          <w:color w:val="auto"/>
        </w:rPr>
        <w:t>.5</w:t>
      </w:r>
      <w:r>
        <w:rPr>
          <w:sz w:val="20"/>
          <w:szCs w:val="20"/>
          <w:color w:val="auto"/>
        </w:rPr>
        <w:tab/>
      </w:r>
      <w:r>
        <w:rPr>
          <w:rFonts w:ascii="Times New Roman" w:cs="Times New Roman" w:eastAsia="Times New Roman" w:hAnsi="Times New Roman"/>
          <w:sz w:val="18"/>
          <w:szCs w:val="18"/>
          <w:color w:val="auto"/>
        </w:rPr>
        <w:t>Other Exhibits:</w:t>
      </w:r>
    </w:p>
    <w:p>
      <w:pPr>
        <w:spacing w:after="0" w:line="9"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Exhibit A-1 – Schedule of Values</w:t>
      </w:r>
    </w:p>
    <w:p>
      <w:pPr>
        <w:spacing w:after="0" w:line="9"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Exhibit A-2 – General Conditions Matrix</w:t>
      </w:r>
    </w:p>
    <w:p>
      <w:pPr>
        <w:spacing w:after="0" w:line="9"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Exhibit A-3 – Scope Clarifications</w:t>
      </w:r>
    </w:p>
    <w:p>
      <w:pPr>
        <w:spacing w:after="0" w:line="9"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Exhibit C – Drawing Log</w:t>
      </w:r>
    </w:p>
    <w:p>
      <w:pPr>
        <w:spacing w:after="0" w:line="9"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Exhibit D – Project Schedule</w:t>
      </w:r>
    </w:p>
    <w:p>
      <w:pPr>
        <w:spacing w:after="0" w:line="9"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Exhibit E – Adverse Weather</w:t>
      </w:r>
    </w:p>
    <w:p>
      <w:pPr>
        <w:spacing w:after="0" w:line="9"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Exhibit F – Logistics Plan</w:t>
      </w:r>
    </w:p>
    <w:p>
      <w:pPr>
        <w:spacing w:after="0" w:line="9"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Exhibit G – VDC Requirements</w:t>
      </w:r>
    </w:p>
    <w:p>
      <w:pPr>
        <w:spacing w:after="0" w:line="9"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Exhibit H – List of Proposed Subcontractors</w:t>
      </w:r>
    </w:p>
    <w:p>
      <w:pPr>
        <w:spacing w:after="0" w:line="9"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Exhibit I – Guaranteed Maximum Price Addendum</w:t>
      </w:r>
    </w:p>
    <w:p>
      <w:pPr>
        <w:spacing w:after="0" w:line="207" w:lineRule="exact"/>
        <w:rPr>
          <w:sz w:val="20"/>
          <w:szCs w:val="20"/>
          <w:color w:val="auto"/>
        </w:rPr>
      </w:pPr>
    </w:p>
    <w:p>
      <w:pPr>
        <w:ind w:left="660" w:right="2920"/>
        <w:spacing w:after="0" w:line="282" w:lineRule="auto"/>
        <w:rPr>
          <w:sz w:val="20"/>
          <w:szCs w:val="20"/>
          <w:color w:val="auto"/>
        </w:rPr>
      </w:pPr>
      <w:r>
        <w:rPr>
          <w:rFonts w:ascii="Times New Roman" w:cs="Times New Roman" w:eastAsia="Times New Roman" w:hAnsi="Times New Roman"/>
          <w:sz w:val="18"/>
          <w:szCs w:val="18"/>
          <w:color w:val="auto"/>
        </w:rPr>
        <w:t>In the event changes to the plans are necessitated during the permitting, the Parties shall endeavor to agree upon a change order that equitably takes such changes into consideration.</w:t>
      </w:r>
    </w:p>
    <w:p>
      <w:pPr>
        <w:spacing w:after="0" w:line="18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Tenant confirms, acknowledges and agrees that it has received a complete copy of the Landlord’s Work Construction Contract. Notwithstanding anything otherwise provided in the Lease, the First Amendment, the Construction Agreement, and/or on the “Preliminary Plans” and/or the “Construction Drawings,” as such terms are defined in Section 3(a) of the Construction Agreement, Landlord and Tenant hereby acknowledge, confirm and agree that:</w:t>
      </w:r>
    </w:p>
    <w:p>
      <w:pPr>
        <w:spacing w:after="0" w:line="213"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20"/>
          <w:szCs w:val="20"/>
          <w:color w:val="auto"/>
        </w:rPr>
        <w:t>2.1 “Landlord’s Work,” as defined in the last sentence of Section 3(a) of the Construction Agreement, (a) shall not include purchase, construction or installation of any of the “Tenant Core Work Items” (as defined below in this Second Amendment), and (b) shall mean the construction of only those certain Building shell components, onsite improvements and offsite improvements (excluding the Tenant Core Work Items) that are specifically set forth in the Landlord’s Work Construction Contract, which Landlord’s Work Construction Contract is hereby incorporated in and made a part of this Second Amendment and the Lease by reference. Accordingly, the “Construction Drawings,” as defined in the second sentence of Section 3(a) of the Construction Agreement, and as previously approved by Landlord and Tenant, are hereby deemed amended as necessary (i) to remove any requirements otherwise provided thereon to purchase, construct and/or install the Tenant Core Work Items, and (ii) to instead refer only to the work to be completed by the Building Contractor under the Landlord’s Work Construction Contract.</w:t>
      </w:r>
    </w:p>
    <w:p>
      <w:pPr>
        <w:spacing w:after="0" w:line="220" w:lineRule="exact"/>
        <w:rPr>
          <w:sz w:val="20"/>
          <w:szCs w:val="20"/>
          <w:color w:val="auto"/>
        </w:rPr>
      </w:pPr>
    </w:p>
    <w:p>
      <w:pPr>
        <w:jc w:val="both"/>
        <w:ind w:left="660" w:firstLine="648"/>
        <w:spacing w:after="0" w:line="258" w:lineRule="auto"/>
        <w:rPr>
          <w:sz w:val="20"/>
          <w:szCs w:val="20"/>
          <w:color w:val="auto"/>
        </w:rPr>
      </w:pPr>
      <w:r>
        <w:rPr>
          <w:rFonts w:ascii="Times New Roman" w:cs="Times New Roman" w:eastAsia="Times New Roman" w:hAnsi="Times New Roman"/>
          <w:sz w:val="20"/>
          <w:szCs w:val="20"/>
          <w:color w:val="auto"/>
        </w:rPr>
        <w:t xml:space="preserve">2.2 The “Work Schedule,” as defined in the first sentence of Section 2 of the Construction Agreement, shall mean the Project Schedule set forth in the Landlord’s Work Construction Contract;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notwithstanding anything otherwise provided in the Project Schedule, Landlord agrees to use all good faith, reasonable efforts to delay the start of construction of Landlord’s Work until October 28,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w:t>
      </w:r>
    </w:p>
    <w:p>
      <w:pPr>
        <w:sectPr>
          <w:pgSz w:w="11900" w:h="16838" w:orient="portrait"/>
          <w:cols w:equalWidth="0" w:num="1">
            <w:col w:w="11240"/>
          </w:cols>
          <w:pgMar w:left="320" w:top="1413" w:right="339" w:bottom="1440" w:gutter="0" w:footer="0" w:header="0"/>
        </w:sectPr>
      </w:pPr>
    </w:p>
    <w:bookmarkStart w:id="87" w:name="page88"/>
    <w:bookmarkEnd w:id="87"/>
    <w:p>
      <w:pPr>
        <w:jc w:val="both"/>
        <w:ind w:firstLine="648"/>
        <w:spacing w:after="0" w:line="249" w:lineRule="auto"/>
        <w:rPr>
          <w:sz w:val="20"/>
          <w:szCs w:val="20"/>
          <w:color w:val="auto"/>
        </w:rPr>
      </w:pPr>
      <w:r>
        <w:rPr>
          <w:rFonts w:ascii="Times New Roman" w:cs="Times New Roman" w:eastAsia="Times New Roman" w:hAnsi="Times New Roman"/>
          <w:sz w:val="20"/>
          <w:szCs w:val="20"/>
          <w:color w:val="auto"/>
        </w:rPr>
        <w:t>2.3 Attached hereto as Schedule 1, and incorporated herein by reference, is that certain “Interim Agreement” to be entered into by and between Tenant and the Building Contractor. “Tenant’s Work,” as defined in Section 5(b) of the Construction Agreement, shall specifically include, but shall not be limited to, the “Scope of Services” (the “Tenant Core Work Items”) set forth on Exhibit A of the Interim Agreement, including obtaining all warranties applicable thereto. Tenant agrees to execute and deliver the Interim Agreement to the Building Contractor, and to furnish Landlord a fully executed copy thereof, not later than one (1) business day after Landlord delivers to Tenant the “Notice of Satisfaction of FLC,” as defined in Section 3(b)(iii) of the Construction Agreement. Tenant will thereafter cause the Tenant Core Work Items to be purchased, constructed and/or installed by the Building Contractor, at Tenant’s sole cost and expense, as part of Tenant’s Work, within the time frames provided in the Work Schedule. Tenant’s failure to timely perform its obligations under the Construction Agreement, as amended by this Second Amendment, including without limitation Tenant’s obligations under the Interim Agreement, within the time frames provided in the Interim Agreement and/or the Work Schedule, as the case may be, shall be deemed a “Tenant Delay,” as defined in Section 3(f) of the Construction Agreement, in addition to those other matters constituting a “Tenant Delay,” as set forth in Section 3(f) or otherwise in the Construction Agreement, as amended by this Second Amendment. In addition, because Landlord may not enter into the Landlord’s Work Construction Contract until this Second Amendment is executed by Tenant, as required in order to satisfy the “Final Lease Contingency” (as defined in Section 3(b)(iii) of the Construction Agreement) by the expiration of the Final Contingency Period on October 31, 2024, it also shall be deemed a “Tenant Delay” if this Second Amendment is not finalized, agreed upon and signed by Tenant within three (3) days after submission of this Second Amendment to Tenant for review and execution, provided Landlord cooperates in good faith in addressing any reasonable comments of Tenant and finalizing this Second Amendment for execution.</w:t>
      </w:r>
    </w:p>
    <w:p>
      <w:pPr>
        <w:spacing w:after="0" w:line="21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0"/>
          <w:szCs w:val="20"/>
          <w:color w:val="auto"/>
        </w:rPr>
        <w:t>2.4 If, notwithstanding anything provided in Section 2.3 of this Second Amendment, Tenant elects to execute and deliver the Interim Agreement to the Building Contractor, and furnishes Landlord a fully executed copy thereof, prior to the date Landlord delivers to Tenant the Notice of Satisfaction of FLC, then Landlord agrees that if Tenant exercises its termination right set forth in Paragraph 5 of the Interim Agreement, solely because Landlord has not satisfied the Final Lease Contingency by the expiration of the Final Contingency Period on October 31, 2024, then Landlord will reimburse Tenant for the sums actually paid by Tenant to the Building Contractor pursuant to Paragraph 5 of the Interim Agreement, which sums will be paid by Landlord to Tenant promptly after Landlord receives from Tenant paid invoices or other appropriate evidence substantiating the actual amount previously paid by Tenant to the Building Contractor with respect thereto. If the Final Lease Contingency is not satisfied by the expiration of the Final Contingency Period, then Tenant agrees to terminate the Interim Agreement within one (1) day after written notice from Landlord requesting that Tenant terminate the Interim Agreement. If any payment is due from Landlord to Tenant pursuant to this Section 2.4, under no circumstance shall the amount to be paid by Landlord to Tenant be greater than $1,400,000.00. Notwithstanding anything provided above, if Tenant chooses to terminate the Lease by requesting that Landlord or its affiliate assign to Tenant or Tenant’s affiliated nominee the purchase and sale agreement for the Land, as more particularly provided in Section 3(b)(iii)(ii) on page B-3 of the Construction Agreement, then Landlord shall not be obligated to reimburse Tenant for any sums that are paid by Tenant to the Building Contractor pursuant to Paragraph 5 of the Interim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20"/>
          <w:szCs w:val="20"/>
          <w:color w:val="auto"/>
        </w:rPr>
        <w:t>-3-</w:t>
      </w:r>
    </w:p>
    <w:p>
      <w:pPr>
        <w:sectPr>
          <w:pgSz w:w="11900" w:h="16838" w:orient="portrait"/>
          <w:cols w:equalWidth="0" w:num="1">
            <w:col w:w="10580"/>
          </w:cols>
          <w:pgMar w:left="980" w:top="1413" w:right="339" w:bottom="1440" w:gutter="0" w:footer="0" w:header="0"/>
        </w:sectPr>
      </w:pPr>
    </w:p>
    <w:bookmarkStart w:id="88" w:name="page89"/>
    <w:bookmarkEnd w:id="88"/>
    <w:p>
      <w:pPr>
        <w:jc w:val="both"/>
        <w:ind w:left="660" w:firstLine="648"/>
        <w:spacing w:after="0" w:line="264" w:lineRule="auto"/>
        <w:rPr>
          <w:sz w:val="20"/>
          <w:szCs w:val="20"/>
          <w:color w:val="auto"/>
        </w:rPr>
      </w:pPr>
      <w:r>
        <w:rPr>
          <w:rFonts w:ascii="Times New Roman" w:cs="Times New Roman" w:eastAsia="Times New Roman" w:hAnsi="Times New Roman"/>
          <w:sz w:val="19"/>
          <w:szCs w:val="19"/>
          <w:color w:val="auto"/>
        </w:rPr>
        <w:t>2.5 The terms “Substantially Complete” and “Substantial Completion,” as defined in the first sentence of Section 3(e) of the Construction Agreement (applicable to Landlord’s Work), are amended by deleting the first sentence of Section 3(e) of the Construction Agreement and replacing the same with the following: “Landlord’s Work shall be deemed to be substantially complete when the Architect (Butler Design Group) determines that the construction of Landlord’s Work is complete, excepting only Punchlist Items (as defined below) (herein ‘Substantially Complete’ or ‘Substantial Completion’).” Tenant expressly understands, acknowledges and agrees that (a) Landlord shall be deemed to have tendered possession of the Premises to Tenant, and Tenant shall be deemed to have accepted possession of the Premises from Landlord, upon Substantial Completion of Landlord’s Work, without permanent electric service or any other Tenant Core Work Items installed in or available to the Building (because such items are now part of Tenant’s Work), (b) a temporary or final certificate of completion (or its equivalent) will not be issued for Landlord’s Work by the County of Bernalillo, New Mexico (the “County”), until after Tenant has completed construction and installation of the Tenant Core Work Items, and (c) such temporary or final certificate of completion (or its equivalent) shall not be a condition precedent for Landlord’s Work to be deemed Substantially Complete or for Substantial Completion of Landlord’s Work to be deemed to have occurred, or for the “Commencement Date” (as defined on the second page of the Lease Summary) to have occurred. Landlord and Tenant agree to fully cooperate with each other, in good faith, to obtain such temporary or final certificate of completion (or its equivalent) promptly upon completion of Landlord’s Work and the Tenant Core Work Items, which shall include the obligation of Landlord to promptly commence and diligently pursue to completion any changes in Landlord’s Work that might be required by the County as a condition to the issuance of such temporary or final certificate of completion (or its equivalent).</w:t>
      </w:r>
    </w:p>
    <w:p>
      <w:pPr>
        <w:spacing w:after="0" w:line="194" w:lineRule="exact"/>
        <w:rPr>
          <w:sz w:val="20"/>
          <w:szCs w:val="20"/>
          <w:color w:val="auto"/>
        </w:rPr>
      </w:pPr>
    </w:p>
    <w:p>
      <w:pPr>
        <w:jc w:val="both"/>
        <w:ind w:firstLine="656"/>
        <w:spacing w:after="0" w:line="250" w:lineRule="auto"/>
        <w:tabs>
          <w:tab w:leader="none" w:pos="1296" w:val="left"/>
        </w:tabs>
        <w:numPr>
          <w:ilvl w:val="0"/>
          <w:numId w:val="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Revised Pro Forma Budget</w:t>
      </w:r>
      <w:r>
        <w:rPr>
          <w:rFonts w:ascii="Times New Roman" w:cs="Times New Roman" w:eastAsia="Times New Roman" w:hAnsi="Times New Roman"/>
          <w:sz w:val="20"/>
          <w:szCs w:val="20"/>
          <w:color w:val="auto"/>
        </w:rPr>
        <w:t>. The Pro Forma Budget attached as Schedule 2 to the Construction Agreement is amended by deleting the same in its entirety and replacing it with the Pro Forma Budget attached hereto as Schedule 2. The budget may be further updated from time to time during the performance of Landlord’s Work, as more particularly provided in Section 4(a) of the Construction Agreement. The updated pro forma budget attached hereto has been revised to, among other things, (i) delete the $10.00 per square foot Allowance, which Landlord will no longer be obligated to disburse or pay to Tenant, as provided in Sections 5 and 6 below, (ii) set forth the new total guaranteed maximum price (GMP) in the Landlord’s Work Construction Contract, (iii) set forth the Tenant Core Work Items that will be included, initially in the Interim Agreement, and thereafter in the guaranteed maximum price contract for all of Tenant’s Work, to be entered into by and between Tenant and the Building Contractor, and (iv) set forth the estimated amount of Tenant’s Share. As provided in Section 3(b)(iii) of the Construction Agreement, Tenant has agreed to furnish to Landlord or its lender(s) upon request all reporting information required from time to time by Landlord or its lender(s) to comply with the reporting requirements related to the New Markets Tax Credit Program.</w:t>
      </w:r>
    </w:p>
    <w:p>
      <w:pPr>
        <w:spacing w:after="0" w:line="226" w:lineRule="exact"/>
        <w:rPr>
          <w:rFonts w:ascii="Times New Roman" w:cs="Times New Roman" w:eastAsia="Times New Roman" w:hAnsi="Times New Roman"/>
          <w:sz w:val="20"/>
          <w:szCs w:val="20"/>
          <w:color w:val="auto"/>
        </w:rPr>
      </w:pPr>
    </w:p>
    <w:p>
      <w:pPr>
        <w:jc w:val="both"/>
        <w:ind w:firstLine="656"/>
        <w:spacing w:after="0" w:line="261" w:lineRule="auto"/>
        <w:tabs>
          <w:tab w:leader="none" w:pos="1296" w:val="left"/>
        </w:tabs>
        <w:numPr>
          <w:ilvl w:val="0"/>
          <w:numId w:val="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Extension of Time to Complete Tenant’s Work</w:t>
      </w:r>
      <w:r>
        <w:rPr>
          <w:rFonts w:ascii="Times New Roman" w:cs="Times New Roman" w:eastAsia="Times New Roman" w:hAnsi="Times New Roman"/>
          <w:sz w:val="20"/>
          <w:szCs w:val="20"/>
          <w:color w:val="auto"/>
        </w:rPr>
        <w:t>. The last sentence of Section 7(f) of the Construction Agreement is amended by deleting “sixty (60) days” and “one hundred twenty (120) days” and replacing with the same with “ninety (90) days” and “one hundred fifty (150) days,” respectively.</w:t>
      </w:r>
    </w:p>
    <w:p>
      <w:pPr>
        <w:spacing w:after="0" w:line="194" w:lineRule="exact"/>
        <w:rPr>
          <w:rFonts w:ascii="Times New Roman" w:cs="Times New Roman" w:eastAsia="Times New Roman" w:hAnsi="Times New Roman"/>
          <w:sz w:val="20"/>
          <w:szCs w:val="20"/>
          <w:color w:val="auto"/>
        </w:rPr>
      </w:pPr>
    </w:p>
    <w:p>
      <w:pPr>
        <w:jc w:val="both"/>
        <w:ind w:firstLine="656"/>
        <w:spacing w:after="0" w:line="258" w:lineRule="auto"/>
        <w:tabs>
          <w:tab w:leader="none" w:pos="1296" w:val="left"/>
        </w:tabs>
        <w:numPr>
          <w:ilvl w:val="0"/>
          <w:numId w:val="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Deletion of Allowance</w:t>
      </w:r>
      <w:r>
        <w:rPr>
          <w:rFonts w:ascii="Times New Roman" w:cs="Times New Roman" w:eastAsia="Times New Roman" w:hAnsi="Times New Roman"/>
          <w:sz w:val="20"/>
          <w:szCs w:val="20"/>
          <w:color w:val="auto"/>
        </w:rPr>
        <w:t>. All “Tenant’s Work Costs,” as defined in Section 8(a) of the Construction Agreement (as amended below in this Second Amendment), shall be the sole obligation and responsibility of Tenant, and Landlord shall have no obligation whatsoever to pay, contribute to, or grant to Tenant any tenant improvement allowance for, Tenant’s Work Costs (which include, but are not limited to, the Tenant Core Work Items). Accordingly, the Construction Agreement is further amended to</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w:t>
      </w:r>
    </w:p>
    <w:p>
      <w:pPr>
        <w:sectPr>
          <w:pgSz w:w="11900" w:h="16838" w:orient="portrait"/>
          <w:cols w:equalWidth="0" w:num="1">
            <w:col w:w="11240"/>
          </w:cols>
          <w:pgMar w:left="320" w:top="1413" w:right="339" w:bottom="1440" w:gutter="0" w:footer="0" w:header="0"/>
        </w:sectPr>
      </w:pPr>
    </w:p>
    <w:bookmarkStart w:id="89" w:name="page90"/>
    <w:bookmarkEnd w:id="89"/>
    <w:p>
      <w:pPr>
        <w:jc w:val="both"/>
        <w:spacing w:after="0" w:line="271" w:lineRule="auto"/>
        <w:rPr>
          <w:sz w:val="20"/>
          <w:szCs w:val="20"/>
          <w:color w:val="auto"/>
        </w:rPr>
      </w:pPr>
      <w:r>
        <w:rPr>
          <w:rFonts w:ascii="Times New Roman" w:cs="Times New Roman" w:eastAsia="Times New Roman" w:hAnsi="Times New Roman"/>
          <w:sz w:val="19"/>
          <w:szCs w:val="19"/>
          <w:color w:val="auto"/>
        </w:rPr>
        <w:t>delete any and all references therein to the “Allowance,” including but not limited to the following: (i) the definition of the “Development Cost” set forth in Section 4(a) of the Construction Agreement is amended by deleting “the Allowance (defined below),” from line 13 thereof;</w:t>
      </w:r>
    </w:p>
    <w:p>
      <w:pPr>
        <w:spacing w:after="0" w:line="1" w:lineRule="exact"/>
        <w:rPr>
          <w:sz w:val="20"/>
          <w:szCs w:val="20"/>
          <w:color w:val="auto"/>
        </w:rPr>
      </w:pPr>
    </w:p>
    <w:p>
      <w:pPr>
        <w:jc w:val="both"/>
        <w:ind w:firstLine="8"/>
        <w:spacing w:after="0" w:line="249" w:lineRule="auto"/>
        <w:tabs>
          <w:tab w:leader="none" w:pos="308" w:val="left"/>
        </w:tabs>
        <w:numPr>
          <w:ilvl w:val="0"/>
          <w:numId w:val="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Section 5(b) of the Construction Agreement is amended by deleting “, subject to reimbursement from the Allowance (defined below)” from line 15 thereof; and (iii) Section 10 of the Construction Agreement is amended by deleting “to the extent it exceeds the Allowance” from line 5 thereof.</w:t>
      </w:r>
    </w:p>
    <w:p>
      <w:pPr>
        <w:spacing w:after="0" w:line="220" w:lineRule="exact"/>
        <w:rPr>
          <w:rFonts w:ascii="Times New Roman" w:cs="Times New Roman" w:eastAsia="Times New Roman" w:hAnsi="Times New Roman"/>
          <w:sz w:val="20"/>
          <w:szCs w:val="20"/>
          <w:color w:val="auto"/>
        </w:rPr>
      </w:pPr>
    </w:p>
    <w:p>
      <w:pPr>
        <w:ind w:right="20" w:firstLine="656"/>
        <w:spacing w:after="0" w:line="283" w:lineRule="auto"/>
        <w:tabs>
          <w:tab w:leader="none" w:pos="1296" w:val="left"/>
        </w:tabs>
        <w:numPr>
          <w:ilvl w:val="1"/>
          <w:numId w:val="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Monetary Matters</w:t>
      </w:r>
      <w:r>
        <w:rPr>
          <w:rFonts w:ascii="Times New Roman" w:cs="Times New Roman" w:eastAsia="Times New Roman" w:hAnsi="Times New Roman"/>
          <w:sz w:val="20"/>
          <w:szCs w:val="20"/>
          <w:color w:val="auto"/>
        </w:rPr>
        <w:t>. Section 8 (Monetary Matters) of the Construction Agreement is amended by deleting the same in its entirety and replacing the same with the following:</w:t>
      </w:r>
    </w:p>
    <w:p>
      <w:pPr>
        <w:spacing w:after="0" w:line="169" w:lineRule="exact"/>
        <w:rPr>
          <w:sz w:val="20"/>
          <w:szCs w:val="20"/>
          <w:color w:val="auto"/>
        </w:rPr>
      </w:pPr>
    </w:p>
    <w:p>
      <w:pPr>
        <w:ind w:left="1000" w:hanging="344"/>
        <w:spacing w:after="0"/>
        <w:tabs>
          <w:tab w:leader="none" w:pos="1000" w:val="left"/>
        </w:tabs>
        <w:numPr>
          <w:ilvl w:val="0"/>
          <w:numId w:val="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MONETARY MATTERS</w:t>
      </w:r>
      <w:r>
        <w:rPr>
          <w:rFonts w:ascii="Times New Roman" w:cs="Times New Roman" w:eastAsia="Times New Roman" w:hAnsi="Times New Roman"/>
          <w:sz w:val="20"/>
          <w:szCs w:val="20"/>
          <w:color w:val="auto"/>
        </w:rPr>
        <w:t>.</w:t>
      </w:r>
    </w:p>
    <w:p>
      <w:pPr>
        <w:spacing w:after="0" w:line="256" w:lineRule="exact"/>
        <w:rPr>
          <w:sz w:val="20"/>
          <w:szCs w:val="20"/>
          <w:color w:val="auto"/>
        </w:rPr>
      </w:pPr>
    </w:p>
    <w:p>
      <w:pPr>
        <w:jc w:val="both"/>
        <w:ind w:left="660" w:right="660" w:hanging="4"/>
        <w:spacing w:after="0" w:line="260" w:lineRule="auto"/>
        <w:tabs>
          <w:tab w:leader="none" w:pos="1298" w:val="left"/>
        </w:tabs>
        <w:numPr>
          <w:ilvl w:val="0"/>
          <w:numId w:val="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Tenant’s Work Costs</w:t>
      </w:r>
      <w:r>
        <w:rPr>
          <w:rFonts w:ascii="Times New Roman" w:cs="Times New Roman" w:eastAsia="Times New Roman" w:hAnsi="Times New Roman"/>
          <w:sz w:val="20"/>
          <w:szCs w:val="20"/>
          <w:color w:val="auto"/>
        </w:rPr>
        <w:t>. Tenant shall be responsible for all costs and expenses incurred in connection with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Tenant’s Work (as defined in Section 5(b) of this Construction Agreement), including but not limited to costs of labor and materials, general contractor fees, architectural, engineering and permitting fees, local taxes, project management fees and other soft costs or fees (collectively, “Tenant’s Work Costs”).</w:t>
      </w:r>
    </w:p>
    <w:p>
      <w:pPr>
        <w:spacing w:after="0" w:line="191" w:lineRule="exact"/>
        <w:rPr>
          <w:rFonts w:ascii="Times New Roman" w:cs="Times New Roman" w:eastAsia="Times New Roman" w:hAnsi="Times New Roman"/>
          <w:sz w:val="20"/>
          <w:szCs w:val="20"/>
          <w:color w:val="auto"/>
        </w:rPr>
      </w:pPr>
    </w:p>
    <w:p>
      <w:pPr>
        <w:jc w:val="both"/>
        <w:ind w:left="660" w:right="640" w:hanging="4"/>
        <w:spacing w:after="0" w:line="251" w:lineRule="auto"/>
        <w:tabs>
          <w:tab w:leader="none" w:pos="1296" w:val="left"/>
        </w:tabs>
        <w:numPr>
          <w:ilvl w:val="0"/>
          <w:numId w:val="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Submissions</w:t>
      </w:r>
      <w:r>
        <w:rPr>
          <w:rFonts w:ascii="Times New Roman" w:cs="Times New Roman" w:eastAsia="Times New Roman" w:hAnsi="Times New Roman"/>
          <w:sz w:val="20"/>
          <w:szCs w:val="20"/>
          <w:color w:val="auto"/>
        </w:rPr>
        <w:t>. Within ninety (90) days after completion of construction of Tenant’s Work, Tenant shall furnish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following to Landlord: (a) certificates of insurance required to be maintained by Tenant pursuant to the Lease; (b) an AIA G713 certificate of the Architect confirming that Tenant’s Work is Substantially Complete (which certificate shall include a punch list as of the date of the certificate); (c) all required preliminary lien notices; (d) all applications for payment including, without limitation, a standard AIA G702 Application for Payment from the Building Contractor; (e) full and final unconditional waivers and lien releases, in form and content reasonably acceptable to Landlord, from the Building Contractor and all other contractors, subcontractors and material suppliers furnishing services or materials to the Premises;</w:t>
      </w:r>
    </w:p>
    <w:p>
      <w:pPr>
        <w:spacing w:after="0" w:line="2" w:lineRule="exact"/>
        <w:rPr>
          <w:rFonts w:ascii="Times New Roman" w:cs="Times New Roman" w:eastAsia="Times New Roman" w:hAnsi="Times New Roman"/>
          <w:sz w:val="20"/>
          <w:szCs w:val="20"/>
          <w:color w:val="auto"/>
        </w:rPr>
      </w:pPr>
    </w:p>
    <w:p>
      <w:pPr>
        <w:jc w:val="both"/>
        <w:ind w:left="660" w:right="640" w:hanging="4"/>
        <w:spacing w:after="0" w:line="251" w:lineRule="auto"/>
        <w:tabs>
          <w:tab w:leader="none" w:pos="909" w:val="left"/>
        </w:tabs>
        <w:numPr>
          <w:ilvl w:val="0"/>
          <w:numId w:val="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certificate signed by Tenant and the Building Contractor certifying that all of the Tenant’s Work (including all punch list items) under the construction contract has been completed; (g) any and all reports of inspections by the County of Bernalillo or other governmental agencies having jurisdiction; (h) a .pdf copy of the “as-built” plans for the Tenant’s Work; (i) CAD files of Tenant’s Work; and (j) written permission and/or license from Tenant and Tenant’s vendors, designers and contractors permitting Landlord to use the CAD files associated with Tenant’s Work.</w:t>
      </w:r>
    </w:p>
    <w:p>
      <w:pPr>
        <w:spacing w:after="0" w:line="202"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Intentionally Omitted</w:t>
      </w:r>
      <w:r>
        <w:rPr>
          <w:rFonts w:ascii="Times New Roman" w:cs="Times New Roman" w:eastAsia="Times New Roman" w:hAnsi="Times New Roman"/>
          <w:sz w:val="20"/>
          <w:szCs w:val="20"/>
          <w:color w:val="auto"/>
        </w:rPr>
        <w:t>.</w:t>
      </w:r>
    </w:p>
    <w:p>
      <w:pPr>
        <w:spacing w:after="0" w:line="260" w:lineRule="exact"/>
        <w:rPr>
          <w:sz w:val="20"/>
          <w:szCs w:val="20"/>
          <w:color w:val="auto"/>
        </w:rPr>
      </w:pPr>
    </w:p>
    <w:p>
      <w:pPr>
        <w:jc w:val="both"/>
        <w:ind w:firstLine="656"/>
        <w:spacing w:after="0" w:line="258" w:lineRule="auto"/>
        <w:tabs>
          <w:tab w:leader="none" w:pos="1296" w:val="left"/>
        </w:tabs>
        <w:numPr>
          <w:ilvl w:val="0"/>
          <w:numId w:val="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Ratification</w:t>
      </w:r>
      <w:r>
        <w:rPr>
          <w:rFonts w:ascii="Times New Roman" w:cs="Times New Roman" w:eastAsia="Times New Roman" w:hAnsi="Times New Roman"/>
          <w:sz w:val="20"/>
          <w:szCs w:val="20"/>
          <w:color w:val="auto"/>
        </w:rPr>
        <w:t>. It is understood and agreed that the Lease and the Construction Agreement are ratified, affirmed and in full force and effect, and have not been modified, supplemented or amended in any way, except as herein provided. In furtherance but limitation thereof, it is further understood, acknowledged and agreed that the following contingencies and conditions to the effectiveness of the Lease</w:t>
      </w:r>
    </w:p>
    <w:p>
      <w:pPr>
        <w:spacing w:after="0" w:line="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that are set forth in the Lease have been satisfied, waived or deemed waived: (a) the IRB Approval Contingency set forth in Section 1.4(A) of the Lease and (b) the approval of the Lease and Guarantee by Tenant’s and Guarantor’s Board of Directors set forth in Section 1.4(C) of the Lease.</w:t>
      </w:r>
    </w:p>
    <w:p>
      <w:pPr>
        <w:spacing w:after="0" w:line="195" w:lineRule="exact"/>
        <w:rPr>
          <w:sz w:val="20"/>
          <w:szCs w:val="20"/>
          <w:color w:val="auto"/>
        </w:rPr>
      </w:pPr>
    </w:p>
    <w:p>
      <w:pPr>
        <w:jc w:val="both"/>
        <w:ind w:firstLine="656"/>
        <w:spacing w:after="0" w:line="268" w:lineRule="auto"/>
        <w:tabs>
          <w:tab w:leader="none" w:pos="1296" w:val="left"/>
        </w:tabs>
        <w:numPr>
          <w:ilvl w:val="0"/>
          <w:numId w:val="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Authority</w:t>
      </w:r>
      <w:r>
        <w:rPr>
          <w:rFonts w:ascii="Times New Roman" w:cs="Times New Roman" w:eastAsia="Times New Roman" w:hAnsi="Times New Roman"/>
          <w:sz w:val="20"/>
          <w:szCs w:val="20"/>
          <w:color w:val="auto"/>
        </w:rPr>
        <w:t>. The parties and all persons signing for the parties below represent to each other that this Second Amendment has been fully authorized and no further approvals are required, that such entity has the full right and authority to enter into this Second Amendment, and that all persons</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-5-</w:t>
      </w:r>
    </w:p>
    <w:p>
      <w:pPr>
        <w:sectPr>
          <w:pgSz w:w="11900" w:h="16838" w:orient="portrait"/>
          <w:cols w:equalWidth="0" w:num="1">
            <w:col w:w="11240"/>
          </w:cols>
          <w:pgMar w:left="320" w:top="1413" w:right="339" w:bottom="1440" w:gutter="0" w:footer="0" w:header="0"/>
        </w:sectPr>
      </w:pPr>
    </w:p>
    <w:bookmarkStart w:id="90" w:name="page91"/>
    <w:bookmarkEnd w:id="90"/>
    <w:p>
      <w:pPr>
        <w:jc w:val="both"/>
        <w:spacing w:after="0" w:line="253" w:lineRule="auto"/>
        <w:rPr>
          <w:sz w:val="20"/>
          <w:szCs w:val="20"/>
          <w:color w:val="auto"/>
        </w:rPr>
      </w:pPr>
      <w:r>
        <w:rPr>
          <w:rFonts w:ascii="Times New Roman" w:cs="Times New Roman" w:eastAsia="Times New Roman" w:hAnsi="Times New Roman"/>
          <w:sz w:val="20"/>
          <w:szCs w:val="20"/>
          <w:color w:val="auto"/>
        </w:rPr>
        <w:t>signing on behalf of such entity are authorized to do so by appropriate actions. If requested by Landlord, Tenant shall deliver to Landlord appropriate documentation reasonably acceptable to Landlord evidencing the due authorization of the person(s) signing this Second Amendment on behalf of Tenant to enter into this Second Amendment on behalf of such party. If requested by Tenant, Landlord shall deliver to Tenant appropriate documentation reasonably acceptable to Tenant evidencing the due authorization of the person(s) signing this Second Amendment on behalf of Landlord to enter into this Second Amendment on behalf of such party.</w:t>
      </w:r>
    </w:p>
    <w:p>
      <w:pPr>
        <w:spacing w:after="0" w:line="219" w:lineRule="exact"/>
        <w:rPr>
          <w:sz w:val="20"/>
          <w:szCs w:val="20"/>
          <w:color w:val="auto"/>
        </w:rPr>
      </w:pPr>
    </w:p>
    <w:p>
      <w:pPr>
        <w:ind w:firstLine="656"/>
        <w:spacing w:after="0" w:line="283" w:lineRule="auto"/>
        <w:tabs>
          <w:tab w:leader="none" w:pos="1296" w:val="left"/>
        </w:tabs>
        <w:numPr>
          <w:ilvl w:val="0"/>
          <w:numId w:val="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Successors</w:t>
      </w:r>
      <w:r>
        <w:rPr>
          <w:rFonts w:ascii="Times New Roman" w:cs="Times New Roman" w:eastAsia="Times New Roman" w:hAnsi="Times New Roman"/>
          <w:sz w:val="20"/>
          <w:szCs w:val="20"/>
          <w:color w:val="auto"/>
        </w:rPr>
        <w:t>. Subject to the terms and conditions set forth in the Lease, this Second Amendment shall be binding on, and inure to the benefit of, the parties hereto, their successors in interest, and assigns.</w:t>
      </w:r>
    </w:p>
    <w:p>
      <w:pPr>
        <w:spacing w:after="0" w:line="173" w:lineRule="exact"/>
        <w:rPr>
          <w:rFonts w:ascii="Times New Roman" w:cs="Times New Roman" w:eastAsia="Times New Roman" w:hAnsi="Times New Roman"/>
          <w:sz w:val="20"/>
          <w:szCs w:val="20"/>
          <w:color w:val="auto"/>
        </w:rPr>
      </w:pPr>
    </w:p>
    <w:p>
      <w:pPr>
        <w:jc w:val="both"/>
        <w:ind w:firstLine="656"/>
        <w:spacing w:after="0" w:line="253" w:lineRule="auto"/>
        <w:tabs>
          <w:tab w:leader="none" w:pos="1287" w:val="left"/>
        </w:tabs>
        <w:numPr>
          <w:ilvl w:val="0"/>
          <w:numId w:val="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Counterparts</w:t>
      </w:r>
      <w:r>
        <w:rPr>
          <w:rFonts w:ascii="Times New Roman" w:cs="Times New Roman" w:eastAsia="Times New Roman" w:hAnsi="Times New Roman"/>
          <w:sz w:val="20"/>
          <w:szCs w:val="20"/>
          <w:color w:val="auto"/>
        </w:rPr>
        <w:t>. This Second Amendment may be executed in identical counterparts and signature pages may be detached from one counterpart and added to the other counterpart. This Second Amendment may be executed via “wet” original handwritten signatures, or via electronic signatures or marks, which shall be binding on the parties as originals, and the executed signature pages may be delivered using a PDF or similar file type transmitted via electronic mail, cloud based server, e-signature technology or other similar electronic means (such as DocuSign), and any such transmittal shall constitute delivery of the executed document for all purposes of this Second Amendment. This Second Amendment shall not become effective or binding upon any of the signing parties unless and until all parties shall have executed and delivered to the other parties a fully executed original or counterpart.</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[SIGNATURES ON FOLLOWING PAGES]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w:t>
      </w:r>
    </w:p>
    <w:p>
      <w:pPr>
        <w:sectPr>
          <w:pgSz w:w="11900" w:h="16838" w:orient="portrait"/>
          <w:cols w:equalWidth="0" w:num="1">
            <w:col w:w="11240"/>
          </w:cols>
          <w:pgMar w:left="320" w:top="1413" w:right="339" w:bottom="1440" w:gutter="0" w:footer="0" w:header="0"/>
        </w:sectPr>
      </w:pPr>
    </w:p>
    <w:bookmarkStart w:id="91" w:name="page92"/>
    <w:bookmarkEnd w:id="91"/>
    <w:p>
      <w:pPr>
        <w:ind w:left="2920"/>
        <w:spacing w:after="0"/>
        <w:rPr>
          <w:sz w:val="20"/>
          <w:szCs w:val="20"/>
          <w:color w:val="auto"/>
        </w:rPr>
      </w:pPr>
      <w:r>
        <w:rPr>
          <w:rFonts w:ascii="Times New Roman" w:cs="Times New Roman" w:eastAsia="Times New Roman" w:hAnsi="Times New Roman"/>
          <w:sz w:val="20"/>
          <w:szCs w:val="20"/>
          <w:color w:val="auto"/>
        </w:rPr>
        <w:t>[LANDLORD SIGNATURE PAGE TO SECOND AMENDMENT]</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 xml:space="preserve">IN WITNESS WHEREOF, Landlord has executed this Second Amendment on this </w:t>
      </w:r>
      <w:r>
        <w:rPr>
          <w:rFonts w:ascii="Times New Roman" w:cs="Times New Roman" w:eastAsia="Times New Roman" w:hAnsi="Times New Roman"/>
          <w:sz w:val="20"/>
          <w:szCs w:val="20"/>
          <w:u w:val="single" w:color="auto"/>
          <w:color w:val="auto"/>
        </w:rPr>
        <w:t>26</w:t>
      </w:r>
      <w:r>
        <w:rPr>
          <w:rFonts w:ascii="Times New Roman" w:cs="Times New Roman" w:eastAsia="Times New Roman" w:hAnsi="Times New Roman"/>
          <w:sz w:val="25"/>
          <w:szCs w:val="25"/>
          <w:u w:val="single" w:color="auto"/>
          <w:color w:val="auto"/>
          <w:vertAlign w:val="superscript"/>
        </w:rPr>
        <w:t>th</w:t>
      </w:r>
      <w:r>
        <w:rPr>
          <w:rFonts w:ascii="Times New Roman" w:cs="Times New Roman" w:eastAsia="Times New Roman" w:hAnsi="Times New Roman"/>
          <w:sz w:val="20"/>
          <w:szCs w:val="20"/>
          <w:color w:val="auto"/>
        </w:rPr>
        <w:t xml:space="preserve"> day of September,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4399280</wp:posOffset>
            </wp:positionH>
            <wp:positionV relativeFrom="paragraph">
              <wp:posOffset>-40005</wp:posOffset>
            </wp:positionV>
            <wp:extent cx="31115"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3">
                      <a:extLst>
                        <a:ext uri="{28A0092B-C50C-407E-A947-70E740481C1C}"/>
                      </a:extLst>
                    </a:blip>
                    <a:srcRect/>
                    <a:stretch>
                      <a:fillRect/>
                    </a:stretch>
                  </pic:blipFill>
                  <pic:spPr bwMode="auto">
                    <a:xfrm>
                      <a:off x="0" y="0"/>
                      <a:ext cx="311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900"/>
        <w:spacing w:after="0"/>
        <w:rPr>
          <w:sz w:val="20"/>
          <w:szCs w:val="20"/>
          <w:color w:val="auto"/>
        </w:rPr>
      </w:pPr>
      <w:r>
        <w:rPr>
          <w:rFonts w:ascii="Times New Roman" w:cs="Times New Roman" w:eastAsia="Times New Roman" w:hAnsi="Times New Roman"/>
          <w:sz w:val="20"/>
          <w:szCs w:val="20"/>
          <w:b w:val="1"/>
          <w:bCs w:val="1"/>
          <w:color w:val="auto"/>
        </w:rPr>
        <w:t>LANDLORD:</w:t>
      </w:r>
    </w:p>
    <w:p>
      <w:pPr>
        <w:spacing w:after="0" w:line="44" w:lineRule="exact"/>
        <w:rPr>
          <w:sz w:val="20"/>
          <w:szCs w:val="20"/>
          <w:color w:val="auto"/>
        </w:rPr>
      </w:pPr>
    </w:p>
    <w:p>
      <w:pPr>
        <w:ind w:left="6900"/>
        <w:spacing w:after="0"/>
        <w:rPr>
          <w:sz w:val="20"/>
          <w:szCs w:val="20"/>
          <w:color w:val="auto"/>
        </w:rPr>
      </w:pPr>
      <w:r>
        <w:rPr>
          <w:rFonts w:ascii="Times New Roman" w:cs="Times New Roman" w:eastAsia="Times New Roman" w:hAnsi="Times New Roman"/>
          <w:sz w:val="20"/>
          <w:szCs w:val="20"/>
          <w:color w:val="auto"/>
        </w:rPr>
        <w:t>GDC SUNSHINE, LLC,</w:t>
      </w:r>
    </w:p>
    <w:p>
      <w:pPr>
        <w:spacing w:after="0" w:line="28" w:lineRule="exact"/>
        <w:rPr>
          <w:sz w:val="20"/>
          <w:szCs w:val="20"/>
          <w:color w:val="auto"/>
        </w:rPr>
      </w:pPr>
    </w:p>
    <w:p>
      <w:pPr>
        <w:ind w:left="6900"/>
        <w:spacing w:after="0"/>
        <w:rPr>
          <w:sz w:val="20"/>
          <w:szCs w:val="20"/>
          <w:color w:val="auto"/>
        </w:rPr>
      </w:pPr>
      <w:r>
        <w:rPr>
          <w:rFonts w:ascii="Times New Roman" w:cs="Times New Roman" w:eastAsia="Times New Roman" w:hAnsi="Times New Roman"/>
          <w:sz w:val="20"/>
          <w:szCs w:val="20"/>
          <w:color w:val="auto"/>
        </w:rPr>
        <w:t>a New Mexico limited liability company</w:t>
      </w:r>
    </w:p>
    <w:p>
      <w:pPr>
        <w:spacing w:after="0" w:line="227" w:lineRule="exact"/>
        <w:rPr>
          <w:sz w:val="20"/>
          <w:szCs w:val="20"/>
          <w:color w:val="auto"/>
        </w:rPr>
      </w:pPr>
    </w:p>
    <w:p>
      <w:pPr>
        <w:ind w:left="6900"/>
        <w:spacing w:after="0"/>
        <w:tabs>
          <w:tab w:leader="none" w:pos="7400" w:val="left"/>
        </w:tabs>
        <w:rPr>
          <w:sz w:val="20"/>
          <w:szCs w:val="20"/>
          <w:color w:val="auto"/>
        </w:rPr>
      </w:pPr>
      <w:r>
        <w:rPr>
          <w:rFonts w:ascii="Times New Roman" w:cs="Times New Roman" w:eastAsia="Times New Roman" w:hAnsi="Times New Roman"/>
          <w:sz w:val="20"/>
          <w:szCs w:val="20"/>
          <w:color w:val="auto"/>
        </w:rPr>
        <w:t>By:</w:t>
        <w:tab/>
        <w:t>GDC Sunshine Investors, LLC,</w:t>
      </w:r>
    </w:p>
    <w:p>
      <w:pPr>
        <w:spacing w:after="0" w:line="28" w:lineRule="exact"/>
        <w:rPr>
          <w:sz w:val="20"/>
          <w:szCs w:val="20"/>
          <w:color w:val="auto"/>
        </w:rPr>
      </w:pPr>
    </w:p>
    <w:p>
      <w:pPr>
        <w:ind w:left="7080"/>
        <w:spacing w:after="0"/>
        <w:rPr>
          <w:sz w:val="20"/>
          <w:szCs w:val="20"/>
          <w:color w:val="auto"/>
        </w:rPr>
      </w:pPr>
      <w:r>
        <w:rPr>
          <w:rFonts w:ascii="Times New Roman" w:cs="Times New Roman" w:eastAsia="Times New Roman" w:hAnsi="Times New Roman"/>
          <w:sz w:val="20"/>
          <w:szCs w:val="20"/>
          <w:color w:val="auto"/>
        </w:rPr>
        <w:t>a New Mexico limited liability company,</w:t>
      </w:r>
    </w:p>
    <w:p>
      <w:pPr>
        <w:spacing w:after="0" w:line="13" w:lineRule="exact"/>
        <w:rPr>
          <w:sz w:val="20"/>
          <w:szCs w:val="20"/>
          <w:color w:val="auto"/>
        </w:rPr>
      </w:pPr>
    </w:p>
    <w:p>
      <w:pPr>
        <w:ind w:left="7080"/>
        <w:spacing w:after="0"/>
        <w:rPr>
          <w:sz w:val="20"/>
          <w:szCs w:val="20"/>
          <w:color w:val="auto"/>
        </w:rPr>
      </w:pPr>
      <w:r>
        <w:rPr>
          <w:rFonts w:ascii="Times New Roman" w:cs="Times New Roman" w:eastAsia="Times New Roman" w:hAnsi="Times New Roman"/>
          <w:sz w:val="20"/>
          <w:szCs w:val="20"/>
          <w:color w:val="auto"/>
        </w:rPr>
        <w:t>its Sole Member</w:t>
      </w:r>
    </w:p>
    <w:p>
      <w:pPr>
        <w:spacing w:after="0" w:line="227" w:lineRule="exact"/>
        <w:rPr>
          <w:sz w:val="20"/>
          <w:szCs w:val="20"/>
          <w:color w:val="auto"/>
        </w:rPr>
      </w:pPr>
    </w:p>
    <w:p>
      <w:pPr>
        <w:ind w:left="6900"/>
        <w:spacing w:after="0"/>
        <w:tabs>
          <w:tab w:leader="none" w:pos="7360" w:val="left"/>
        </w:tabs>
        <w:rPr>
          <w:sz w:val="20"/>
          <w:szCs w:val="20"/>
          <w:color w:val="auto"/>
        </w:rPr>
      </w:pPr>
      <w:r>
        <w:rPr>
          <w:rFonts w:ascii="Times New Roman" w:cs="Times New Roman" w:eastAsia="Times New Roman" w:hAnsi="Times New Roman"/>
          <w:sz w:val="20"/>
          <w:szCs w:val="20"/>
          <w:color w:val="auto"/>
        </w:rPr>
        <w:t>By:</w:t>
        <w:tab/>
        <w:t>GDC-NM, LLC,</w:t>
      </w:r>
    </w:p>
    <w:p>
      <w:pPr>
        <w:spacing w:after="0" w:line="28" w:lineRule="exact"/>
        <w:rPr>
          <w:sz w:val="20"/>
          <w:szCs w:val="20"/>
          <w:color w:val="auto"/>
        </w:rPr>
      </w:pPr>
    </w:p>
    <w:p>
      <w:pPr>
        <w:ind w:left="7080"/>
        <w:spacing w:after="0"/>
        <w:rPr>
          <w:sz w:val="20"/>
          <w:szCs w:val="20"/>
          <w:color w:val="auto"/>
        </w:rPr>
      </w:pPr>
      <w:r>
        <w:rPr>
          <w:rFonts w:ascii="Times New Roman" w:cs="Times New Roman" w:eastAsia="Times New Roman" w:hAnsi="Times New Roman"/>
          <w:sz w:val="20"/>
          <w:szCs w:val="20"/>
          <w:color w:val="auto"/>
        </w:rPr>
        <w:t>a New Mexico limited liability company,</w:t>
      </w:r>
    </w:p>
    <w:p>
      <w:pPr>
        <w:spacing w:after="0" w:line="6" w:lineRule="exact"/>
        <w:rPr>
          <w:sz w:val="20"/>
          <w:szCs w:val="20"/>
          <w:color w:val="auto"/>
        </w:rPr>
      </w:pPr>
    </w:p>
    <w:p>
      <w:pPr>
        <w:ind w:left="7080"/>
        <w:spacing w:after="0"/>
        <w:rPr>
          <w:sz w:val="20"/>
          <w:szCs w:val="20"/>
          <w:color w:val="auto"/>
        </w:rPr>
      </w:pPr>
      <w:r>
        <w:rPr>
          <w:rFonts w:ascii="Times New Roman" w:cs="Times New Roman" w:eastAsia="Times New Roman" w:hAnsi="Times New Roman"/>
          <w:sz w:val="20"/>
          <w:szCs w:val="20"/>
          <w:color w:val="auto"/>
        </w:rPr>
        <w:t>its Member</w:t>
      </w:r>
    </w:p>
    <w:p>
      <w:pPr>
        <w:spacing w:after="0" w:line="234" w:lineRule="exact"/>
        <w:rPr>
          <w:sz w:val="20"/>
          <w:szCs w:val="20"/>
          <w:color w:val="auto"/>
        </w:rPr>
      </w:pPr>
    </w:p>
    <w:p>
      <w:pPr>
        <w:ind w:left="6900"/>
        <w:spacing w:after="0"/>
        <w:tabs>
          <w:tab w:leader="none" w:pos="7360" w:val="left"/>
        </w:tabs>
        <w:rPr>
          <w:sz w:val="20"/>
          <w:szCs w:val="20"/>
          <w:color w:val="auto"/>
        </w:rPr>
      </w:pPr>
      <w:r>
        <w:rPr>
          <w:rFonts w:ascii="Times New Roman" w:cs="Times New Roman" w:eastAsia="Times New Roman" w:hAnsi="Times New Roman"/>
          <w:sz w:val="19"/>
          <w:szCs w:val="19"/>
          <w:color w:val="auto"/>
        </w:rPr>
        <w:t>By:</w:t>
        <w:tab/>
        <w:t>Jeffrey D. and Elizabeth C. Garrett Trust</w:t>
      </w:r>
    </w:p>
    <w:p>
      <w:pPr>
        <w:spacing w:after="0" w:line="40" w:lineRule="exact"/>
        <w:rPr>
          <w:sz w:val="20"/>
          <w:szCs w:val="20"/>
          <w:color w:val="auto"/>
        </w:rPr>
      </w:pPr>
    </w:p>
    <w:p>
      <w:pPr>
        <w:ind w:left="7080"/>
        <w:spacing w:after="0"/>
        <w:rPr>
          <w:sz w:val="20"/>
          <w:szCs w:val="20"/>
          <w:color w:val="auto"/>
        </w:rPr>
      </w:pPr>
      <w:r>
        <w:rPr>
          <w:rFonts w:ascii="Times New Roman" w:cs="Times New Roman" w:eastAsia="Times New Roman" w:hAnsi="Times New Roman"/>
          <w:sz w:val="20"/>
          <w:szCs w:val="20"/>
          <w:color w:val="auto"/>
        </w:rPr>
        <w:t>dated August 9, 2002, as amended,</w:t>
      </w:r>
    </w:p>
    <w:p>
      <w:pPr>
        <w:spacing w:after="0" w:line="6" w:lineRule="exact"/>
        <w:rPr>
          <w:sz w:val="20"/>
          <w:szCs w:val="20"/>
          <w:color w:val="auto"/>
        </w:rPr>
      </w:pPr>
    </w:p>
    <w:p>
      <w:pPr>
        <w:ind w:left="7080"/>
        <w:spacing w:after="0"/>
        <w:rPr>
          <w:sz w:val="20"/>
          <w:szCs w:val="20"/>
          <w:color w:val="auto"/>
        </w:rPr>
      </w:pPr>
      <w:r>
        <w:rPr>
          <w:rFonts w:ascii="Times New Roman" w:cs="Times New Roman" w:eastAsia="Times New Roman" w:hAnsi="Times New Roman"/>
          <w:sz w:val="20"/>
          <w:szCs w:val="20"/>
          <w:color w:val="auto"/>
        </w:rPr>
        <w:t>its Sole Member</w:t>
      </w:r>
    </w:p>
    <w:p>
      <w:pPr>
        <w:spacing w:after="0" w:line="200" w:lineRule="exact"/>
        <w:rPr>
          <w:sz w:val="20"/>
          <w:szCs w:val="20"/>
          <w:color w:val="auto"/>
        </w:rPr>
      </w:pPr>
    </w:p>
    <w:p>
      <w:pPr>
        <w:spacing w:after="0" w:line="277" w:lineRule="exact"/>
        <w:rPr>
          <w:sz w:val="20"/>
          <w:szCs w:val="20"/>
          <w:color w:val="auto"/>
        </w:rPr>
      </w:pPr>
    </w:p>
    <w:p>
      <w:pPr>
        <w:ind w:left="6900"/>
        <w:spacing w:after="0"/>
        <w:tabs>
          <w:tab w:leader="none" w:pos="7400" w:val="left"/>
        </w:tabs>
        <w:rPr>
          <w:sz w:val="20"/>
          <w:szCs w:val="20"/>
          <w:color w:val="auto"/>
        </w:rPr>
      </w:pPr>
      <w:r>
        <w:rPr>
          <w:rFonts w:ascii="Times New Roman" w:cs="Times New Roman" w:eastAsia="Times New Roman" w:hAnsi="Times New Roman"/>
          <w:sz w:val="20"/>
          <w:szCs w:val="20"/>
          <w:color w:val="auto"/>
        </w:rPr>
        <w:t>By:</w:t>
        <w:tab/>
        <w:t>/s/ Jeff Garrett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4588510</wp:posOffset>
            </wp:positionH>
            <wp:positionV relativeFrom="paragraph">
              <wp:posOffset>-10795</wp:posOffset>
            </wp:positionV>
            <wp:extent cx="122555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4">
                      <a:extLst>
                        <a:ext uri="{28A0092B-C50C-407E-A947-70E740481C1C}"/>
                      </a:extLst>
                    </a:blip>
                    <a:srcRect/>
                    <a:stretch>
                      <a:fillRect/>
                    </a:stretch>
                  </pic:blipFill>
                  <pic:spPr bwMode="auto">
                    <a:xfrm>
                      <a:off x="0" y="0"/>
                      <a:ext cx="1225550" cy="8255"/>
                    </a:xfrm>
                    <a:prstGeom prst="rect">
                      <a:avLst/>
                    </a:prstGeom>
                    <a:noFill/>
                  </pic:spPr>
                </pic:pic>
              </a:graphicData>
            </a:graphic>
          </wp:anchor>
        </w:drawing>
      </w:r>
    </w:p>
    <w:p>
      <w:pPr>
        <w:spacing w:after="0" w:line="2" w:lineRule="exact"/>
        <w:rPr>
          <w:sz w:val="20"/>
          <w:szCs w:val="20"/>
          <w:color w:val="auto"/>
        </w:rPr>
      </w:pPr>
    </w:p>
    <w:p>
      <w:pPr>
        <w:ind w:left="6900"/>
        <w:spacing w:after="0"/>
        <w:rPr>
          <w:sz w:val="20"/>
          <w:szCs w:val="20"/>
          <w:color w:val="auto"/>
        </w:rPr>
      </w:pPr>
      <w:r>
        <w:rPr>
          <w:rFonts w:ascii="Times New Roman" w:cs="Times New Roman" w:eastAsia="Times New Roman" w:hAnsi="Times New Roman"/>
          <w:sz w:val="20"/>
          <w:szCs w:val="20"/>
          <w:color w:val="auto"/>
        </w:rPr>
        <w:t>Name: Jeff Garrett</w:t>
      </w:r>
    </w:p>
    <w:p>
      <w:pPr>
        <w:spacing w:after="0" w:line="6" w:lineRule="exact"/>
        <w:rPr>
          <w:sz w:val="20"/>
          <w:szCs w:val="20"/>
          <w:color w:val="auto"/>
        </w:rPr>
      </w:pPr>
    </w:p>
    <w:p>
      <w:pPr>
        <w:ind w:left="6900"/>
        <w:spacing w:after="0"/>
        <w:rPr>
          <w:sz w:val="20"/>
          <w:szCs w:val="20"/>
          <w:color w:val="auto"/>
        </w:rPr>
      </w:pPr>
      <w:r>
        <w:rPr>
          <w:rFonts w:ascii="Times New Roman" w:cs="Times New Roman" w:eastAsia="Times New Roman" w:hAnsi="Times New Roman"/>
          <w:sz w:val="20"/>
          <w:szCs w:val="20"/>
          <w:color w:val="auto"/>
        </w:rPr>
        <w:t>Title: Trustee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20"/>
          <w:szCs w:val="20"/>
          <w:color w:val="auto"/>
        </w:rPr>
        <w:t>-7-</w:t>
      </w:r>
    </w:p>
    <w:p>
      <w:pPr>
        <w:sectPr>
          <w:pgSz w:w="11900" w:h="16838" w:orient="portrait"/>
          <w:cols w:equalWidth="0" w:num="1">
            <w:col w:w="10600"/>
          </w:cols>
          <w:pgMar w:left="320" w:top="1413" w:right="979" w:bottom="1440" w:gutter="0" w:footer="0" w:header="0"/>
        </w:sectPr>
      </w:pPr>
    </w:p>
    <w:bookmarkStart w:id="92" w:name="page93"/>
    <w:bookmarkEnd w:id="92"/>
    <w:p>
      <w:pPr>
        <w:jc w:val="center"/>
        <w:ind w:right="-19"/>
        <w:spacing w:after="0"/>
        <w:rPr>
          <w:sz w:val="20"/>
          <w:szCs w:val="20"/>
          <w:color w:val="auto"/>
        </w:rPr>
      </w:pPr>
      <w:r>
        <w:rPr>
          <w:rFonts w:ascii="Times New Roman" w:cs="Times New Roman" w:eastAsia="Times New Roman" w:hAnsi="Times New Roman"/>
          <w:sz w:val="20"/>
          <w:szCs w:val="20"/>
          <w:color w:val="auto"/>
        </w:rPr>
        <w:t>[TENANT SIGNATURE PAGE TO SECOND AMENDMENT]</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 xml:space="preserve">IN WITNESS WHEREOF, Tenant has executed this Second Amendment on this </w:t>
      </w:r>
      <w:r>
        <w:rPr>
          <w:rFonts w:ascii="Times New Roman" w:cs="Times New Roman" w:eastAsia="Times New Roman" w:hAnsi="Times New Roman"/>
          <w:sz w:val="20"/>
          <w:szCs w:val="20"/>
          <w:u w:val="single" w:color="auto"/>
          <w:color w:val="auto"/>
        </w:rPr>
        <w:t>27</w:t>
      </w:r>
      <w:r>
        <w:rPr>
          <w:rFonts w:ascii="Times New Roman" w:cs="Times New Roman" w:eastAsia="Times New Roman" w:hAnsi="Times New Roman"/>
          <w:sz w:val="25"/>
          <w:szCs w:val="25"/>
          <w:u w:val="single" w:color="auto"/>
          <w:color w:val="auto"/>
          <w:vertAlign w:val="superscript"/>
        </w:rPr>
        <w:t>th</w:t>
      </w:r>
      <w:r>
        <w:rPr>
          <w:rFonts w:ascii="Times New Roman" w:cs="Times New Roman" w:eastAsia="Times New Roman" w:hAnsi="Times New Roman"/>
          <w:sz w:val="20"/>
          <w:szCs w:val="20"/>
          <w:color w:val="auto"/>
        </w:rPr>
        <w:t xml:space="preserve"> day of September,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4278630</wp:posOffset>
            </wp:positionH>
            <wp:positionV relativeFrom="paragraph">
              <wp:posOffset>-40005</wp:posOffset>
            </wp:positionV>
            <wp:extent cx="31115"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5">
                      <a:extLst>
                        <a:ext uri="{28A0092B-C50C-407E-A947-70E740481C1C}"/>
                      </a:extLst>
                    </a:blip>
                    <a:srcRect/>
                    <a:stretch>
                      <a:fillRect/>
                    </a:stretch>
                  </pic:blipFill>
                  <pic:spPr bwMode="auto">
                    <a:xfrm>
                      <a:off x="0" y="0"/>
                      <a:ext cx="31115" cy="8255"/>
                    </a:xfrm>
                    <a:prstGeom prst="rect">
                      <a:avLst/>
                    </a:prstGeom>
                    <a:noFill/>
                  </pic:spPr>
                </pic:pic>
              </a:graphicData>
            </a:graphic>
          </wp:anchor>
        </w:drawing>
      </w:r>
    </w:p>
    <w:p>
      <w:pPr>
        <w:spacing w:after="0" w:line="321" w:lineRule="exact"/>
        <w:rPr>
          <w:sz w:val="20"/>
          <w:szCs w:val="20"/>
          <w:color w:val="auto"/>
        </w:rPr>
      </w:pPr>
    </w:p>
    <w:p>
      <w:pPr>
        <w:ind w:left="6900"/>
        <w:spacing w:after="0"/>
        <w:rPr>
          <w:sz w:val="20"/>
          <w:szCs w:val="20"/>
          <w:color w:val="auto"/>
        </w:rPr>
      </w:pPr>
      <w:r>
        <w:rPr>
          <w:rFonts w:ascii="Times New Roman" w:cs="Times New Roman" w:eastAsia="Times New Roman" w:hAnsi="Times New Roman"/>
          <w:sz w:val="20"/>
          <w:szCs w:val="20"/>
          <w:b w:val="1"/>
          <w:bCs w:val="1"/>
          <w:color w:val="auto"/>
        </w:rPr>
        <w:t>TENANT:</w:t>
      </w:r>
    </w:p>
    <w:p>
      <w:pPr>
        <w:spacing w:after="0" w:line="44" w:lineRule="exact"/>
        <w:rPr>
          <w:sz w:val="20"/>
          <w:szCs w:val="20"/>
          <w:color w:val="auto"/>
        </w:rPr>
      </w:pPr>
    </w:p>
    <w:p>
      <w:pPr>
        <w:ind w:left="6900"/>
        <w:spacing w:after="0"/>
        <w:rPr>
          <w:sz w:val="20"/>
          <w:szCs w:val="20"/>
          <w:color w:val="auto"/>
        </w:rPr>
      </w:pPr>
      <w:r>
        <w:rPr>
          <w:rFonts w:ascii="Times New Roman" w:cs="Times New Roman" w:eastAsia="Times New Roman" w:hAnsi="Times New Roman"/>
          <w:sz w:val="20"/>
          <w:szCs w:val="20"/>
          <w:color w:val="auto"/>
        </w:rPr>
        <w:t>ARRAY TECH, INC.,</w:t>
      </w:r>
    </w:p>
    <w:p>
      <w:pPr>
        <w:spacing w:after="0" w:line="28" w:lineRule="exact"/>
        <w:rPr>
          <w:sz w:val="20"/>
          <w:szCs w:val="20"/>
          <w:color w:val="auto"/>
        </w:rPr>
      </w:pPr>
    </w:p>
    <w:p>
      <w:pPr>
        <w:ind w:left="6900"/>
        <w:spacing w:after="0"/>
        <w:rPr>
          <w:sz w:val="20"/>
          <w:szCs w:val="20"/>
          <w:color w:val="auto"/>
        </w:rPr>
      </w:pPr>
      <w:r>
        <w:rPr>
          <w:rFonts w:ascii="Times New Roman" w:cs="Times New Roman" w:eastAsia="Times New Roman" w:hAnsi="Times New Roman"/>
          <w:sz w:val="20"/>
          <w:szCs w:val="20"/>
          <w:color w:val="auto"/>
        </w:rPr>
        <w:t>a New Mexico corporation</w:t>
      </w:r>
    </w:p>
    <w:p>
      <w:pPr>
        <w:spacing w:after="0" w:line="200" w:lineRule="exact"/>
        <w:rPr>
          <w:sz w:val="20"/>
          <w:szCs w:val="20"/>
          <w:color w:val="auto"/>
        </w:rPr>
      </w:pPr>
    </w:p>
    <w:p>
      <w:pPr>
        <w:spacing w:after="0" w:line="270" w:lineRule="exact"/>
        <w:rPr>
          <w:sz w:val="20"/>
          <w:szCs w:val="20"/>
          <w:color w:val="auto"/>
        </w:rPr>
      </w:pPr>
    </w:p>
    <w:p>
      <w:pPr>
        <w:ind w:left="6900"/>
        <w:spacing w:after="0"/>
        <w:rPr>
          <w:sz w:val="20"/>
          <w:szCs w:val="20"/>
          <w:color w:val="auto"/>
        </w:rPr>
      </w:pPr>
      <w:r>
        <w:rPr>
          <w:rFonts w:ascii="Times New Roman" w:cs="Times New Roman" w:eastAsia="Times New Roman" w:hAnsi="Times New Roman"/>
          <w:sz w:val="20"/>
          <w:szCs w:val="20"/>
          <w:color w:val="auto"/>
        </w:rPr>
        <w:t>By: /s/ Kevin G. Hostetler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4588510</wp:posOffset>
            </wp:positionH>
            <wp:positionV relativeFrom="paragraph">
              <wp:posOffset>-10795</wp:posOffset>
            </wp:positionV>
            <wp:extent cx="122809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6">
                      <a:extLst>
                        <a:ext uri="{28A0092B-C50C-407E-A947-70E740481C1C}"/>
                      </a:extLst>
                    </a:blip>
                    <a:srcRect/>
                    <a:stretch>
                      <a:fillRect/>
                    </a:stretch>
                  </pic:blipFill>
                  <pic:spPr bwMode="auto">
                    <a:xfrm>
                      <a:off x="0" y="0"/>
                      <a:ext cx="1228090" cy="8255"/>
                    </a:xfrm>
                    <a:prstGeom prst="rect">
                      <a:avLst/>
                    </a:prstGeom>
                    <a:noFill/>
                  </pic:spPr>
                </pic:pic>
              </a:graphicData>
            </a:graphic>
          </wp:anchor>
        </w:drawing>
      </w:r>
    </w:p>
    <w:p>
      <w:pPr>
        <w:spacing w:after="0" w:line="8" w:lineRule="exact"/>
        <w:rPr>
          <w:sz w:val="20"/>
          <w:szCs w:val="20"/>
          <w:color w:val="auto"/>
        </w:rPr>
      </w:pPr>
    </w:p>
    <w:p>
      <w:pPr>
        <w:ind w:left="6900"/>
        <w:spacing w:after="0"/>
        <w:rPr>
          <w:sz w:val="20"/>
          <w:szCs w:val="20"/>
          <w:color w:val="auto"/>
        </w:rPr>
      </w:pPr>
      <w:r>
        <w:rPr>
          <w:rFonts w:ascii="Times New Roman" w:cs="Times New Roman" w:eastAsia="Times New Roman" w:hAnsi="Times New Roman"/>
          <w:sz w:val="20"/>
          <w:szCs w:val="20"/>
          <w:color w:val="auto"/>
        </w:rPr>
        <w:t>Name: Kevin G. Hostetler</w:t>
      </w:r>
    </w:p>
    <w:p>
      <w:pPr>
        <w:spacing w:after="0" w:line="13" w:lineRule="exact"/>
        <w:rPr>
          <w:sz w:val="20"/>
          <w:szCs w:val="20"/>
          <w:color w:val="auto"/>
        </w:rPr>
      </w:pPr>
    </w:p>
    <w:p>
      <w:pPr>
        <w:ind w:left="6900"/>
        <w:spacing w:after="0"/>
        <w:rPr>
          <w:sz w:val="20"/>
          <w:szCs w:val="20"/>
          <w:color w:val="auto"/>
        </w:rPr>
      </w:pPr>
      <w:r>
        <w:rPr>
          <w:rFonts w:ascii="Times New Roman" w:cs="Times New Roman" w:eastAsia="Times New Roman" w:hAnsi="Times New Roman"/>
          <w:sz w:val="20"/>
          <w:szCs w:val="20"/>
          <w:color w:val="auto"/>
        </w:rPr>
        <w:t>Title: 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CONSENT OF GUARANTOR</w:t>
      </w:r>
    </w:p>
    <w:p>
      <w:pPr>
        <w:spacing w:after="0" w:line="247" w:lineRule="exact"/>
        <w:rPr>
          <w:sz w:val="20"/>
          <w:szCs w:val="20"/>
          <w:color w:val="auto"/>
        </w:rPr>
      </w:pPr>
    </w:p>
    <w:p>
      <w:pPr>
        <w:spacing w:after="0" w:line="283" w:lineRule="auto"/>
        <w:rPr>
          <w:sz w:val="20"/>
          <w:szCs w:val="20"/>
          <w:color w:val="auto"/>
        </w:rPr>
      </w:pPr>
      <w:r>
        <w:rPr>
          <w:rFonts w:ascii="Times New Roman" w:cs="Times New Roman" w:eastAsia="Times New Roman" w:hAnsi="Times New Roman"/>
          <w:sz w:val="20"/>
          <w:szCs w:val="20"/>
          <w:color w:val="auto"/>
        </w:rPr>
        <w:t>The undersigned, as Guarantor of Tenant’s performance of the Lease pursuant to the Guarantee, hereby consents to and approves the foregoing Second Amendment and hereby reaffirms its Guarantee of the Lease, as amended herein.</w:t>
      </w:r>
    </w:p>
    <w:p>
      <w:pPr>
        <w:spacing w:after="0" w:line="241" w:lineRule="exact"/>
        <w:rPr>
          <w:sz w:val="20"/>
          <w:szCs w:val="20"/>
          <w:color w:val="auto"/>
        </w:rPr>
      </w:pPr>
    </w:p>
    <w:p>
      <w:pPr>
        <w:ind w:left="6900"/>
        <w:spacing w:after="0"/>
        <w:rPr>
          <w:sz w:val="20"/>
          <w:szCs w:val="20"/>
          <w:color w:val="auto"/>
        </w:rPr>
      </w:pPr>
      <w:r>
        <w:rPr>
          <w:rFonts w:ascii="Times New Roman" w:cs="Times New Roman" w:eastAsia="Times New Roman" w:hAnsi="Times New Roman"/>
          <w:sz w:val="20"/>
          <w:szCs w:val="20"/>
          <w:color w:val="auto"/>
        </w:rPr>
        <w:t>ARRAY TECHNOLOGIES, INC.,</w:t>
      </w:r>
    </w:p>
    <w:p>
      <w:pPr>
        <w:spacing w:after="0" w:line="22" w:lineRule="exact"/>
        <w:rPr>
          <w:sz w:val="20"/>
          <w:szCs w:val="20"/>
          <w:color w:val="auto"/>
        </w:rPr>
      </w:pPr>
    </w:p>
    <w:p>
      <w:pPr>
        <w:ind w:left="6900"/>
        <w:spacing w:after="0"/>
        <w:rPr>
          <w:sz w:val="20"/>
          <w:szCs w:val="20"/>
          <w:color w:val="auto"/>
        </w:rPr>
      </w:pPr>
      <w:r>
        <w:rPr>
          <w:rFonts w:ascii="Times New Roman" w:cs="Times New Roman" w:eastAsia="Times New Roman" w:hAnsi="Times New Roman"/>
          <w:sz w:val="20"/>
          <w:szCs w:val="20"/>
          <w:color w:val="auto"/>
        </w:rPr>
        <w:t>a Delaware corporation</w:t>
      </w:r>
    </w:p>
    <w:p>
      <w:pPr>
        <w:spacing w:after="0" w:line="200" w:lineRule="exact"/>
        <w:rPr>
          <w:sz w:val="20"/>
          <w:szCs w:val="20"/>
          <w:color w:val="auto"/>
        </w:rPr>
      </w:pPr>
    </w:p>
    <w:p>
      <w:pPr>
        <w:spacing w:after="0" w:line="277" w:lineRule="exact"/>
        <w:rPr>
          <w:sz w:val="20"/>
          <w:szCs w:val="20"/>
          <w:color w:val="auto"/>
        </w:rPr>
      </w:pPr>
    </w:p>
    <w:p>
      <w:pPr>
        <w:ind w:left="6900"/>
        <w:spacing w:after="0"/>
        <w:rPr>
          <w:sz w:val="20"/>
          <w:szCs w:val="20"/>
          <w:color w:val="auto"/>
        </w:rPr>
      </w:pPr>
      <w:r>
        <w:rPr>
          <w:rFonts w:ascii="Times New Roman" w:cs="Times New Roman" w:eastAsia="Times New Roman" w:hAnsi="Times New Roman"/>
          <w:sz w:val="20"/>
          <w:szCs w:val="20"/>
          <w:color w:val="auto"/>
        </w:rPr>
        <w:t>By: /s/ Kevin G. Hostetler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4556760</wp:posOffset>
            </wp:positionH>
            <wp:positionV relativeFrom="paragraph">
              <wp:posOffset>-10795</wp:posOffset>
            </wp:positionV>
            <wp:extent cx="125984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7">
                      <a:extLst>
                        <a:ext uri="{28A0092B-C50C-407E-A947-70E740481C1C}"/>
                      </a:extLst>
                    </a:blip>
                    <a:srcRect/>
                    <a:stretch>
                      <a:fillRect/>
                    </a:stretch>
                  </pic:blipFill>
                  <pic:spPr bwMode="auto">
                    <a:xfrm>
                      <a:off x="0" y="0"/>
                      <a:ext cx="1259840" cy="8255"/>
                    </a:xfrm>
                    <a:prstGeom prst="rect">
                      <a:avLst/>
                    </a:prstGeom>
                    <a:noFill/>
                  </pic:spPr>
                </pic:pic>
              </a:graphicData>
            </a:graphic>
          </wp:anchor>
        </w:drawing>
      </w:r>
    </w:p>
    <w:p>
      <w:pPr>
        <w:spacing w:after="0" w:line="2" w:lineRule="exact"/>
        <w:rPr>
          <w:sz w:val="20"/>
          <w:szCs w:val="20"/>
          <w:color w:val="auto"/>
        </w:rPr>
      </w:pPr>
    </w:p>
    <w:p>
      <w:pPr>
        <w:ind w:left="6900"/>
        <w:spacing w:after="0"/>
        <w:rPr>
          <w:sz w:val="20"/>
          <w:szCs w:val="20"/>
          <w:color w:val="auto"/>
        </w:rPr>
      </w:pPr>
      <w:r>
        <w:rPr>
          <w:rFonts w:ascii="Times New Roman" w:cs="Times New Roman" w:eastAsia="Times New Roman" w:hAnsi="Times New Roman"/>
          <w:sz w:val="20"/>
          <w:szCs w:val="20"/>
          <w:color w:val="auto"/>
        </w:rPr>
        <w:t>Name: Kevin G. Hostetler</w:t>
      </w:r>
    </w:p>
    <w:p>
      <w:pPr>
        <w:spacing w:after="0" w:line="6" w:lineRule="exact"/>
        <w:rPr>
          <w:sz w:val="20"/>
          <w:szCs w:val="20"/>
          <w:color w:val="auto"/>
        </w:rPr>
      </w:pPr>
    </w:p>
    <w:p>
      <w:pPr>
        <w:ind w:left="6900"/>
        <w:spacing w:after="0"/>
        <w:rPr>
          <w:sz w:val="20"/>
          <w:szCs w:val="20"/>
          <w:color w:val="auto"/>
        </w:rPr>
      </w:pPr>
      <w:r>
        <w:rPr>
          <w:rFonts w:ascii="Times New Roman" w:cs="Times New Roman" w:eastAsia="Times New Roman" w:hAnsi="Times New Roman"/>
          <w:sz w:val="20"/>
          <w:szCs w:val="20"/>
          <w:color w:val="auto"/>
        </w:rPr>
        <w:t>Title: 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Schedule 1 – Interim Agreement (Tenant Core Work Items)</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Schedule 2 – Pro Forma Budget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-8-</w:t>
      </w:r>
    </w:p>
    <w:p>
      <w:pPr>
        <w:sectPr>
          <w:pgSz w:w="11900" w:h="16838" w:orient="portrait"/>
          <w:cols w:equalWidth="0" w:num="1">
            <w:col w:w="11240"/>
          </w:cols>
          <w:pgMar w:left="320" w:top="1413" w:right="339" w:bottom="1440" w:gutter="0" w:footer="0" w:header="0"/>
        </w:sectPr>
      </w:pPr>
    </w:p>
    <w:bookmarkStart w:id="93" w:name="page94"/>
    <w:bookmarkEnd w:id="93"/>
    <w:p>
      <w:pPr>
        <w:jc w:val="right"/>
        <w:spacing w:after="0"/>
        <w:rPr>
          <w:sz w:val="20"/>
          <w:szCs w:val="20"/>
          <w:color w:val="auto"/>
        </w:rPr>
      </w:pPr>
      <w:r>
        <w:rPr>
          <w:rFonts w:ascii="Times New Roman" w:cs="Times New Roman" w:eastAsia="Times New Roman" w:hAnsi="Times New Roman"/>
          <w:sz w:val="22"/>
          <w:szCs w:val="22"/>
          <w:b w:val="1"/>
          <w:bCs w:val="1"/>
          <w:color w:val="auto"/>
        </w:rPr>
        <w:t>Exhibit 10.4</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left="640"/>
        <w:spacing w:after="0"/>
        <w:rPr>
          <w:sz w:val="20"/>
          <w:szCs w:val="20"/>
          <w:color w:val="auto"/>
        </w:rPr>
      </w:pPr>
      <w:r>
        <w:rPr>
          <w:rFonts w:ascii="Times New Roman" w:cs="Times New Roman" w:eastAsia="Times New Roman" w:hAnsi="Times New Roman"/>
          <w:sz w:val="22"/>
          <w:szCs w:val="22"/>
          <w:color w:val="auto"/>
        </w:rPr>
        <w:t>THIRD AMENDMENT TO INDUSTRIAL TRIPLE NET LEASE</w:t>
      </w:r>
    </w:p>
    <w:p>
      <w:pPr>
        <w:spacing w:after="0" w:line="112" w:lineRule="exact"/>
        <w:rPr>
          <w:sz w:val="20"/>
          <w:szCs w:val="20"/>
          <w:color w:val="auto"/>
        </w:rPr>
      </w:pPr>
    </w:p>
    <w:p>
      <w:pPr>
        <w:jc w:val="center"/>
        <w:ind w:left="640"/>
        <w:spacing w:after="0"/>
        <w:rPr>
          <w:sz w:val="20"/>
          <w:szCs w:val="20"/>
          <w:color w:val="auto"/>
        </w:rPr>
      </w:pPr>
      <w:r>
        <w:rPr>
          <w:rFonts w:ascii="Times New Roman" w:cs="Times New Roman" w:eastAsia="Times New Roman" w:hAnsi="Times New Roman"/>
          <w:sz w:val="22"/>
          <w:szCs w:val="22"/>
          <w:color w:val="auto"/>
        </w:rPr>
        <w:t>AND</w:t>
      </w:r>
    </w:p>
    <w:p>
      <w:pPr>
        <w:spacing w:after="0" w:line="125" w:lineRule="exact"/>
        <w:rPr>
          <w:sz w:val="20"/>
          <w:szCs w:val="20"/>
          <w:color w:val="auto"/>
        </w:rPr>
      </w:pPr>
    </w:p>
    <w:p>
      <w:pPr>
        <w:jc w:val="center"/>
        <w:ind w:left="640"/>
        <w:spacing w:after="0"/>
        <w:rPr>
          <w:sz w:val="20"/>
          <w:szCs w:val="20"/>
          <w:color w:val="auto"/>
        </w:rPr>
      </w:pPr>
      <w:r>
        <w:rPr>
          <w:rFonts w:ascii="Times New Roman" w:cs="Times New Roman" w:eastAsia="Times New Roman" w:hAnsi="Times New Roman"/>
          <w:sz w:val="22"/>
          <w:szCs w:val="22"/>
          <w:color w:val="auto"/>
        </w:rPr>
        <w:t>COMMENCEMENT DATE MEMORANDUM</w:t>
      </w:r>
    </w:p>
    <w:p>
      <w:pPr>
        <w:spacing w:after="0" w:line="200" w:lineRule="exact"/>
        <w:rPr>
          <w:sz w:val="20"/>
          <w:szCs w:val="20"/>
          <w:color w:val="auto"/>
        </w:rPr>
      </w:pPr>
    </w:p>
    <w:p>
      <w:pPr>
        <w:spacing w:after="0" w:line="263" w:lineRule="exact"/>
        <w:rPr>
          <w:sz w:val="20"/>
          <w:szCs w:val="20"/>
          <w:color w:val="auto"/>
        </w:rPr>
      </w:pPr>
    </w:p>
    <w:p>
      <w:pPr>
        <w:ind w:right="160" w:firstLine="648"/>
        <w:spacing w:after="0" w:line="257" w:lineRule="auto"/>
        <w:rPr>
          <w:sz w:val="20"/>
          <w:szCs w:val="20"/>
          <w:color w:val="auto"/>
        </w:rPr>
      </w:pPr>
      <w:r>
        <w:rPr>
          <w:rFonts w:ascii="Times New Roman" w:cs="Times New Roman" w:eastAsia="Times New Roman" w:hAnsi="Times New Roman"/>
          <w:sz w:val="22"/>
          <w:szCs w:val="22"/>
          <w:color w:val="auto"/>
        </w:rPr>
        <w:t xml:space="preserve">THIS THIRD AMENDMENT TO INDUSTRIAL TRIPLE NET LEASE AND COMMENCEMENT DATE MEMORANDUM (this “Agreement”), is made and entered into as of October </w:t>
      </w:r>
      <w:r>
        <w:rPr>
          <w:rFonts w:ascii="Times New Roman" w:cs="Times New Roman" w:eastAsia="Times New Roman" w:hAnsi="Times New Roman"/>
          <w:sz w:val="22"/>
          <w:szCs w:val="22"/>
          <w:u w:val="single" w:color="auto"/>
          <w:color w:val="auto"/>
        </w:rPr>
        <w:t>4</w:t>
      </w:r>
      <w:r>
        <w:rPr>
          <w:rFonts w:ascii="Times New Roman" w:cs="Times New Roman" w:eastAsia="Times New Roman" w:hAnsi="Times New Roman"/>
          <w:sz w:val="22"/>
          <w:szCs w:val="22"/>
          <w:color w:val="auto"/>
        </w:rPr>
        <w:t xml:space="preserve"> , 2025, by and between GDC Sunshine, LLC, a New Mexico limited liability company (“Landlord”), and Array Tech, Inc., a New Mexico corporation (“Tenant”).</w:t>
      </w:r>
    </w:p>
    <w:p>
      <w:pPr>
        <w:spacing w:after="0" w:line="65"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22"/>
          <w:szCs w:val="22"/>
          <w:u w:val="single" w:color="auto"/>
          <w:color w:val="auto"/>
        </w:rPr>
        <w:t>Recitals</w:t>
      </w:r>
      <w:r>
        <w:rPr>
          <w:rFonts w:ascii="Times New Roman" w:cs="Times New Roman" w:eastAsia="Times New Roman" w:hAnsi="Times New Roman"/>
          <w:sz w:val="22"/>
          <w:szCs w:val="22"/>
          <w:color w:val="auto"/>
        </w:rPr>
        <w:t>:</w:t>
      </w:r>
    </w:p>
    <w:p>
      <w:pPr>
        <w:spacing w:after="0" w:line="98" w:lineRule="exact"/>
        <w:rPr>
          <w:sz w:val="20"/>
          <w:szCs w:val="20"/>
          <w:color w:val="auto"/>
        </w:rPr>
      </w:pPr>
    </w:p>
    <w:p>
      <w:pPr>
        <w:ind w:left="1300" w:right="160" w:hanging="644"/>
        <w:spacing w:after="0" w:line="211" w:lineRule="auto"/>
        <w:tabs>
          <w:tab w:leader="none" w:pos="1294" w:val="left"/>
        </w:tabs>
        <w:numPr>
          <w:ilvl w:val="0"/>
          <w:numId w:val="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Landlord and Tenant are parties to that certain Industrial Triple Net Lease executed on May 31, 2024, including the Lease Summary (“Lease Summary”), Articles 1 through 40 and Exhibits A-1, A-2 and B through K thereto (collectively, the “Original Lease”), that certain First Amendment to Exhibit B “Construction Agreement” to Industrial Triple Net Lease Between GDC Sunshine, LLC and Array Tech, Inc. executed on July 25, 2024 (“First Amendment”), and that certain Second Amendment to Industrial Triple Net Lease dated September 26, 2024 (“Second Amendment,” and together with the Original Lease and the First Amendment, the “Lease”), pertaining to that certain building containing approximately 216,473 square feet (the “Building”), located at 701 Atrisco Vista Blvd. NW, Albuquerque, NM 87121, and the surrounding parking, laydown yards, exterior storage areas, sidewalks, landscaping and other improvements and facilities serving the Building (together, and as more particularly defined in the Lease, the “Premises”).</w:t>
      </w:r>
    </w:p>
    <w:p>
      <w:pPr>
        <w:spacing w:after="0" w:line="151" w:lineRule="exact"/>
        <w:rPr>
          <w:rFonts w:ascii="Times New Roman" w:cs="Times New Roman" w:eastAsia="Times New Roman" w:hAnsi="Times New Roman"/>
          <w:sz w:val="22"/>
          <w:szCs w:val="22"/>
          <w:color w:val="auto"/>
        </w:rPr>
      </w:pPr>
    </w:p>
    <w:p>
      <w:pPr>
        <w:ind w:left="1300" w:right="220" w:hanging="644"/>
        <w:spacing w:after="0" w:line="255" w:lineRule="auto"/>
        <w:tabs>
          <w:tab w:leader="none" w:pos="1296" w:val="left"/>
        </w:tabs>
        <w:numPr>
          <w:ilvl w:val="0"/>
          <w:numId w:val="5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“Construction Agreement” as used herein shall mean, collectively, that certain Construction Agreement attached to the Original Lease as Exhibit B, as amended by the First Amendment and the Second Amendment.</w:t>
      </w:r>
    </w:p>
    <w:p>
      <w:pPr>
        <w:spacing w:after="0" w:line="134" w:lineRule="exact"/>
        <w:rPr>
          <w:rFonts w:ascii="Times New Roman" w:cs="Times New Roman" w:eastAsia="Times New Roman" w:hAnsi="Times New Roman"/>
          <w:sz w:val="21"/>
          <w:szCs w:val="21"/>
          <w:color w:val="auto"/>
        </w:rPr>
      </w:pPr>
    </w:p>
    <w:p>
      <w:pPr>
        <w:ind w:left="1300" w:right="20" w:hanging="644"/>
        <w:spacing w:after="0" w:line="225" w:lineRule="auto"/>
        <w:tabs>
          <w:tab w:leader="none" w:pos="1296" w:val="left"/>
        </w:tabs>
        <w:numPr>
          <w:ilvl w:val="0"/>
          <w:numId w:val="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Landlord and Tenant desire to enter into this Agreement amending and confirming the Commencement Date and other matters under the Lease. For avoidance of doubt, this Agreement shall operate as an amendment to the Lease concerning all terms and provisions addressed and modified herein.</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NOW, THEREFORE, Landlord and Tenant agree as follows:</w:t>
      </w:r>
    </w:p>
    <w:p>
      <w:pPr>
        <w:spacing w:after="0" w:line="193" w:lineRule="exact"/>
        <w:rPr>
          <w:sz w:val="20"/>
          <w:szCs w:val="20"/>
          <w:color w:val="auto"/>
        </w:rPr>
      </w:pPr>
    </w:p>
    <w:p>
      <w:pPr>
        <w:ind w:right="320" w:firstLine="656"/>
        <w:spacing w:after="0" w:line="220" w:lineRule="auto"/>
        <w:tabs>
          <w:tab w:leader="none" w:pos="1296" w:val="left"/>
        </w:tabs>
        <w:numPr>
          <w:ilvl w:val="0"/>
          <w:numId w:val="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date of “Substantial Completion” of “Landlord’s Work” (as such terms are defined in the Construction Agreement) is September 5, 2025, whereupon Landlord will be deemed to have tendered possession of the Premises to Tenant and Tenant will be deemed to have accepted possession of the Premises from Landlord, as more particularly provided in Section 2.5 of the Second Amendment.</w:t>
      </w:r>
    </w:p>
    <w:p>
      <w:pPr>
        <w:spacing w:after="0" w:line="152" w:lineRule="exact"/>
        <w:rPr>
          <w:rFonts w:ascii="Times New Roman" w:cs="Times New Roman" w:eastAsia="Times New Roman" w:hAnsi="Times New Roman"/>
          <w:sz w:val="22"/>
          <w:szCs w:val="22"/>
          <w:color w:val="auto"/>
        </w:rPr>
      </w:pPr>
    </w:p>
    <w:p>
      <w:pPr>
        <w:ind w:right="60" w:firstLine="656"/>
        <w:spacing w:after="0" w:line="227" w:lineRule="auto"/>
        <w:tabs>
          <w:tab w:leader="none" w:pos="1296" w:val="left"/>
        </w:tabs>
        <w:numPr>
          <w:ilvl w:val="0"/>
          <w:numId w:val="5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“Estimated Completion Date” (as defined in Section 2.2 of the Original Lease) is January 23, 2026. Pursuant to Section 2.3 of the Original Lease, because Substantial Completion of Landlord’s Work occurred prior to the Estimated Completion Date, Tenant shall pay to Landlord, as Additional Rent, within ten (10) days after invoice, an early completion bonus in an amount not to exceed the lesser of (i) the amount that Landlord is actually required to pay to the Building Contractor as an early completion bonus, and (ii) the cap amounts on Tenant’s obligation that are set forth in Section 2.3 of the Original Lease.</w:t>
      </w:r>
    </w:p>
    <w:p>
      <w:pPr>
        <w:spacing w:after="0" w:line="153" w:lineRule="exact"/>
        <w:rPr>
          <w:rFonts w:ascii="Times New Roman" w:cs="Times New Roman" w:eastAsia="Times New Roman" w:hAnsi="Times New Roman"/>
          <w:sz w:val="21"/>
          <w:szCs w:val="21"/>
          <w:color w:val="auto"/>
        </w:rPr>
      </w:pPr>
    </w:p>
    <w:p>
      <w:pPr>
        <w:ind w:right="280" w:firstLine="656"/>
        <w:spacing w:after="0" w:line="225" w:lineRule="auto"/>
        <w:tabs>
          <w:tab w:leader="none" w:pos="1296" w:val="left"/>
        </w:tabs>
        <w:numPr>
          <w:ilvl w:val="0"/>
          <w:numId w:val="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anything otherwise provided above or in the Lease, the parties agree that the “Commencement Date” (as defined in the Lease Summary) shall be deemed to be, and is hereby amended to mean, October 1, 2025. Notwithstanding the foregoing amendment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240"/>
          </w:cols>
          <w:pgMar w:left="320" w:top="94" w:right="339" w:bottom="1440" w:gutter="0" w:footer="0" w:header="0"/>
        </w:sectPr>
      </w:pPr>
    </w:p>
    <w:bookmarkStart w:id="94" w:name="page95"/>
    <w:bookmarkEnd w:id="94"/>
    <w:p>
      <w:pPr>
        <w:ind w:right="220"/>
        <w:spacing w:after="0" w:line="220" w:lineRule="auto"/>
        <w:rPr>
          <w:sz w:val="20"/>
          <w:szCs w:val="20"/>
          <w:color w:val="auto"/>
        </w:rPr>
      </w:pPr>
      <w:r>
        <w:rPr>
          <w:rFonts w:ascii="Times New Roman" w:cs="Times New Roman" w:eastAsia="Times New Roman" w:hAnsi="Times New Roman"/>
          <w:sz w:val="22"/>
          <w:szCs w:val="22"/>
          <w:color w:val="auto"/>
        </w:rPr>
        <w:t>the Commencement Date, except with respect to the payment of Base Rent, all other obligations that are required to be paid and/or performed by Tenant under the Lease, to the extent applicable, shall commence to accrue as of the date of Substantial Completion of Landlord’s Work, including but not limited to Tenant’s obligations under Article 4 and Article 12 of the Original Lease.</w:t>
      </w:r>
    </w:p>
    <w:p>
      <w:pPr>
        <w:spacing w:after="0" w:line="152" w:lineRule="exact"/>
        <w:rPr>
          <w:sz w:val="20"/>
          <w:szCs w:val="20"/>
          <w:color w:val="auto"/>
        </w:rPr>
      </w:pPr>
    </w:p>
    <w:p>
      <w:pPr>
        <w:ind w:right="40" w:firstLine="656"/>
        <w:spacing w:after="0" w:line="236" w:lineRule="auto"/>
        <w:tabs>
          <w:tab w:leader="none" w:pos="1296" w:val="left"/>
        </w:tabs>
        <w:numPr>
          <w:ilvl w:val="0"/>
          <w:numId w:val="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“Initial Term” (as defined in the Lease Summary) shall continue through, and the scheduled expiration date of the Initial Term is, March 31, 2039.</w:t>
      </w:r>
    </w:p>
    <w:p>
      <w:pPr>
        <w:spacing w:after="0" w:line="150" w:lineRule="exact"/>
        <w:rPr>
          <w:rFonts w:ascii="Times New Roman" w:cs="Times New Roman" w:eastAsia="Times New Roman" w:hAnsi="Times New Roman"/>
          <w:sz w:val="22"/>
          <w:szCs w:val="22"/>
          <w:color w:val="auto"/>
        </w:rPr>
      </w:pPr>
    </w:p>
    <w:p>
      <w:pPr>
        <w:ind w:right="40" w:firstLine="656"/>
        <w:spacing w:after="0" w:line="217" w:lineRule="auto"/>
        <w:tabs>
          <w:tab w:leader="none" w:pos="1296" w:val="left"/>
        </w:tabs>
        <w:numPr>
          <w:ilvl w:val="0"/>
          <w:numId w:val="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anything otherwise provided in the Lease, the “Rent Abatement” (as defined in the Lease Summary) is hereby amended to mean the Base Rent that would otherwise be payable under the Lease for the one hundred fifty-four (154) day period commencing on October 1, 2025, and continuing through March 4, 2026. During the Rent Abatement, only Base Rent is being abated and Tenant shall nevertheless be required to pay and discharge all other obligations of Tenant set forth in the Lease, commencing as of the date of Substantial Completion of Landlord’s Work.</w:t>
      </w:r>
    </w:p>
    <w:p>
      <w:pPr>
        <w:spacing w:after="0" w:line="152" w:lineRule="exact"/>
        <w:rPr>
          <w:rFonts w:ascii="Times New Roman" w:cs="Times New Roman" w:eastAsia="Times New Roman" w:hAnsi="Times New Roman"/>
          <w:sz w:val="22"/>
          <w:szCs w:val="22"/>
          <w:color w:val="auto"/>
        </w:rPr>
      </w:pPr>
    </w:p>
    <w:p>
      <w:pPr>
        <w:jc w:val="both"/>
        <w:ind w:firstLine="656"/>
        <w:spacing w:after="0" w:line="255" w:lineRule="auto"/>
        <w:tabs>
          <w:tab w:leader="none" w:pos="1296" w:val="left"/>
        </w:tabs>
        <w:numPr>
          <w:ilvl w:val="0"/>
          <w:numId w:val="5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Attached hereto as Attachment 1 is a schedule of the Base Rent payable for the Initial Term, commencing upon the expiration of the Rent Abatement, which has been determined in accordance with the “Base Rent” section of the Lease Summary.</w:t>
      </w:r>
    </w:p>
    <w:p>
      <w:pPr>
        <w:spacing w:after="0" w:line="134" w:lineRule="exact"/>
        <w:rPr>
          <w:rFonts w:ascii="Times New Roman" w:cs="Times New Roman" w:eastAsia="Times New Roman" w:hAnsi="Times New Roman"/>
          <w:sz w:val="21"/>
          <w:szCs w:val="21"/>
          <w:color w:val="auto"/>
        </w:rPr>
      </w:pPr>
    </w:p>
    <w:p>
      <w:pPr>
        <w:ind w:left="1300" w:hanging="644"/>
        <w:spacing w:after="0"/>
        <w:tabs>
          <w:tab w:leader="none" w:pos="1300" w:val="left"/>
        </w:tabs>
        <w:numPr>
          <w:ilvl w:val="0"/>
          <w:numId w:val="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Capitalized terms not defined herein shall have the same meanings as set forth in the Lease.</w:t>
      </w: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[Signatures on Following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240"/>
          </w:cols>
          <w:pgMar w:left="320" w:top="1003" w:right="339" w:bottom="1440" w:gutter="0" w:footer="0" w:header="0"/>
        </w:sectPr>
      </w:pPr>
    </w:p>
    <w:bookmarkStart w:id="95" w:name="page96"/>
    <w:bookmarkEnd w:id="95"/>
    <w:p>
      <w:pPr>
        <w:jc w:val="center"/>
        <w:ind w:right="-359"/>
        <w:spacing w:after="0"/>
        <w:rPr>
          <w:sz w:val="20"/>
          <w:szCs w:val="20"/>
          <w:color w:val="auto"/>
        </w:rPr>
      </w:pPr>
      <w:r>
        <w:rPr>
          <w:rFonts w:ascii="Times New Roman" w:cs="Times New Roman" w:eastAsia="Times New Roman" w:hAnsi="Times New Roman"/>
          <w:sz w:val="22"/>
          <w:szCs w:val="22"/>
          <w:color w:val="auto"/>
        </w:rPr>
        <w:t>[Signature Page of Commencement Date Memorandum]</w:t>
      </w:r>
    </w:p>
    <w:p>
      <w:pPr>
        <w:spacing w:after="0" w:line="220" w:lineRule="exact"/>
        <w:rPr>
          <w:sz w:val="20"/>
          <w:szCs w:val="20"/>
          <w:color w:val="auto"/>
        </w:rPr>
      </w:pPr>
    </w:p>
    <w:p>
      <w:pPr>
        <w:ind w:right="160" w:firstLine="648"/>
        <w:spacing w:after="0" w:line="284" w:lineRule="auto"/>
        <w:rPr>
          <w:sz w:val="20"/>
          <w:szCs w:val="20"/>
          <w:color w:val="auto"/>
        </w:rPr>
      </w:pPr>
      <w:r>
        <w:rPr>
          <w:rFonts w:ascii="Times New Roman" w:cs="Times New Roman" w:eastAsia="Times New Roman" w:hAnsi="Times New Roman"/>
          <w:sz w:val="22"/>
          <w:szCs w:val="22"/>
          <w:color w:val="auto"/>
        </w:rPr>
        <w:t>IN WITNESS WHEREOF, the parties hereto have caused this Agreement to be executed as of the date and year first above written.</w:t>
      </w:r>
    </w:p>
    <w:p>
      <w:pPr>
        <w:sectPr>
          <w:pgSz w:w="11900" w:h="16838" w:orient="portrait"/>
          <w:cols w:equalWidth="0" w:num="1">
            <w:col w:w="10880"/>
          </w:cols>
          <w:pgMar w:left="320" w:top="1030" w:right="699" w:bottom="1440" w:gutter="0" w:footer="0" w:header="0"/>
        </w:sectPr>
      </w:pPr>
    </w:p>
    <w:p>
      <w:pPr>
        <w:spacing w:after="0" w:line="20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2"/>
          <w:szCs w:val="22"/>
          <w:b w:val="1"/>
          <w:bCs w:val="1"/>
          <w:color w:val="auto"/>
        </w:rPr>
        <w:t>LANDLORD:</w:t>
      </w:r>
    </w:p>
    <w:p>
      <w:pPr>
        <w:spacing w:after="0" w:line="85" w:lineRule="exact"/>
        <w:rPr>
          <w:sz w:val="20"/>
          <w:szCs w:val="20"/>
          <w:color w:val="auto"/>
        </w:rPr>
      </w:pPr>
    </w:p>
    <w:p>
      <w:pPr>
        <w:ind w:left="620" w:right="80"/>
        <w:spacing w:after="0" w:line="300" w:lineRule="auto"/>
        <w:rPr>
          <w:sz w:val="20"/>
          <w:szCs w:val="20"/>
          <w:color w:val="auto"/>
        </w:rPr>
      </w:pPr>
      <w:r>
        <w:rPr>
          <w:rFonts w:ascii="Times New Roman" w:cs="Times New Roman" w:eastAsia="Times New Roman" w:hAnsi="Times New Roman"/>
          <w:sz w:val="22"/>
          <w:szCs w:val="22"/>
          <w:b w:val="1"/>
          <w:bCs w:val="1"/>
          <w:color w:val="auto"/>
        </w:rPr>
        <w:t>GDC Sunshine, LLC, a New Mexico limited liability company</w:t>
      </w:r>
    </w:p>
    <w:p>
      <w:pPr>
        <w:spacing w:after="0" w:line="101" w:lineRule="exact"/>
        <w:rPr>
          <w:sz w:val="20"/>
          <w:szCs w:val="20"/>
          <w:color w:val="auto"/>
        </w:rPr>
      </w:pPr>
    </w:p>
    <w:p>
      <w:pPr>
        <w:ind w:left="620" w:right="460"/>
        <w:spacing w:after="0" w:line="295" w:lineRule="auto"/>
        <w:rPr>
          <w:sz w:val="20"/>
          <w:szCs w:val="20"/>
          <w:color w:val="auto"/>
        </w:rPr>
      </w:pPr>
      <w:r>
        <w:rPr>
          <w:rFonts w:ascii="Times New Roman" w:cs="Times New Roman" w:eastAsia="Times New Roman" w:hAnsi="Times New Roman"/>
          <w:sz w:val="21"/>
          <w:szCs w:val="21"/>
          <w:color w:val="auto"/>
        </w:rPr>
        <w:t>By: GDC Sunshine Investors, LLC, a New Mexico limited liability company, its Sole Member</w:t>
      </w:r>
    </w:p>
    <w:p>
      <w:pPr>
        <w:spacing w:after="0" w:line="27" w:lineRule="exact"/>
        <w:rPr>
          <w:sz w:val="20"/>
          <w:szCs w:val="20"/>
          <w:color w:val="auto"/>
        </w:rPr>
      </w:pPr>
    </w:p>
    <w:p>
      <w:pPr>
        <w:ind w:left="620" w:right="340"/>
        <w:spacing w:after="0" w:line="271" w:lineRule="auto"/>
        <w:rPr>
          <w:sz w:val="20"/>
          <w:szCs w:val="20"/>
          <w:color w:val="auto"/>
        </w:rPr>
      </w:pPr>
      <w:r>
        <w:rPr>
          <w:rFonts w:ascii="Times New Roman" w:cs="Times New Roman" w:eastAsia="Times New Roman" w:hAnsi="Times New Roman"/>
          <w:sz w:val="22"/>
          <w:szCs w:val="22"/>
          <w:color w:val="auto"/>
        </w:rPr>
        <w:t>By: GDC-NM, LLC, a New Mexico limited liability company, its Member</w:t>
      </w:r>
    </w:p>
    <w:p>
      <w:pPr>
        <w:spacing w:after="0" w:line="63" w:lineRule="exact"/>
        <w:rPr>
          <w:sz w:val="20"/>
          <w:szCs w:val="20"/>
          <w:color w:val="auto"/>
        </w:rPr>
      </w:pPr>
    </w:p>
    <w:p>
      <w:pPr>
        <w:ind w:left="620" w:right="520"/>
        <w:spacing w:after="0" w:line="295" w:lineRule="auto"/>
        <w:rPr>
          <w:sz w:val="20"/>
          <w:szCs w:val="20"/>
          <w:color w:val="auto"/>
        </w:rPr>
      </w:pPr>
      <w:r>
        <w:rPr>
          <w:rFonts w:ascii="Times New Roman" w:cs="Times New Roman" w:eastAsia="Times New Roman" w:hAnsi="Times New Roman"/>
          <w:sz w:val="21"/>
          <w:szCs w:val="21"/>
          <w:color w:val="auto"/>
        </w:rPr>
        <w:t>By: Jeffrey D and Elizabeth C. Garrett Trust dated August 9, 2002, as amended, its Sole Member</w:t>
      </w:r>
    </w:p>
    <w:p>
      <w:pPr>
        <w:spacing w:after="0" w:line="200" w:lineRule="exact"/>
        <w:rPr>
          <w:sz w:val="20"/>
          <w:szCs w:val="20"/>
          <w:color w:val="auto"/>
        </w:rPr>
      </w:pPr>
    </w:p>
    <w:p>
      <w:pPr>
        <w:spacing w:after="0" w:line="30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2"/>
          <w:szCs w:val="22"/>
          <w:color w:val="auto"/>
        </w:rPr>
        <w:t>By: /s/ Jeff Garrett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629920</wp:posOffset>
            </wp:positionH>
            <wp:positionV relativeFrom="paragraph">
              <wp:posOffset>-13970</wp:posOffset>
            </wp:positionV>
            <wp:extent cx="926465"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8">
                      <a:extLst>
                        <a:ext uri="{28A0092B-C50C-407E-A947-70E740481C1C}"/>
                      </a:extLst>
                    </a:blip>
                    <a:srcRect/>
                    <a:stretch>
                      <a:fillRect/>
                    </a:stretch>
                  </pic:blipFill>
                  <pic:spPr bwMode="auto">
                    <a:xfrm>
                      <a:off x="0" y="0"/>
                      <a:ext cx="926465" cy="8255"/>
                    </a:xfrm>
                    <a:prstGeom prst="rect">
                      <a:avLst/>
                    </a:prstGeom>
                    <a:noFill/>
                  </pic:spPr>
                </pic:pic>
              </a:graphicData>
            </a:graphic>
          </wp:anchor>
        </w:drawing>
      </w:r>
    </w:p>
    <w:p>
      <w:pPr>
        <w:spacing w:after="0" w:line="146"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2"/>
          <w:szCs w:val="22"/>
          <w:color w:val="auto"/>
        </w:rPr>
        <w:t>Name: Jeff Garrett</w:t>
      </w:r>
    </w:p>
    <w:p>
      <w:pPr>
        <w:spacing w:after="0" w:line="166"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2"/>
          <w:szCs w:val="22"/>
          <w:color w:val="auto"/>
        </w:rPr>
        <w:t>Title: Trustee</w:t>
      </w:r>
    </w:p>
    <w:p>
      <w:pPr>
        <w:spacing w:after="0" w:line="166"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2"/>
          <w:szCs w:val="22"/>
          <w:color w:val="auto"/>
        </w:rPr>
        <w:t xml:space="preserve">Dated: October </w:t>
      </w:r>
      <w:r>
        <w:rPr>
          <w:rFonts w:ascii="Times New Roman" w:cs="Times New Roman" w:eastAsia="Times New Roman" w:hAnsi="Times New Roman"/>
          <w:sz w:val="22"/>
          <w:szCs w:val="22"/>
          <w:u w:val="single" w:color="auto"/>
          <w:color w:val="auto"/>
        </w:rPr>
        <w:t>4</w:t>
      </w:r>
      <w:r>
        <w:rPr>
          <w:rFonts w:ascii="Times New Roman" w:cs="Times New Roman" w:eastAsia="Times New Roman" w:hAnsi="Times New Roman"/>
          <w:sz w:val="22"/>
          <w:szCs w:val="22"/>
          <w:color w:val="auto"/>
        </w:rPr>
        <w:t xml:space="preserve"> , 2025</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TENANT:</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Array Tech, Inc., a New Mexico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By: /s/ Neil Manning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238125</wp:posOffset>
            </wp:positionH>
            <wp:positionV relativeFrom="paragraph">
              <wp:posOffset>-13970</wp:posOffset>
            </wp:positionV>
            <wp:extent cx="134112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9">
                      <a:extLst>
                        <a:ext uri="{28A0092B-C50C-407E-A947-70E740481C1C}"/>
                      </a:extLst>
                    </a:blip>
                    <a:srcRect/>
                    <a:stretch>
                      <a:fillRect/>
                    </a:stretch>
                  </pic:blipFill>
                  <pic:spPr bwMode="auto">
                    <a:xfrm>
                      <a:off x="0" y="0"/>
                      <a:ext cx="1341120" cy="8890"/>
                    </a:xfrm>
                    <a:prstGeom prst="rect">
                      <a:avLst/>
                    </a:prstGeom>
                    <a:noFill/>
                  </pic:spPr>
                </pic:pic>
              </a:graphicData>
            </a:graphic>
          </wp:anchor>
        </w:drawing>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Neil Manning</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President &amp; Chief Operating Officer</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Dated: October </w:t>
      </w:r>
      <w:r>
        <w:rPr>
          <w:rFonts w:ascii="Times New Roman" w:cs="Times New Roman" w:eastAsia="Times New Roman" w:hAnsi="Times New Roman"/>
          <w:sz w:val="22"/>
          <w:szCs w:val="22"/>
          <w:u w:val="single" w:color="auto"/>
          <w:color w:val="auto"/>
        </w:rPr>
        <w:t>4</w:t>
      </w:r>
      <w:r>
        <w:rPr>
          <w:rFonts w:ascii="Times New Roman" w:cs="Times New Roman" w:eastAsia="Times New Roman" w:hAnsi="Times New Roman"/>
          <w:sz w:val="22"/>
          <w:szCs w:val="22"/>
          <w:color w:val="auto"/>
        </w:rPr>
        <w:t xml:space="preserve"> , 2025</w:t>
      </w:r>
    </w:p>
    <w:p>
      <w:pPr>
        <w:spacing w:after="0" w:line="1873" w:lineRule="exact"/>
        <w:rPr>
          <w:sz w:val="20"/>
          <w:szCs w:val="20"/>
          <w:color w:val="auto"/>
        </w:rPr>
      </w:pPr>
    </w:p>
    <w:p>
      <w:pPr>
        <w:sectPr>
          <w:pgSz w:w="11900" w:h="16838" w:orient="portrait"/>
          <w:cols w:equalWidth="0" w:num="2">
            <w:col w:w="5500" w:space="720"/>
            <w:col w:w="4660"/>
          </w:cols>
          <w:pgMar w:left="320" w:top="1030" w:right="699" w:bottom="1440" w:gutter="0" w:footer="0" w:header="0"/>
          <w:type w:val="continuous"/>
        </w:sectPr>
      </w:pPr>
    </w:p>
    <w:p>
      <w:pPr>
        <w:spacing w:after="0" w:line="394" w:lineRule="exact"/>
        <w:rPr>
          <w:sz w:val="20"/>
          <w:szCs w:val="20"/>
          <w:color w:val="auto"/>
        </w:rPr>
      </w:pPr>
    </w:p>
    <w:p>
      <w:pPr>
        <w:ind w:left="3320"/>
        <w:spacing w:after="0"/>
        <w:rPr>
          <w:sz w:val="20"/>
          <w:szCs w:val="20"/>
          <w:color w:val="auto"/>
        </w:rPr>
      </w:pPr>
      <w:r>
        <w:rPr>
          <w:rFonts w:ascii="Times New Roman" w:cs="Times New Roman" w:eastAsia="Times New Roman" w:hAnsi="Times New Roman"/>
          <w:sz w:val="22"/>
          <w:szCs w:val="22"/>
          <w:b w:val="1"/>
          <w:bCs w:val="1"/>
          <w:color w:val="auto"/>
        </w:rPr>
        <w:t>CONSENT AND APPROVAL OF GUARANTOR</w:t>
      </w:r>
    </w:p>
    <w:p>
      <w:pPr>
        <w:spacing w:after="0" w:line="264"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2"/>
          <w:szCs w:val="22"/>
          <w:color w:val="auto"/>
        </w:rPr>
        <w:t>The undersigned, as Guarantor of Tenant’s performance of the Lease pursuant to a written Continuing Lease Guarantee dated May 31, 2024, hereby consents to and approves the foregoing Agreement and hereby reaffirms its continuing guarantee of the Lease.</w:t>
      </w:r>
    </w:p>
    <w:p>
      <w:pPr>
        <w:spacing w:after="0" w:line="263" w:lineRule="exact"/>
        <w:rPr>
          <w:sz w:val="20"/>
          <w:szCs w:val="20"/>
          <w:color w:val="auto"/>
        </w:rPr>
      </w:pPr>
    </w:p>
    <w:p>
      <w:pPr>
        <w:ind w:left="5820"/>
        <w:spacing w:after="0"/>
        <w:rPr>
          <w:sz w:val="20"/>
          <w:szCs w:val="20"/>
          <w:color w:val="auto"/>
        </w:rPr>
      </w:pPr>
      <w:r>
        <w:rPr>
          <w:rFonts w:ascii="Times New Roman" w:cs="Times New Roman" w:eastAsia="Times New Roman" w:hAnsi="Times New Roman"/>
          <w:sz w:val="22"/>
          <w:szCs w:val="22"/>
          <w:b w:val="1"/>
          <w:bCs w:val="1"/>
          <w:color w:val="auto"/>
        </w:rPr>
        <w:t>Array Technologies, Inc., a Delaware corporation</w:t>
      </w:r>
    </w:p>
    <w:p>
      <w:pPr>
        <w:spacing w:after="0" w:line="200" w:lineRule="exact"/>
        <w:rPr>
          <w:sz w:val="20"/>
          <w:szCs w:val="20"/>
          <w:color w:val="auto"/>
        </w:rPr>
      </w:pPr>
    </w:p>
    <w:p>
      <w:pPr>
        <w:spacing w:after="0" w:line="253" w:lineRule="exact"/>
        <w:rPr>
          <w:sz w:val="20"/>
          <w:szCs w:val="20"/>
          <w:color w:val="auto"/>
        </w:rPr>
      </w:pPr>
    </w:p>
    <w:p>
      <w:pPr>
        <w:ind w:left="5820"/>
        <w:spacing w:after="0"/>
        <w:rPr>
          <w:sz w:val="20"/>
          <w:szCs w:val="20"/>
          <w:color w:val="auto"/>
        </w:rPr>
      </w:pPr>
      <w:r>
        <w:rPr>
          <w:rFonts w:ascii="Times New Roman" w:cs="Times New Roman" w:eastAsia="Times New Roman" w:hAnsi="Times New Roman"/>
          <w:sz w:val="22"/>
          <w:szCs w:val="22"/>
          <w:color w:val="auto"/>
        </w:rPr>
        <w:t>By: /s/ Neil Manning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3930650</wp:posOffset>
            </wp:positionH>
            <wp:positionV relativeFrom="paragraph">
              <wp:posOffset>-13970</wp:posOffset>
            </wp:positionV>
            <wp:extent cx="106680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00">
                      <a:extLst>
                        <a:ext uri="{28A0092B-C50C-407E-A947-70E740481C1C}"/>
                      </a:extLst>
                    </a:blip>
                    <a:srcRect/>
                    <a:stretch>
                      <a:fillRect/>
                    </a:stretch>
                  </pic:blipFill>
                  <pic:spPr bwMode="auto">
                    <a:xfrm>
                      <a:off x="0" y="0"/>
                      <a:ext cx="1066800" cy="8255"/>
                    </a:xfrm>
                    <a:prstGeom prst="rect">
                      <a:avLst/>
                    </a:prstGeom>
                    <a:noFill/>
                  </pic:spPr>
                </pic:pic>
              </a:graphicData>
            </a:graphic>
          </wp:anchor>
        </w:drawing>
      </w:r>
    </w:p>
    <w:p>
      <w:pPr>
        <w:spacing w:after="0" w:line="146" w:lineRule="exact"/>
        <w:rPr>
          <w:sz w:val="20"/>
          <w:szCs w:val="20"/>
          <w:color w:val="auto"/>
        </w:rPr>
      </w:pPr>
    </w:p>
    <w:p>
      <w:pPr>
        <w:ind w:left="5820"/>
        <w:spacing w:after="0"/>
        <w:rPr>
          <w:sz w:val="20"/>
          <w:szCs w:val="20"/>
          <w:color w:val="auto"/>
        </w:rPr>
      </w:pPr>
      <w:r>
        <w:rPr>
          <w:rFonts w:ascii="Times New Roman" w:cs="Times New Roman" w:eastAsia="Times New Roman" w:hAnsi="Times New Roman"/>
          <w:sz w:val="22"/>
          <w:szCs w:val="22"/>
          <w:color w:val="auto"/>
        </w:rPr>
        <w:t>Name: Neil Manning</w:t>
      </w:r>
    </w:p>
    <w:p>
      <w:pPr>
        <w:spacing w:after="0" w:line="166" w:lineRule="exact"/>
        <w:rPr>
          <w:sz w:val="20"/>
          <w:szCs w:val="20"/>
          <w:color w:val="auto"/>
        </w:rPr>
      </w:pPr>
    </w:p>
    <w:p>
      <w:pPr>
        <w:ind w:left="5820"/>
        <w:spacing w:after="0"/>
        <w:rPr>
          <w:sz w:val="20"/>
          <w:szCs w:val="20"/>
          <w:color w:val="auto"/>
        </w:rPr>
      </w:pPr>
      <w:r>
        <w:rPr>
          <w:rFonts w:ascii="Times New Roman" w:cs="Times New Roman" w:eastAsia="Times New Roman" w:hAnsi="Times New Roman"/>
          <w:sz w:val="22"/>
          <w:szCs w:val="22"/>
          <w:color w:val="auto"/>
        </w:rPr>
        <w:t>Title: President &amp; Chief Operating Officer</w:t>
      </w:r>
    </w:p>
    <w:p>
      <w:pPr>
        <w:spacing w:after="0" w:line="166" w:lineRule="exact"/>
        <w:rPr>
          <w:sz w:val="20"/>
          <w:szCs w:val="20"/>
          <w:color w:val="auto"/>
        </w:rPr>
      </w:pPr>
    </w:p>
    <w:p>
      <w:pPr>
        <w:ind w:left="5820"/>
        <w:spacing w:after="0"/>
        <w:rPr>
          <w:sz w:val="20"/>
          <w:szCs w:val="20"/>
          <w:color w:val="auto"/>
        </w:rPr>
      </w:pPr>
      <w:r>
        <w:rPr>
          <w:rFonts w:ascii="Times New Roman" w:cs="Times New Roman" w:eastAsia="Times New Roman" w:hAnsi="Times New Roman"/>
          <w:sz w:val="22"/>
          <w:szCs w:val="22"/>
          <w:color w:val="auto"/>
        </w:rPr>
        <w:t xml:space="preserve">Dated: October </w:t>
      </w:r>
      <w:r>
        <w:rPr>
          <w:rFonts w:ascii="Times New Roman" w:cs="Times New Roman" w:eastAsia="Times New Roman" w:hAnsi="Times New Roman"/>
          <w:sz w:val="22"/>
          <w:szCs w:val="22"/>
          <w:u w:val="single" w:color="auto"/>
          <w:color w:val="auto"/>
        </w:rPr>
        <w:t>4</w:t>
      </w:r>
      <w:r>
        <w:rPr>
          <w:rFonts w:ascii="Times New Roman" w:cs="Times New Roman" w:eastAsia="Times New Roman" w:hAnsi="Times New Roman"/>
          <w:sz w:val="22"/>
          <w:szCs w:val="22"/>
          <w:color w:val="auto"/>
        </w:rPr>
        <w:t xml:space="preserve"> , 2025</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Attachment 1 – Base Rent</w:t>
      </w:r>
    </w:p>
    <w:p>
      <w:pPr>
        <w:sectPr>
          <w:pgSz w:w="11900" w:h="16838" w:orient="portrait"/>
          <w:cols w:equalWidth="0" w:num="1">
            <w:col w:w="10880"/>
          </w:cols>
          <w:pgMar w:left="320" w:top="1030" w:right="69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6"/>
          <w:szCs w:val="16"/>
          <w:color w:val="auto"/>
        </w:rPr>
        <w:t>3</w:t>
      </w:r>
    </w:p>
    <w:p>
      <w:pPr>
        <w:sectPr>
          <w:pgSz w:w="11900" w:h="16838" w:orient="portrait"/>
          <w:cols w:equalWidth="0" w:num="1">
            <w:col w:w="10880"/>
          </w:cols>
          <w:pgMar w:left="320" w:top="1030" w:right="699" w:bottom="1440" w:gutter="0" w:footer="0" w:header="0"/>
          <w:type w:val="continuous"/>
        </w:sectPr>
      </w:pPr>
    </w:p>
    <w:bookmarkStart w:id="96" w:name="page97"/>
    <w:bookmarkEnd w:id="96"/>
    <w:p>
      <w:pPr>
        <w:jc w:val="right"/>
        <w:spacing w:after="0"/>
        <w:rPr>
          <w:sz w:val="20"/>
          <w:szCs w:val="20"/>
          <w:color w:val="auto"/>
        </w:rPr>
      </w:pPr>
      <w:r>
        <w:rPr>
          <w:rFonts w:ascii="Arial" w:cs="Arial" w:eastAsia="Arial" w:hAnsi="Arial"/>
          <w:sz w:val="18"/>
          <w:szCs w:val="18"/>
          <w:b w:val="1"/>
          <w:bCs w:val="1"/>
          <w:color w:val="auto"/>
        </w:rPr>
        <w:t>EXHIBIT 31.1</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BY CHIEF EXECUTIVE OFFICER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13a-14(a) AND 15d-14(a) UNDER THE EXCHANGE ACT</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I, Kevin G. Hostetler, certify that:</w:t>
      </w:r>
    </w:p>
    <w:p>
      <w:pPr>
        <w:spacing w:after="0" w:line="266" w:lineRule="exact"/>
        <w:rPr>
          <w:sz w:val="20"/>
          <w:szCs w:val="20"/>
          <w:color w:val="auto"/>
        </w:rPr>
      </w:pPr>
    </w:p>
    <w:p>
      <w:pPr>
        <w:ind w:left="640" w:hanging="308"/>
        <w:spacing w:after="0"/>
        <w:tabs>
          <w:tab w:leader="none" w:pos="640" w:val="left"/>
        </w:tabs>
        <w:numPr>
          <w:ilvl w:val="0"/>
          <w:numId w:val="56"/>
        </w:numPr>
        <w:rPr>
          <w:rFonts w:ascii="Arial" w:cs="Arial" w:eastAsia="Arial" w:hAnsi="Arial"/>
          <w:sz w:val="20"/>
          <w:szCs w:val="20"/>
          <w:color w:val="auto"/>
        </w:rPr>
      </w:pPr>
      <w:r>
        <w:rPr>
          <w:rFonts w:ascii="Arial" w:cs="Arial" w:eastAsia="Arial" w:hAnsi="Arial"/>
          <w:sz w:val="18"/>
          <w:szCs w:val="18"/>
          <w:color w:val="auto"/>
        </w:rPr>
        <w:t>I have reviewed this Quarterly Report on Form 10-Q of Array Technologies, Inc.;</w:t>
      </w:r>
    </w:p>
    <w:p>
      <w:pPr>
        <w:spacing w:after="0" w:line="242" w:lineRule="exact"/>
        <w:rPr>
          <w:rFonts w:ascii="Arial" w:cs="Arial" w:eastAsia="Arial" w:hAnsi="Arial"/>
          <w:sz w:val="20"/>
          <w:szCs w:val="20"/>
          <w:color w:val="auto"/>
        </w:rPr>
      </w:pPr>
    </w:p>
    <w:p>
      <w:pPr>
        <w:jc w:val="both"/>
        <w:ind w:left="660" w:hanging="328"/>
        <w:spacing w:after="0" w:line="268" w:lineRule="auto"/>
        <w:tabs>
          <w:tab w:leader="none" w:pos="648" w:val="left"/>
        </w:tabs>
        <w:numPr>
          <w:ilvl w:val="0"/>
          <w:numId w:val="5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97" w:lineRule="exact"/>
        <w:rPr>
          <w:rFonts w:ascii="Arial" w:cs="Arial" w:eastAsia="Arial" w:hAnsi="Arial"/>
          <w:sz w:val="18"/>
          <w:szCs w:val="18"/>
          <w:color w:val="auto"/>
        </w:rPr>
      </w:pPr>
    </w:p>
    <w:p>
      <w:pPr>
        <w:jc w:val="both"/>
        <w:ind w:left="660" w:hanging="328"/>
        <w:spacing w:after="0" w:line="268" w:lineRule="auto"/>
        <w:tabs>
          <w:tab w:leader="none" w:pos="648" w:val="left"/>
        </w:tabs>
        <w:numPr>
          <w:ilvl w:val="0"/>
          <w:numId w:val="56"/>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97" w:lineRule="exact"/>
        <w:rPr>
          <w:rFonts w:ascii="Arial" w:cs="Arial" w:eastAsia="Arial" w:hAnsi="Arial"/>
          <w:sz w:val="18"/>
          <w:szCs w:val="18"/>
          <w:color w:val="auto"/>
        </w:rPr>
      </w:pPr>
    </w:p>
    <w:p>
      <w:pPr>
        <w:jc w:val="both"/>
        <w:ind w:left="660" w:hanging="328"/>
        <w:spacing w:after="0" w:line="268" w:lineRule="auto"/>
        <w:tabs>
          <w:tab w:leader="none" w:pos="648"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97" w:lineRule="exact"/>
        <w:rPr>
          <w:rFonts w:ascii="Arial" w:cs="Arial" w:eastAsia="Arial" w:hAnsi="Arial"/>
          <w:sz w:val="18"/>
          <w:szCs w:val="18"/>
          <w:color w:val="auto"/>
        </w:rPr>
      </w:pPr>
    </w:p>
    <w:p>
      <w:pPr>
        <w:jc w:val="both"/>
        <w:ind w:left="1300" w:hanging="320"/>
        <w:spacing w:after="0" w:line="268" w:lineRule="auto"/>
        <w:tabs>
          <w:tab w:leader="none" w:pos="1298" w:val="left"/>
        </w:tabs>
        <w:numPr>
          <w:ilvl w:val="1"/>
          <w:numId w:val="5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97" w:lineRule="exact"/>
        <w:rPr>
          <w:rFonts w:ascii="Arial" w:cs="Arial" w:eastAsia="Arial" w:hAnsi="Arial"/>
          <w:sz w:val="18"/>
          <w:szCs w:val="18"/>
          <w:color w:val="auto"/>
        </w:rPr>
      </w:pPr>
    </w:p>
    <w:p>
      <w:pPr>
        <w:jc w:val="both"/>
        <w:ind w:left="1300" w:hanging="320"/>
        <w:spacing w:after="0" w:line="268" w:lineRule="auto"/>
        <w:tabs>
          <w:tab w:leader="none" w:pos="1298" w:val="left"/>
        </w:tabs>
        <w:numPr>
          <w:ilvl w:val="1"/>
          <w:numId w:val="5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97" w:lineRule="exact"/>
        <w:rPr>
          <w:rFonts w:ascii="Arial" w:cs="Arial" w:eastAsia="Arial" w:hAnsi="Arial"/>
          <w:sz w:val="18"/>
          <w:szCs w:val="18"/>
          <w:color w:val="auto"/>
        </w:rPr>
      </w:pPr>
    </w:p>
    <w:p>
      <w:pPr>
        <w:jc w:val="both"/>
        <w:ind w:left="1300" w:hanging="320"/>
        <w:spacing w:after="0" w:line="268" w:lineRule="auto"/>
        <w:tabs>
          <w:tab w:leader="none" w:pos="1288" w:val="left"/>
        </w:tabs>
        <w:numPr>
          <w:ilvl w:val="1"/>
          <w:numId w:val="56"/>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97" w:lineRule="exact"/>
        <w:rPr>
          <w:rFonts w:ascii="Arial" w:cs="Arial" w:eastAsia="Arial" w:hAnsi="Arial"/>
          <w:sz w:val="18"/>
          <w:szCs w:val="18"/>
          <w:color w:val="auto"/>
        </w:rPr>
      </w:pPr>
    </w:p>
    <w:p>
      <w:pPr>
        <w:jc w:val="both"/>
        <w:ind w:left="1300" w:hanging="320"/>
        <w:spacing w:after="0" w:line="268" w:lineRule="auto"/>
        <w:tabs>
          <w:tab w:leader="none" w:pos="1298" w:val="left"/>
        </w:tabs>
        <w:numPr>
          <w:ilvl w:val="1"/>
          <w:numId w:val="5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97" w:lineRule="exact"/>
        <w:rPr>
          <w:rFonts w:ascii="Arial" w:cs="Arial" w:eastAsia="Arial" w:hAnsi="Arial"/>
          <w:sz w:val="18"/>
          <w:szCs w:val="18"/>
          <w:color w:val="auto"/>
        </w:rPr>
      </w:pPr>
    </w:p>
    <w:p>
      <w:pPr>
        <w:jc w:val="both"/>
        <w:ind w:left="660" w:hanging="328"/>
        <w:spacing w:after="0" w:line="268" w:lineRule="auto"/>
        <w:tabs>
          <w:tab w:leader="none" w:pos="648"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97" w:lineRule="exact"/>
        <w:rPr>
          <w:rFonts w:ascii="Arial" w:cs="Arial" w:eastAsia="Arial" w:hAnsi="Arial"/>
          <w:sz w:val="18"/>
          <w:szCs w:val="18"/>
          <w:color w:val="auto"/>
        </w:rPr>
      </w:pPr>
    </w:p>
    <w:p>
      <w:pPr>
        <w:jc w:val="both"/>
        <w:ind w:left="1300" w:hanging="320"/>
        <w:spacing w:after="0" w:line="268" w:lineRule="auto"/>
        <w:tabs>
          <w:tab w:leader="none" w:pos="1298" w:val="left"/>
        </w:tabs>
        <w:numPr>
          <w:ilvl w:val="1"/>
          <w:numId w:val="5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7" w:lineRule="exact"/>
        <w:rPr>
          <w:rFonts w:ascii="Arial" w:cs="Arial" w:eastAsia="Arial" w:hAnsi="Arial"/>
          <w:sz w:val="18"/>
          <w:szCs w:val="18"/>
          <w:color w:val="auto"/>
        </w:rPr>
      </w:pPr>
    </w:p>
    <w:p>
      <w:pPr>
        <w:ind w:left="1300" w:hanging="320"/>
        <w:spacing w:after="0" w:line="287" w:lineRule="auto"/>
        <w:tabs>
          <w:tab w:leader="none" w:pos="1298" w:val="left"/>
        </w:tabs>
        <w:numPr>
          <w:ilvl w:val="1"/>
          <w:numId w:val="5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20"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Kevin G. Hostetler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170561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01">
                      <a:extLst>
                        <a:ext uri="{28A0092B-C50C-407E-A947-70E740481C1C}"/>
                      </a:extLst>
                    </a:blip>
                    <a:srcRect/>
                    <a:stretch>
                      <a:fillRect/>
                    </a:stretch>
                  </pic:blipFill>
                  <pic:spPr bwMode="auto">
                    <a:xfrm>
                      <a:off x="0" y="0"/>
                      <a:ext cx="1705610" cy="8890"/>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Arial" w:cs="Arial" w:eastAsia="Arial" w:hAnsi="Arial"/>
          <w:sz w:val="18"/>
          <w:szCs w:val="18"/>
          <w:color w:val="auto"/>
        </w:rPr>
        <w:t>Kevin G. Hostetler</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8"/>
          <w:szCs w:val="18"/>
          <w:color w:val="auto"/>
        </w:rPr>
        <w:t>Chief Executive Officer</w:t>
      </w:r>
    </w:p>
    <w:p>
      <w:pPr>
        <w:spacing w:after="0" w:line="324" w:lineRule="exact"/>
        <w:rPr>
          <w:sz w:val="20"/>
          <w:szCs w:val="20"/>
          <w:color w:val="auto"/>
        </w:rPr>
      </w:pPr>
    </w:p>
    <w:p>
      <w:pPr>
        <w:spacing w:after="0"/>
        <w:rPr>
          <w:sz w:val="20"/>
          <w:szCs w:val="20"/>
          <w:color w:val="auto"/>
        </w:rPr>
      </w:pPr>
      <w:r>
        <w:rPr>
          <w:rFonts w:ascii="Arial" w:cs="Arial" w:eastAsia="Arial" w:hAnsi="Arial"/>
          <w:sz w:val="18"/>
          <w:szCs w:val="18"/>
          <w:color w:val="auto"/>
        </w:rPr>
        <w:t>Date: November 5, 2025</w:t>
      </w:r>
    </w:p>
    <w:p>
      <w:pPr>
        <w:sectPr>
          <w:pgSz w:w="11900" w:h="16838" w:orient="portrait"/>
          <w:cols w:equalWidth="0" w:num="1">
            <w:col w:w="11240"/>
          </w:cols>
          <w:pgMar w:left="320" w:top="769" w:right="339" w:bottom="1440" w:gutter="0" w:footer="0" w:header="0"/>
        </w:sectPr>
      </w:pPr>
    </w:p>
    <w:bookmarkStart w:id="97" w:name="page98"/>
    <w:bookmarkEnd w:id="97"/>
    <w:p>
      <w:pPr>
        <w:ind w:left="9940"/>
        <w:spacing w:after="0"/>
        <w:rPr>
          <w:sz w:val="20"/>
          <w:szCs w:val="20"/>
          <w:color w:val="auto"/>
        </w:rPr>
      </w:pPr>
      <w:r>
        <w:rPr>
          <w:rFonts w:ascii="Arial" w:cs="Arial" w:eastAsia="Arial" w:hAnsi="Arial"/>
          <w:sz w:val="18"/>
          <w:szCs w:val="18"/>
          <w:b w:val="1"/>
          <w:bCs w:val="1"/>
          <w:color w:val="auto"/>
        </w:rPr>
        <w:t>EXHIBIT 31.2</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BY CHIEF FINANCIAL OFFICER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13a-14(a) AND 15d-14(a) UNDER THE EXCHANGE ACT</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I, H. Keith Jennings, certify that:</w:t>
      </w:r>
    </w:p>
    <w:p>
      <w:pPr>
        <w:spacing w:after="0" w:line="252" w:lineRule="exact"/>
        <w:rPr>
          <w:sz w:val="20"/>
          <w:szCs w:val="20"/>
          <w:color w:val="auto"/>
        </w:rPr>
      </w:pPr>
    </w:p>
    <w:p>
      <w:pPr>
        <w:ind w:left="640" w:hanging="308"/>
        <w:spacing w:after="0"/>
        <w:tabs>
          <w:tab w:leader="none" w:pos="640" w:val="left"/>
        </w:tabs>
        <w:numPr>
          <w:ilvl w:val="0"/>
          <w:numId w:val="5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Array Technologies, Inc.;</w:t>
      </w:r>
    </w:p>
    <w:p>
      <w:pPr>
        <w:spacing w:after="0" w:line="252" w:lineRule="exact"/>
        <w:rPr>
          <w:rFonts w:ascii="Arial" w:cs="Arial" w:eastAsia="Arial" w:hAnsi="Arial"/>
          <w:sz w:val="18"/>
          <w:szCs w:val="18"/>
          <w:color w:val="auto"/>
        </w:rPr>
      </w:pPr>
    </w:p>
    <w:p>
      <w:pPr>
        <w:jc w:val="both"/>
        <w:ind w:left="660" w:hanging="328"/>
        <w:spacing w:after="0" w:line="268" w:lineRule="auto"/>
        <w:tabs>
          <w:tab w:leader="none" w:pos="648" w:val="left"/>
        </w:tabs>
        <w:numPr>
          <w:ilvl w:val="0"/>
          <w:numId w:val="5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97" w:lineRule="exact"/>
        <w:rPr>
          <w:rFonts w:ascii="Arial" w:cs="Arial" w:eastAsia="Arial" w:hAnsi="Arial"/>
          <w:sz w:val="18"/>
          <w:szCs w:val="18"/>
          <w:color w:val="auto"/>
        </w:rPr>
      </w:pPr>
    </w:p>
    <w:p>
      <w:pPr>
        <w:jc w:val="both"/>
        <w:ind w:left="660" w:hanging="328"/>
        <w:spacing w:after="0" w:line="268" w:lineRule="auto"/>
        <w:tabs>
          <w:tab w:leader="none" w:pos="648" w:val="left"/>
        </w:tabs>
        <w:numPr>
          <w:ilvl w:val="0"/>
          <w:numId w:val="57"/>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97" w:lineRule="exact"/>
        <w:rPr>
          <w:rFonts w:ascii="Arial" w:cs="Arial" w:eastAsia="Arial" w:hAnsi="Arial"/>
          <w:sz w:val="18"/>
          <w:szCs w:val="18"/>
          <w:color w:val="auto"/>
        </w:rPr>
      </w:pPr>
    </w:p>
    <w:p>
      <w:pPr>
        <w:jc w:val="both"/>
        <w:ind w:left="660" w:hanging="328"/>
        <w:spacing w:after="0" w:line="268" w:lineRule="auto"/>
        <w:tabs>
          <w:tab w:leader="none" w:pos="648"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97" w:lineRule="exact"/>
        <w:rPr>
          <w:rFonts w:ascii="Arial" w:cs="Arial" w:eastAsia="Arial" w:hAnsi="Arial"/>
          <w:sz w:val="18"/>
          <w:szCs w:val="18"/>
          <w:color w:val="auto"/>
        </w:rPr>
      </w:pPr>
    </w:p>
    <w:p>
      <w:pPr>
        <w:jc w:val="both"/>
        <w:ind w:left="1300" w:hanging="320"/>
        <w:spacing w:after="0" w:line="268" w:lineRule="auto"/>
        <w:tabs>
          <w:tab w:leader="none" w:pos="1298" w:val="left"/>
        </w:tabs>
        <w:numPr>
          <w:ilvl w:val="1"/>
          <w:numId w:val="5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97" w:lineRule="exact"/>
        <w:rPr>
          <w:rFonts w:ascii="Arial" w:cs="Arial" w:eastAsia="Arial" w:hAnsi="Arial"/>
          <w:sz w:val="18"/>
          <w:szCs w:val="18"/>
          <w:color w:val="auto"/>
        </w:rPr>
      </w:pPr>
    </w:p>
    <w:p>
      <w:pPr>
        <w:jc w:val="both"/>
        <w:ind w:left="1300" w:hanging="320"/>
        <w:spacing w:after="0" w:line="268" w:lineRule="auto"/>
        <w:tabs>
          <w:tab w:leader="none" w:pos="1298" w:val="left"/>
        </w:tabs>
        <w:numPr>
          <w:ilvl w:val="1"/>
          <w:numId w:val="5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97" w:lineRule="exact"/>
        <w:rPr>
          <w:rFonts w:ascii="Arial" w:cs="Arial" w:eastAsia="Arial" w:hAnsi="Arial"/>
          <w:sz w:val="18"/>
          <w:szCs w:val="18"/>
          <w:color w:val="auto"/>
        </w:rPr>
      </w:pPr>
    </w:p>
    <w:p>
      <w:pPr>
        <w:jc w:val="both"/>
        <w:ind w:left="1300" w:hanging="320"/>
        <w:spacing w:after="0" w:line="268" w:lineRule="auto"/>
        <w:tabs>
          <w:tab w:leader="none" w:pos="1288" w:val="left"/>
        </w:tabs>
        <w:numPr>
          <w:ilvl w:val="1"/>
          <w:numId w:val="57"/>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97" w:lineRule="exact"/>
        <w:rPr>
          <w:rFonts w:ascii="Arial" w:cs="Arial" w:eastAsia="Arial" w:hAnsi="Arial"/>
          <w:sz w:val="18"/>
          <w:szCs w:val="18"/>
          <w:color w:val="auto"/>
        </w:rPr>
      </w:pPr>
    </w:p>
    <w:p>
      <w:pPr>
        <w:jc w:val="both"/>
        <w:ind w:left="1300" w:hanging="320"/>
        <w:spacing w:after="0" w:line="268" w:lineRule="auto"/>
        <w:tabs>
          <w:tab w:leader="none" w:pos="1298" w:val="left"/>
        </w:tabs>
        <w:numPr>
          <w:ilvl w:val="1"/>
          <w:numId w:val="5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97" w:lineRule="exact"/>
        <w:rPr>
          <w:rFonts w:ascii="Arial" w:cs="Arial" w:eastAsia="Arial" w:hAnsi="Arial"/>
          <w:sz w:val="18"/>
          <w:szCs w:val="18"/>
          <w:color w:val="auto"/>
        </w:rPr>
      </w:pPr>
    </w:p>
    <w:p>
      <w:pPr>
        <w:jc w:val="both"/>
        <w:ind w:left="660" w:hanging="328"/>
        <w:spacing w:after="0" w:line="268" w:lineRule="auto"/>
        <w:tabs>
          <w:tab w:leader="none" w:pos="648"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97" w:lineRule="exact"/>
        <w:rPr>
          <w:rFonts w:ascii="Arial" w:cs="Arial" w:eastAsia="Arial" w:hAnsi="Arial"/>
          <w:sz w:val="18"/>
          <w:szCs w:val="18"/>
          <w:color w:val="auto"/>
        </w:rPr>
      </w:pPr>
    </w:p>
    <w:p>
      <w:pPr>
        <w:jc w:val="both"/>
        <w:ind w:left="1300" w:hanging="320"/>
        <w:spacing w:after="0" w:line="268" w:lineRule="auto"/>
        <w:tabs>
          <w:tab w:leader="none" w:pos="1298" w:val="left"/>
        </w:tabs>
        <w:numPr>
          <w:ilvl w:val="1"/>
          <w:numId w:val="5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7" w:lineRule="exact"/>
        <w:rPr>
          <w:rFonts w:ascii="Arial" w:cs="Arial" w:eastAsia="Arial" w:hAnsi="Arial"/>
          <w:sz w:val="18"/>
          <w:szCs w:val="18"/>
          <w:color w:val="auto"/>
        </w:rPr>
      </w:pPr>
    </w:p>
    <w:p>
      <w:pPr>
        <w:ind w:left="1300" w:hanging="320"/>
        <w:spacing w:after="0" w:line="287" w:lineRule="auto"/>
        <w:tabs>
          <w:tab w:leader="none" w:pos="1298" w:val="left"/>
        </w:tabs>
        <w:numPr>
          <w:ilvl w:val="1"/>
          <w:numId w:val="5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20"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H. Keith Jennings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170561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02">
                      <a:extLst>
                        <a:ext uri="{28A0092B-C50C-407E-A947-70E740481C1C}"/>
                      </a:extLst>
                    </a:blip>
                    <a:srcRect/>
                    <a:stretch>
                      <a:fillRect/>
                    </a:stretch>
                  </pic:blipFill>
                  <pic:spPr bwMode="auto">
                    <a:xfrm>
                      <a:off x="0" y="0"/>
                      <a:ext cx="1705610" cy="825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Arial" w:cs="Arial" w:eastAsia="Arial" w:hAnsi="Arial"/>
          <w:sz w:val="18"/>
          <w:szCs w:val="18"/>
          <w:color w:val="auto"/>
        </w:rPr>
        <w:t>H. Keith Jennings</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8"/>
          <w:szCs w:val="18"/>
          <w:color w:val="auto"/>
        </w:rPr>
        <w:t>Chief Financial Officer</w:t>
      </w: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color w:val="auto"/>
        </w:rPr>
        <w:t>Date: November 5, 2025</w:t>
      </w:r>
    </w:p>
    <w:p>
      <w:pPr>
        <w:sectPr>
          <w:pgSz w:w="11900" w:h="16838" w:orient="portrait"/>
          <w:cols w:equalWidth="0" w:num="1">
            <w:col w:w="11240"/>
          </w:cols>
          <w:pgMar w:left="320" w:top="769" w:right="339" w:bottom="1440" w:gutter="0" w:footer="0" w:header="0"/>
        </w:sectPr>
      </w:pPr>
    </w:p>
    <w:bookmarkStart w:id="98" w:name="page99"/>
    <w:bookmarkEnd w:id="98"/>
    <w:p>
      <w:pPr>
        <w:jc w:val="right"/>
        <w:spacing w:after="0"/>
        <w:rPr>
          <w:sz w:val="20"/>
          <w:szCs w:val="20"/>
          <w:color w:val="auto"/>
        </w:rPr>
      </w:pPr>
      <w:r>
        <w:rPr>
          <w:rFonts w:ascii="Arial" w:cs="Arial" w:eastAsia="Arial" w:hAnsi="Arial"/>
          <w:sz w:val="18"/>
          <w:szCs w:val="18"/>
          <w:b w:val="1"/>
          <w:bCs w:val="1"/>
          <w:color w:val="auto"/>
        </w:rPr>
        <w:t>EXHIBIT 32.1</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BY CHIEF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In connection with this Quarterly Report of Array Technologies, Inc. (the </w:t>
      </w:r>
      <w:r>
        <w:rPr>
          <w:rFonts w:ascii="Times New Roman" w:cs="Times New Roman" w:eastAsia="Times New Roman" w:hAnsi="Times New Roman"/>
          <w:sz w:val="21"/>
          <w:szCs w:val="21"/>
          <w:color w:val="auto"/>
        </w:rPr>
        <w:t>“</w:t>
      </w:r>
      <w:r>
        <w:rPr>
          <w:rFonts w:ascii="Arial" w:cs="Arial" w:eastAsia="Arial" w:hAnsi="Arial"/>
          <w:sz w:val="18"/>
          <w:szCs w:val="18"/>
          <w:color w:val="auto"/>
        </w:rPr>
        <w:t>Company</w:t>
      </w:r>
      <w:r>
        <w:rPr>
          <w:rFonts w:ascii="Times New Roman" w:cs="Times New Roman" w:eastAsia="Times New Roman" w:hAnsi="Times New Roman"/>
          <w:sz w:val="21"/>
          <w:szCs w:val="21"/>
          <w:color w:val="auto"/>
        </w:rPr>
        <w:t>”</w:t>
      </w:r>
      <w:r>
        <w:rPr>
          <w:rFonts w:ascii="Arial" w:cs="Arial" w:eastAsia="Arial" w:hAnsi="Arial"/>
          <w:sz w:val="18"/>
          <w:szCs w:val="18"/>
          <w:color w:val="auto"/>
        </w:rPr>
        <w:t>) filed on Form 10-Q for the quarter ended September</w:t>
      </w:r>
    </w:p>
    <w:p>
      <w:pPr>
        <w:spacing w:after="0" w:line="3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 xml:space="preserve">30, 2025, as filed with the Securities and Exchange Commission on the date hereof (the </w:t>
      </w:r>
      <w:r>
        <w:rPr>
          <w:rFonts w:ascii="Times New Roman" w:cs="Times New Roman" w:eastAsia="Times New Roman" w:hAnsi="Times New Roman"/>
          <w:sz w:val="21"/>
          <w:szCs w:val="21"/>
          <w:color w:val="auto"/>
        </w:rPr>
        <w:t>“</w:t>
      </w:r>
      <w:r>
        <w:rPr>
          <w:rFonts w:ascii="Arial" w:cs="Arial" w:eastAsia="Arial" w:hAnsi="Arial"/>
          <w:sz w:val="18"/>
          <w:szCs w:val="18"/>
          <w:color w:val="auto"/>
        </w:rPr>
        <w:t>Report</w:t>
      </w:r>
      <w:r>
        <w:rPr>
          <w:rFonts w:ascii="Times New Roman" w:cs="Times New Roman" w:eastAsia="Times New Roman" w:hAnsi="Times New Roman"/>
          <w:sz w:val="21"/>
          <w:szCs w:val="21"/>
          <w:color w:val="auto"/>
        </w:rPr>
        <w:t>”</w:t>
      </w:r>
      <w:r>
        <w:rPr>
          <w:rFonts w:ascii="Arial" w:cs="Arial" w:eastAsia="Arial" w:hAnsi="Arial"/>
          <w:sz w:val="18"/>
          <w:szCs w:val="18"/>
          <w:color w:val="auto"/>
        </w:rPr>
        <w:t>), I, Kevin G. Hostetler, Chief Executive Officer of the Company, certify, pursuant to 18 U.S.C. Section 1350, as adopted pursuant to Section 906 of the Sarbanes-Oxley Act of 2002, that to my knowledge:</w:t>
      </w:r>
    </w:p>
    <w:p>
      <w:pPr>
        <w:spacing w:after="0" w:line="211" w:lineRule="exact"/>
        <w:rPr>
          <w:sz w:val="20"/>
          <w:szCs w:val="20"/>
          <w:color w:val="auto"/>
        </w:rPr>
      </w:pPr>
    </w:p>
    <w:p>
      <w:pPr>
        <w:ind w:left="640" w:hanging="308"/>
        <w:spacing w:after="0"/>
        <w:tabs>
          <w:tab w:leader="none" w:pos="64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252" w:lineRule="exact"/>
        <w:rPr>
          <w:rFonts w:ascii="Arial" w:cs="Arial" w:eastAsia="Arial" w:hAnsi="Arial"/>
          <w:sz w:val="18"/>
          <w:szCs w:val="18"/>
          <w:color w:val="auto"/>
        </w:rPr>
      </w:pPr>
    </w:p>
    <w:p>
      <w:pPr>
        <w:ind w:left="660" w:right="80" w:hanging="328"/>
        <w:spacing w:after="0" w:line="287" w:lineRule="auto"/>
        <w:tabs>
          <w:tab w:leader="none" w:pos="65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Kevin G. Hostetler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170561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03">
                      <a:extLst>
                        <a:ext uri="{28A0092B-C50C-407E-A947-70E740481C1C}"/>
                      </a:extLst>
                    </a:blip>
                    <a:srcRect/>
                    <a:stretch>
                      <a:fillRect/>
                    </a:stretch>
                  </pic:blipFill>
                  <pic:spPr bwMode="auto">
                    <a:xfrm>
                      <a:off x="0" y="0"/>
                      <a:ext cx="1705610" cy="825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Arial" w:cs="Arial" w:eastAsia="Arial" w:hAnsi="Arial"/>
          <w:sz w:val="18"/>
          <w:szCs w:val="18"/>
          <w:color w:val="auto"/>
        </w:rPr>
        <w:t>Kevin G. Hostetler</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8"/>
          <w:szCs w:val="18"/>
          <w:color w:val="auto"/>
        </w:rPr>
        <w:t>Chief Executive Officer</w:t>
      </w: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color w:val="auto"/>
        </w:rPr>
        <w:t>Date: November 5, 2025</w:t>
      </w:r>
    </w:p>
    <w:p>
      <w:pPr>
        <w:sectPr>
          <w:pgSz w:w="11900" w:h="16838" w:orient="portrait"/>
          <w:cols w:equalWidth="0" w:num="1">
            <w:col w:w="11240"/>
          </w:cols>
          <w:pgMar w:left="320" w:top="769" w:right="339" w:bottom="1440" w:gutter="0" w:footer="0" w:header="0"/>
        </w:sectPr>
      </w:pPr>
    </w:p>
    <w:bookmarkStart w:id="99" w:name="page100"/>
    <w:bookmarkEnd w:id="99"/>
    <w:p>
      <w:pPr>
        <w:jc w:val="right"/>
        <w:spacing w:after="0"/>
        <w:rPr>
          <w:sz w:val="20"/>
          <w:szCs w:val="20"/>
          <w:color w:val="auto"/>
        </w:rPr>
      </w:pPr>
      <w:r>
        <w:rPr>
          <w:rFonts w:ascii="Arial" w:cs="Arial" w:eastAsia="Arial" w:hAnsi="Arial"/>
          <w:sz w:val="18"/>
          <w:szCs w:val="18"/>
          <w:b w:val="1"/>
          <w:bCs w:val="1"/>
          <w:color w:val="auto"/>
        </w:rPr>
        <w:t>EXHIBIT 32.2</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BY CHIEF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In connection with this Quarterly Report of Array Technologies, Inc. (the </w:t>
      </w:r>
      <w:r>
        <w:rPr>
          <w:rFonts w:ascii="Times New Roman" w:cs="Times New Roman" w:eastAsia="Times New Roman" w:hAnsi="Times New Roman"/>
          <w:sz w:val="21"/>
          <w:szCs w:val="21"/>
          <w:color w:val="auto"/>
        </w:rPr>
        <w:t>“</w:t>
      </w:r>
      <w:r>
        <w:rPr>
          <w:rFonts w:ascii="Arial" w:cs="Arial" w:eastAsia="Arial" w:hAnsi="Arial"/>
          <w:sz w:val="18"/>
          <w:szCs w:val="18"/>
          <w:color w:val="auto"/>
        </w:rPr>
        <w:t>Company</w:t>
      </w:r>
      <w:r>
        <w:rPr>
          <w:rFonts w:ascii="Times New Roman" w:cs="Times New Roman" w:eastAsia="Times New Roman" w:hAnsi="Times New Roman"/>
          <w:sz w:val="21"/>
          <w:szCs w:val="21"/>
          <w:color w:val="auto"/>
        </w:rPr>
        <w:t>”</w:t>
      </w:r>
      <w:r>
        <w:rPr>
          <w:rFonts w:ascii="Arial" w:cs="Arial" w:eastAsia="Arial" w:hAnsi="Arial"/>
          <w:sz w:val="18"/>
          <w:szCs w:val="18"/>
          <w:color w:val="auto"/>
        </w:rPr>
        <w:t>) filed on Form 10-Q for the quarter ended September</w:t>
      </w:r>
    </w:p>
    <w:p>
      <w:pPr>
        <w:spacing w:after="0" w:line="3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 xml:space="preserve">30, 2025, as filed with the Securities and Exchange Commission on the date hereof (the </w:t>
      </w:r>
      <w:r>
        <w:rPr>
          <w:rFonts w:ascii="Times New Roman" w:cs="Times New Roman" w:eastAsia="Times New Roman" w:hAnsi="Times New Roman"/>
          <w:sz w:val="21"/>
          <w:szCs w:val="21"/>
          <w:color w:val="auto"/>
        </w:rPr>
        <w:t>“</w:t>
      </w:r>
      <w:r>
        <w:rPr>
          <w:rFonts w:ascii="Arial" w:cs="Arial" w:eastAsia="Arial" w:hAnsi="Arial"/>
          <w:sz w:val="18"/>
          <w:szCs w:val="18"/>
          <w:color w:val="auto"/>
        </w:rPr>
        <w:t>Report</w:t>
      </w:r>
      <w:r>
        <w:rPr>
          <w:rFonts w:ascii="Times New Roman" w:cs="Times New Roman" w:eastAsia="Times New Roman" w:hAnsi="Times New Roman"/>
          <w:sz w:val="21"/>
          <w:szCs w:val="21"/>
          <w:color w:val="auto"/>
        </w:rPr>
        <w:t>”</w:t>
      </w:r>
      <w:r>
        <w:rPr>
          <w:rFonts w:ascii="Arial" w:cs="Arial" w:eastAsia="Arial" w:hAnsi="Arial"/>
          <w:sz w:val="18"/>
          <w:szCs w:val="18"/>
          <w:color w:val="auto"/>
        </w:rPr>
        <w:t>), I, H. Keith Jennings, Chief Financial Officer of the Company, certify, pursuant to 18 U.S.C. Section 1350, as adopted pursuant to Section 906 of the Sarbanes-Oxley Act of 2002, that to my knowledge:</w:t>
      </w:r>
    </w:p>
    <w:p>
      <w:pPr>
        <w:spacing w:after="0" w:line="211" w:lineRule="exact"/>
        <w:rPr>
          <w:sz w:val="20"/>
          <w:szCs w:val="20"/>
          <w:color w:val="auto"/>
        </w:rPr>
      </w:pPr>
    </w:p>
    <w:p>
      <w:pPr>
        <w:ind w:left="640" w:hanging="308"/>
        <w:spacing w:after="0"/>
        <w:tabs>
          <w:tab w:leader="none" w:pos="64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252" w:lineRule="exact"/>
        <w:rPr>
          <w:rFonts w:ascii="Arial" w:cs="Arial" w:eastAsia="Arial" w:hAnsi="Arial"/>
          <w:sz w:val="18"/>
          <w:szCs w:val="18"/>
          <w:color w:val="auto"/>
        </w:rPr>
      </w:pPr>
    </w:p>
    <w:p>
      <w:pPr>
        <w:ind w:left="660" w:hanging="328"/>
        <w:spacing w:after="0" w:line="287" w:lineRule="auto"/>
        <w:tabs>
          <w:tab w:leader="none" w:pos="65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H. Keith Jennings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170561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04">
                      <a:extLst>
                        <a:ext uri="{28A0092B-C50C-407E-A947-70E740481C1C}"/>
                      </a:extLst>
                    </a:blip>
                    <a:srcRect/>
                    <a:stretch>
                      <a:fillRect/>
                    </a:stretch>
                  </pic:blipFill>
                  <pic:spPr bwMode="auto">
                    <a:xfrm>
                      <a:off x="0" y="0"/>
                      <a:ext cx="1705610" cy="825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Arial" w:cs="Arial" w:eastAsia="Arial" w:hAnsi="Arial"/>
          <w:sz w:val="18"/>
          <w:szCs w:val="18"/>
          <w:color w:val="auto"/>
        </w:rPr>
        <w:t>H. Keith Jennings</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8"/>
          <w:szCs w:val="18"/>
          <w:color w:val="auto"/>
        </w:rPr>
        <w:t>Chief Financial Officer</w:t>
      </w: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color w:val="auto"/>
        </w:rPr>
        <w:t>Date: November 5, 2025</w:t>
      </w:r>
    </w:p>
    <w:sectPr>
      <w:pgSz w:w="11900" w:h="16838" w:orient="portrait"/>
      <w:cols w:equalWidth="0" w:num="1">
        <w:col w:w="11240"/>
      </w:cols>
      <w:pgMar w:left="320" w:top="769"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8138641"/>
    <w:multiLevelType w:val="hybridMultilevel"/>
    <w:lvl w:ilvl="0">
      <w:lvlJc w:val="left"/>
      <w:lvlText w:val="☒"/>
      <w:numFmt w:val="bullet"/>
      <w:start w:val="1"/>
    </w:lvl>
  </w:abstractNum>
  <w:abstractNum w:abstractNumId="1">
    <w:nsid w:val="1E7FF521"/>
    <w:multiLevelType w:val="hybridMultilevel"/>
    <w:lvl w:ilvl="0">
      <w:lvlJc w:val="left"/>
      <w:lvlText w:val="☐"/>
      <w:numFmt w:val="bullet"/>
      <w:start w:val="1"/>
    </w:lvl>
  </w:abstractNum>
  <w:abstractNum w:abstractNumId="2">
    <w:nsid w:val="7C3DBD3D"/>
    <w:multiLevelType w:val="hybridMultilevel"/>
    <w:lvl w:ilvl="0">
      <w:lvlJc w:val="left"/>
      <w:lvlText w:val="☒"/>
      <w:numFmt w:val="bullet"/>
      <w:start w:val="1"/>
    </w:lvl>
  </w:abstractNum>
  <w:abstractNum w:abstractNumId="3">
    <w:nsid w:val="737B8DDC"/>
    <w:multiLevelType w:val="hybridMultilevel"/>
    <w:lvl w:ilvl="0">
      <w:lvlJc w:val="left"/>
      <w:lvlText w:val="(%1)"/>
      <w:numFmt w:val="decimal"/>
      <w:start w:val="1"/>
    </w:lvl>
  </w:abstractNum>
  <w:abstractNum w:abstractNumId="4">
    <w:nsid w:val="6CEAF087"/>
    <w:multiLevelType w:val="hybridMultilevel"/>
    <w:lvl w:ilvl="0">
      <w:lvlJc w:val="left"/>
      <w:lvlText w:val="%1."/>
      <w:numFmt w:val="decimal"/>
      <w:start w:val="1"/>
    </w:lvl>
  </w:abstractNum>
  <w:abstractNum w:abstractNumId="5">
    <w:nsid w:val="22221A70"/>
    <w:multiLevelType w:val="hybridMultilevel"/>
    <w:lvl w:ilvl="0">
      <w:lvlJc w:val="left"/>
      <w:lvlText w:val="%1."/>
      <w:numFmt w:val="decimal"/>
      <w:start w:val="2"/>
    </w:lvl>
  </w:abstractNum>
  <w:abstractNum w:abstractNumId="6">
    <w:nsid w:val="4516DDE9"/>
    <w:multiLevelType w:val="hybridMultilevel"/>
    <w:lvl w:ilvl="0">
      <w:lvlJc w:val="left"/>
      <w:lvlText w:val="%1."/>
      <w:numFmt w:val="decimal"/>
      <w:start w:val="3"/>
    </w:lvl>
  </w:abstractNum>
  <w:abstractNum w:abstractNumId="7">
    <w:nsid w:val="3006C83E"/>
    <w:multiLevelType w:val="hybridMultilevel"/>
    <w:lvl w:ilvl="0">
      <w:lvlJc w:val="left"/>
      <w:lvlText w:val="(%1)"/>
      <w:numFmt w:val="lowerRoman"/>
      <w:start w:val="1"/>
    </w:lvl>
  </w:abstractNum>
  <w:abstractNum w:abstractNumId="8">
    <w:nsid w:val="614FD4A1"/>
    <w:multiLevelType w:val="hybridMultilevel"/>
    <w:lvl w:ilvl="0">
      <w:lvlJc w:val="left"/>
      <w:lvlText w:val="(%1)"/>
      <w:numFmt w:val="decimal"/>
      <w:start w:val="1"/>
    </w:lvl>
  </w:abstractNum>
  <w:abstractNum w:abstractNumId="9">
    <w:nsid w:val="419AC241"/>
    <w:multiLevelType w:val="hybridMultilevel"/>
    <w:lvl w:ilvl="0">
      <w:lvlJc w:val="left"/>
      <w:lvlText w:val="%1."/>
      <w:numFmt w:val="decimal"/>
      <w:start w:val="5"/>
    </w:lvl>
  </w:abstractNum>
  <w:abstractNum w:abstractNumId="10">
    <w:nsid w:val="5577F8E1"/>
    <w:multiLevelType w:val="hybridMultilevel"/>
    <w:lvl w:ilvl="0">
      <w:lvlJc w:val="left"/>
      <w:lvlText w:val="%1."/>
      <w:numFmt w:val="decimal"/>
      <w:start w:val="6"/>
    </w:lvl>
  </w:abstractNum>
  <w:abstractNum w:abstractNumId="11">
    <w:nsid w:val="440BADFC"/>
    <w:multiLevelType w:val="hybridMultilevel"/>
    <w:lvl w:ilvl="0">
      <w:lvlJc w:val="left"/>
      <w:lvlText w:val="(%1)"/>
      <w:numFmt w:val="decimal"/>
      <w:start w:val="1"/>
    </w:lvl>
  </w:abstractNum>
  <w:abstractNum w:abstractNumId="12">
    <w:nsid w:val="5072367"/>
    <w:multiLevelType w:val="hybridMultilevel"/>
    <w:lvl w:ilvl="0">
      <w:lvlJc w:val="left"/>
      <w:lvlText w:val="%1."/>
      <w:numFmt w:val="decimal"/>
      <w:start w:val="7"/>
    </w:lvl>
  </w:abstractNum>
  <w:abstractNum w:abstractNumId="13">
    <w:nsid w:val="3804823E"/>
    <w:multiLevelType w:val="hybridMultilevel"/>
    <w:lvl w:ilvl="0">
      <w:lvlJc w:val="left"/>
      <w:lvlText w:val="%1."/>
      <w:numFmt w:val="decimal"/>
      <w:start w:val="8"/>
    </w:lvl>
  </w:abstractNum>
  <w:abstractNum w:abstractNumId="14">
    <w:nsid w:val="77465F01"/>
    <w:multiLevelType w:val="hybridMultilevel"/>
    <w:lvl w:ilvl="0">
      <w:lvlJc w:val="left"/>
      <w:lvlText w:val="%1."/>
      <w:numFmt w:val="decimal"/>
      <w:start w:val="9"/>
    </w:lvl>
  </w:abstractNum>
  <w:abstractNum w:abstractNumId="15">
    <w:nsid w:val="7724C67E"/>
    <w:multiLevelType w:val="hybridMultilevel"/>
    <w:lvl w:ilvl="0">
      <w:lvlJc w:val="left"/>
      <w:lvlText w:val="%1."/>
      <w:numFmt w:val="decimal"/>
      <w:start w:val="10"/>
    </w:lvl>
  </w:abstractNum>
  <w:abstractNum w:abstractNumId="16">
    <w:nsid w:val="5C482A97"/>
    <w:multiLevelType w:val="hybridMultilevel"/>
    <w:lvl w:ilvl="0">
      <w:lvlJc w:val="left"/>
      <w:lvlText w:val="%1."/>
      <w:numFmt w:val="decimal"/>
      <w:start w:val="11"/>
    </w:lvl>
  </w:abstractNum>
  <w:abstractNum w:abstractNumId="17">
    <w:nsid w:val="2463B9EA"/>
    <w:multiLevelType w:val="hybridMultilevel"/>
    <w:lvl w:ilvl="0">
      <w:lvlJc w:val="left"/>
      <w:lvlText w:val="%1."/>
      <w:numFmt w:val="decimal"/>
      <w:start w:val="12"/>
    </w:lvl>
  </w:abstractNum>
  <w:abstractNum w:abstractNumId="18">
    <w:nsid w:val="5E884ADC"/>
    <w:multiLevelType w:val="hybridMultilevel"/>
    <w:lvl w:ilvl="0">
      <w:lvlJc w:val="left"/>
      <w:lvlText w:val="%1."/>
      <w:numFmt w:val="decimal"/>
      <w:start w:val="13"/>
    </w:lvl>
  </w:abstractNum>
  <w:abstractNum w:abstractNumId="19">
    <w:nsid w:val="51EAD36B"/>
    <w:multiLevelType w:val="hybridMultilevel"/>
    <w:lvl w:ilvl="0">
      <w:lvlJc w:val="left"/>
      <w:lvlText w:val="%1."/>
      <w:numFmt w:val="decimal"/>
      <w:start w:val="14"/>
    </w:lvl>
  </w:abstractNum>
  <w:abstractNum w:abstractNumId="20">
    <w:nsid w:val="2D517796"/>
    <w:multiLevelType w:val="hybridMultilevel"/>
    <w:lvl w:ilvl="0">
      <w:lvlJc w:val="left"/>
      <w:lvlText w:val="%1."/>
      <w:numFmt w:val="decimal"/>
      <w:start w:val="15"/>
    </w:lvl>
  </w:abstractNum>
  <w:abstractNum w:abstractNumId="21">
    <w:nsid w:val="580BD78F"/>
    <w:multiLevelType w:val="hybridMultilevel"/>
    <w:lvl w:ilvl="0">
      <w:lvlJc w:val="left"/>
      <w:lvlText w:val="(%1)"/>
      <w:numFmt w:val="decimal"/>
      <w:start w:val="1"/>
    </w:lvl>
  </w:abstractNum>
  <w:abstractNum w:abstractNumId="22">
    <w:nsid w:val="153EA438"/>
    <w:multiLevelType w:val="hybridMultilevel"/>
    <w:lvl w:ilvl="0">
      <w:lvlJc w:val="left"/>
      <w:lvlText w:val="%1."/>
      <w:numFmt w:val="decimal"/>
      <w:start w:val="17"/>
    </w:lvl>
  </w:abstractNum>
  <w:abstractNum w:abstractNumId="23">
    <w:nsid w:val="3855585C"/>
    <w:multiLevelType w:val="hybridMultilevel"/>
    <w:lvl w:ilvl="0">
      <w:lvlJc w:val="left"/>
      <w:lvlText w:val="•"/>
      <w:numFmt w:val="bullet"/>
      <w:start w:val="1"/>
    </w:lvl>
  </w:abstractNum>
  <w:abstractNum w:abstractNumId="24">
    <w:nsid w:val="70A64E2A"/>
    <w:multiLevelType w:val="hybridMultilevel"/>
    <w:lvl w:ilvl="0">
      <w:lvlJc w:val="left"/>
      <w:lvlText w:val="•"/>
      <w:numFmt w:val="bullet"/>
      <w:start w:val="1"/>
    </w:lvl>
  </w:abstractNum>
  <w:abstractNum w:abstractNumId="25">
    <w:nsid w:val="6A2342EC"/>
    <w:multiLevelType w:val="hybridMultilevel"/>
    <w:lvl w:ilvl="0">
      <w:lvlJc w:val="left"/>
      <w:lvlText w:val="(%1)"/>
      <w:numFmt w:val="lowerRoman"/>
      <w:start w:val="1"/>
    </w:lvl>
  </w:abstractNum>
  <w:abstractNum w:abstractNumId="26">
    <w:nsid w:val="2A487CB0"/>
    <w:multiLevelType w:val="hybridMultilevel"/>
    <w:lvl w:ilvl="0">
      <w:lvlJc w:val="left"/>
      <w:lvlText w:val="•"/>
      <w:numFmt w:val="bullet"/>
      <w:start w:val="1"/>
    </w:lvl>
  </w:abstractNum>
  <w:abstractNum w:abstractNumId="27">
    <w:nsid w:val="1D4ED43B"/>
    <w:multiLevelType w:val="hybridMultilevel"/>
    <w:lvl w:ilvl="0">
      <w:lvlJc w:val="left"/>
      <w:lvlText w:val="*"/>
      <w:numFmt w:val="bullet"/>
      <w:start w:val="1"/>
    </w:lvl>
    <w:lvl w:ilvl="1">
      <w:lvlJc w:val="left"/>
      <w:lvlText w:val="%2"/>
      <w:numFmt w:val="decimal"/>
      <w:start w:val="104"/>
    </w:lvl>
  </w:abstractNum>
  <w:abstractNum w:abstractNumId="28">
    <w:nsid w:val="725A06FB"/>
    <w:multiLevelType w:val="hybridMultilevel"/>
    <w:lvl w:ilvl="0">
      <w:lvlJc w:val="left"/>
      <w:lvlText w:val="+"/>
      <w:numFmt w:val="bullet"/>
      <w:start w:val="1"/>
    </w:lvl>
  </w:abstractNum>
  <w:abstractNum w:abstractNumId="29">
    <w:nsid w:val="2CD89A32"/>
    <w:multiLevelType w:val="hybridMultilevel"/>
    <w:lvl w:ilvl="0">
      <w:lvlJc w:val="left"/>
      <w:lvlText w:val="%1."/>
      <w:numFmt w:val="decimal"/>
      <w:start w:val="1"/>
    </w:lvl>
    <w:lvl w:ilvl="1">
      <w:lvlJc w:val="left"/>
      <w:lvlText w:val="(%2)"/>
      <w:numFmt w:val="lowerLetter"/>
      <w:start w:val="1"/>
    </w:lvl>
  </w:abstractNum>
  <w:abstractNum w:abstractNumId="30">
    <w:nsid w:val="57E4CCAF"/>
    <w:multiLevelType w:val="hybridMultilevel"/>
    <w:lvl w:ilvl="0">
      <w:lvlJc w:val="left"/>
      <w:lvlText w:val="%1"/>
      <w:numFmt w:val="decimal"/>
      <w:start w:val="1"/>
    </w:lvl>
    <w:lvl w:ilvl="1">
      <w:lvlJc w:val="left"/>
      <w:lvlText w:val="(%2)"/>
      <w:numFmt w:val="lowerLetter"/>
      <w:start w:val="4"/>
    </w:lvl>
  </w:abstractNum>
  <w:abstractNum w:abstractNumId="31">
    <w:nsid w:val="7A6D8D3C"/>
    <w:multiLevelType w:val="hybridMultilevel"/>
    <w:lvl w:ilvl="0">
      <w:lvlJc w:val="left"/>
      <w:lvlText w:val="%1."/>
      <w:numFmt w:val="decimal"/>
      <w:start w:val="3"/>
    </w:lvl>
    <w:lvl w:ilvl="1">
      <w:lvlJc w:val="left"/>
      <w:lvlText w:val="%2"/>
      <w:numFmt w:val="lowerLetter"/>
      <w:start w:val="1"/>
    </w:lvl>
  </w:abstractNum>
  <w:abstractNum w:abstractNumId="32">
    <w:nsid w:val="4B588F54"/>
    <w:multiLevelType w:val="hybridMultilevel"/>
    <w:lvl w:ilvl="0">
      <w:lvlJc w:val="left"/>
      <w:lvlText w:val="%1."/>
      <w:numFmt w:val="decimal"/>
      <w:start w:val="6"/>
    </w:lvl>
  </w:abstractNum>
  <w:abstractNum w:abstractNumId="33">
    <w:nsid w:val="542289EC"/>
    <w:multiLevelType w:val="hybridMultilevel"/>
    <w:lvl w:ilvl="0">
      <w:lvlJc w:val="left"/>
      <w:lvlText w:val="%1."/>
      <w:numFmt w:val="decimal"/>
      <w:start w:val="10"/>
    </w:lvl>
  </w:abstractNum>
  <w:abstractNum w:abstractNumId="34">
    <w:nsid w:val="6DE91B18"/>
    <w:multiLevelType w:val="hybridMultilevel"/>
    <w:lvl w:ilvl="0">
      <w:lvlJc w:val="left"/>
      <w:lvlText w:val="%1."/>
      <w:numFmt w:val="decimal"/>
      <w:start w:val="14"/>
    </w:lvl>
  </w:abstractNum>
  <w:abstractNum w:abstractNumId="35">
    <w:nsid w:val="38437FDB"/>
    <w:multiLevelType w:val="hybridMultilevel"/>
    <w:lvl w:ilvl="0">
      <w:lvlJc w:val="left"/>
      <w:lvlText w:val="%1."/>
      <w:numFmt w:val="decimal"/>
      <w:start w:val="16"/>
    </w:lvl>
  </w:abstractNum>
  <w:abstractNum w:abstractNumId="36">
    <w:nsid w:val="7644A45C"/>
    <w:multiLevelType w:val="hybridMultilevel"/>
    <w:lvl w:ilvl="0">
      <w:lvlJc w:val="left"/>
      <w:lvlText w:val="%1."/>
      <w:numFmt w:val="decimal"/>
      <w:start w:val="18"/>
    </w:lvl>
  </w:abstractNum>
  <w:abstractNum w:abstractNumId="37">
    <w:nsid w:val="32FFF902"/>
    <w:multiLevelType w:val="hybridMultilevel"/>
    <w:lvl w:ilvl="0">
      <w:lvlJc w:val="left"/>
      <w:lvlText w:val="%1."/>
      <w:numFmt w:val="decimal"/>
      <w:start w:val="19"/>
    </w:lvl>
  </w:abstractNum>
  <w:abstractNum w:abstractNumId="38">
    <w:nsid w:val="684A481A"/>
    <w:multiLevelType w:val="hybridMultilevel"/>
    <w:lvl w:ilvl="0">
      <w:lvlJc w:val="left"/>
      <w:lvlText w:val="%1."/>
      <w:numFmt w:val="decimal"/>
      <w:start w:val="23"/>
    </w:lvl>
  </w:abstractNum>
  <w:abstractNum w:abstractNumId="39">
    <w:nsid w:val="579478FE"/>
    <w:multiLevelType w:val="hybridMultilevel"/>
    <w:lvl w:ilvl="0">
      <w:lvlJc w:val="left"/>
      <w:lvlText w:val="(%1)"/>
      <w:numFmt w:val="lowerLetter"/>
      <w:start w:val="4"/>
    </w:lvl>
  </w:abstractNum>
  <w:abstractNum w:abstractNumId="40">
    <w:nsid w:val="749ABB43"/>
    <w:multiLevelType w:val="hybridMultilevel"/>
    <w:lvl w:ilvl="0">
      <w:lvlJc w:val="left"/>
      <w:lvlText w:val="%1."/>
      <w:numFmt w:val="upperLetter"/>
      <w:start w:val="1"/>
    </w:lvl>
  </w:abstractNum>
  <w:abstractNum w:abstractNumId="41">
    <w:nsid w:val="3DC240FB"/>
    <w:multiLevelType w:val="hybridMultilevel"/>
    <w:lvl w:ilvl="0">
      <w:lvlJc w:val="left"/>
      <w:lvlText w:val="%1."/>
      <w:numFmt w:val="decimal"/>
      <w:start w:val="1"/>
    </w:lvl>
  </w:abstractNum>
  <w:abstractNum w:abstractNumId="42">
    <w:nsid w:val="1BA026FA"/>
    <w:multiLevelType w:val="hybridMultilevel"/>
    <w:lvl w:ilvl="0">
      <w:lvlJc w:val="left"/>
      <w:lvlText w:val="§"/>
      <w:numFmt w:val="bullet"/>
      <w:start w:val="1"/>
    </w:lvl>
  </w:abstractNum>
  <w:abstractNum w:abstractNumId="43">
    <w:nsid w:val="79A1DEAA"/>
    <w:multiLevelType w:val="hybridMultilevel"/>
    <w:lvl w:ilvl="0">
      <w:lvlJc w:val="left"/>
      <w:lvlText w:val="%1."/>
      <w:numFmt w:val="decimal"/>
      <w:start w:val="3"/>
    </w:lvl>
  </w:abstractNum>
  <w:abstractNum w:abstractNumId="44">
    <w:nsid w:val="75C6C33A"/>
    <w:multiLevelType w:val="hybridMultilevel"/>
    <w:lvl w:ilvl="0">
      <w:lvlJc w:val="left"/>
      <w:lvlText w:val="(%1)"/>
      <w:numFmt w:val="lowerRoman"/>
      <w:start w:val="2"/>
    </w:lvl>
    <w:lvl w:ilvl="1">
      <w:lvlJc w:val="left"/>
      <w:lvlText w:val="%2."/>
      <w:numFmt w:val="decimal"/>
      <w:start w:val="6"/>
    </w:lvl>
  </w:abstractNum>
  <w:abstractNum w:abstractNumId="45">
    <w:nsid w:val="12E685FB"/>
    <w:multiLevelType w:val="hybridMultilevel"/>
    <w:lvl w:ilvl="0">
      <w:lvlJc w:val="left"/>
      <w:lvlText w:val="%1."/>
      <w:numFmt w:val="decimal"/>
      <w:start w:val="8"/>
    </w:lvl>
  </w:abstractNum>
  <w:abstractNum w:abstractNumId="46">
    <w:nsid w:val="70C6A529"/>
    <w:multiLevelType w:val="hybridMultilevel"/>
    <w:lvl w:ilvl="0">
      <w:lvlJc w:val="left"/>
      <w:lvlText w:val="(%1)"/>
      <w:numFmt w:val="lowerLetter"/>
      <w:start w:val="1"/>
    </w:lvl>
  </w:abstractNum>
  <w:abstractNum w:abstractNumId="47">
    <w:nsid w:val="520EEDD1"/>
    <w:multiLevelType w:val="hybridMultilevel"/>
    <w:lvl w:ilvl="0">
      <w:lvlJc w:val="left"/>
      <w:lvlText w:val="(%1)"/>
      <w:numFmt w:val="lowerLetter"/>
      <w:start w:val="6"/>
    </w:lvl>
  </w:abstractNum>
  <w:abstractNum w:abstractNumId="48">
    <w:nsid w:val="374A3FE6"/>
    <w:multiLevelType w:val="hybridMultilevel"/>
    <w:lvl w:ilvl="0">
      <w:lvlJc w:val="left"/>
      <w:lvlText w:val="(%1)"/>
      <w:numFmt w:val="lowerLetter"/>
      <w:start w:val="3"/>
    </w:lvl>
  </w:abstractNum>
  <w:abstractNum w:abstractNumId="49">
    <w:nsid w:val="4F4EF005"/>
    <w:multiLevelType w:val="hybridMultilevel"/>
    <w:lvl w:ilvl="0">
      <w:lvlJc w:val="left"/>
      <w:lvlText w:val="%1."/>
      <w:numFmt w:val="decimal"/>
      <w:start w:val="7"/>
    </w:lvl>
  </w:abstractNum>
  <w:abstractNum w:abstractNumId="50">
    <w:nsid w:val="23F9C13C"/>
    <w:multiLevelType w:val="hybridMultilevel"/>
    <w:lvl w:ilvl="0">
      <w:lvlJc w:val="left"/>
      <w:lvlText w:val="%1."/>
      <w:numFmt w:val="decimal"/>
      <w:start w:val="8"/>
    </w:lvl>
  </w:abstractNum>
  <w:abstractNum w:abstractNumId="51">
    <w:nsid w:val="649BB77C"/>
    <w:multiLevelType w:val="hybridMultilevel"/>
    <w:lvl w:ilvl="0">
      <w:lvlJc w:val="left"/>
      <w:lvlText w:val="%1."/>
      <w:numFmt w:val="decimal"/>
      <w:start w:val="9"/>
    </w:lvl>
  </w:abstractNum>
  <w:abstractNum w:abstractNumId="52">
    <w:nsid w:val="275AC794"/>
    <w:multiLevelType w:val="hybridMultilevel"/>
    <w:lvl w:ilvl="0">
      <w:lvlJc w:val="left"/>
      <w:lvlText w:val="%1."/>
      <w:numFmt w:val="upperLetter"/>
      <w:start w:val="1"/>
    </w:lvl>
  </w:abstractNum>
  <w:abstractNum w:abstractNumId="53">
    <w:nsid w:val="39386575"/>
    <w:multiLevelType w:val="hybridMultilevel"/>
    <w:lvl w:ilvl="0">
      <w:lvlJc w:val="left"/>
      <w:lvlText w:val="%1."/>
      <w:numFmt w:val="decimal"/>
      <w:start w:val="1"/>
    </w:lvl>
  </w:abstractNum>
  <w:abstractNum w:abstractNumId="54">
    <w:nsid w:val="1CF10FD8"/>
    <w:multiLevelType w:val="hybridMultilevel"/>
    <w:lvl w:ilvl="0">
      <w:lvlJc w:val="left"/>
      <w:lvlText w:val="%1."/>
      <w:numFmt w:val="decimal"/>
      <w:start w:val="4"/>
    </w:lvl>
  </w:abstractNum>
  <w:abstractNum w:abstractNumId="55">
    <w:nsid w:val="180115BE"/>
    <w:multiLevelType w:val="hybridMultilevel"/>
    <w:lvl w:ilvl="0">
      <w:lvlJc w:val="left"/>
      <w:lvlText w:val="%1."/>
      <w:numFmt w:val="decimal"/>
      <w:start w:val="1"/>
    </w:lvl>
    <w:lvl w:ilvl="1">
      <w:lvlJc w:val="left"/>
      <w:lvlText w:val="%2)"/>
      <w:numFmt w:val="lowerLetter"/>
      <w:start w:val="1"/>
    </w:lvl>
  </w:abstractNum>
  <w:abstractNum w:abstractNumId="56">
    <w:nsid w:val="235BA861"/>
    <w:multiLevelType w:val="hybridMultilevel"/>
    <w:lvl w:ilvl="0">
      <w:lvlJc w:val="left"/>
      <w:lvlText w:val="%1."/>
      <w:numFmt w:val="decimal"/>
      <w:start w:val="1"/>
    </w:lvl>
    <w:lvl w:ilvl="1">
      <w:lvlJc w:val="left"/>
      <w:lvlText w:val="%2)"/>
      <w:numFmt w:val="lowerLetter"/>
      <w:start w:val="1"/>
    </w:lvl>
  </w:abstractNum>
  <w:abstractNum w:abstractNumId="57">
    <w:nsid w:val="47398C89"/>
    <w:multiLevelType w:val="hybridMultilevel"/>
    <w:lvl w:ilvl="0">
      <w:lvlJc w:val="left"/>
      <w:lvlText w:val="(%1)"/>
      <w:numFmt w:val="decimal"/>
      <w:start w:val="1"/>
    </w:lvl>
  </w:abstractNum>
  <w:abstractNum w:abstractNumId="58">
    <w:nsid w:val="354FE9F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4" Type="http://schemas.openxmlformats.org/officeDocument/2006/relationships/image" Target="media/image66.png"/><Relationship Id="rId75" Type="http://schemas.openxmlformats.org/officeDocument/2006/relationships/image" Target="media/image67.png"/><Relationship Id="rId76" Type="http://schemas.openxmlformats.org/officeDocument/2006/relationships/image" Target="media/image68.png"/><Relationship Id="rId77" Type="http://schemas.openxmlformats.org/officeDocument/2006/relationships/image" Target="media/image69.png"/><Relationship Id="rId78" Type="http://schemas.openxmlformats.org/officeDocument/2006/relationships/image" Target="media/image70.png"/><Relationship Id="rId79" Type="http://schemas.openxmlformats.org/officeDocument/2006/relationships/image" Target="media/image71.png"/><Relationship Id="rId81" Type="http://schemas.openxmlformats.org/officeDocument/2006/relationships/image" Target="media/image72.png"/><Relationship Id="rId86" Type="http://schemas.openxmlformats.org/officeDocument/2006/relationships/image" Target="media/image73.png"/><Relationship Id="rId87" Type="http://schemas.openxmlformats.org/officeDocument/2006/relationships/image" Target="media/image74.png"/><Relationship Id="rId88" Type="http://schemas.openxmlformats.org/officeDocument/2006/relationships/image" Target="media/image75.png"/><Relationship Id="rId89" Type="http://schemas.openxmlformats.org/officeDocument/2006/relationships/image" Target="media/image76.png"/><Relationship Id="rId90" Type="http://schemas.openxmlformats.org/officeDocument/2006/relationships/image" Target="media/image77.png"/><Relationship Id="rId91" Type="http://schemas.openxmlformats.org/officeDocument/2006/relationships/image" Target="media/image78.png"/><Relationship Id="rId92" Type="http://schemas.openxmlformats.org/officeDocument/2006/relationships/image" Target="media/image79.png"/><Relationship Id="rId93" Type="http://schemas.openxmlformats.org/officeDocument/2006/relationships/image" Target="media/image80.png"/><Relationship Id="rId94" Type="http://schemas.openxmlformats.org/officeDocument/2006/relationships/image" Target="media/image81.png"/><Relationship Id="rId95" Type="http://schemas.openxmlformats.org/officeDocument/2006/relationships/image" Target="media/image82.png"/><Relationship Id="rId96" Type="http://schemas.openxmlformats.org/officeDocument/2006/relationships/image" Target="media/image83.png"/><Relationship Id="rId97" Type="http://schemas.openxmlformats.org/officeDocument/2006/relationships/image" Target="media/image84.png"/><Relationship Id="rId98" Type="http://schemas.openxmlformats.org/officeDocument/2006/relationships/image" Target="media/image85.png"/><Relationship Id="rId99" Type="http://schemas.openxmlformats.org/officeDocument/2006/relationships/image" Target="media/image86.png"/><Relationship Id="rId100" Type="http://schemas.openxmlformats.org/officeDocument/2006/relationships/image" Target="media/image87.png"/><Relationship Id="rId101" Type="http://schemas.openxmlformats.org/officeDocument/2006/relationships/image" Target="media/image88.png"/><Relationship Id="rId102" Type="http://schemas.openxmlformats.org/officeDocument/2006/relationships/image" Target="media/image89.png"/><Relationship Id="rId103" Type="http://schemas.openxmlformats.org/officeDocument/2006/relationships/image" Target="media/image90.png"/><Relationship Id="rId104" Type="http://schemas.openxmlformats.org/officeDocument/2006/relationships/image" Target="media/image91.png"/><Relationship Id="rId73" Type="http://schemas.openxmlformats.org/officeDocument/2006/relationships/hyperlink" Target="https://www.sec.gov/ix?doc=/Archives/edgar/data/0001820721/000182072125000023/arry-20241231.htm" TargetMode="External"/><Relationship Id="rId80" Type="http://schemas.openxmlformats.org/officeDocument/2006/relationships/hyperlink" Target="https://www.sec.gov/Archives/edgar/data/1820721/000119312525142342/d931026dex21.htm" TargetMode="External"/><Relationship Id="rId82" Type="http://schemas.openxmlformats.org/officeDocument/2006/relationships/hyperlink" Target="https://www.sec.gov/Archives/edgar/data/1820721/000119312525180827/d41409dex22.htm" TargetMode="External"/><Relationship Id="rId83" Type="http://schemas.openxmlformats.org/officeDocument/2006/relationships/hyperlink" Target="https://www.sec.gov/Archives/edgar/data/1820721/000119312520272092/d50569dex31.htm" TargetMode="External"/><Relationship Id="rId84" Type="http://schemas.openxmlformats.org/officeDocument/2006/relationships/hyperlink" Target="https://www.sec.gov/Archives/edgar/data/1820721/000119312520272092/d50569dex32.htm" TargetMode="External"/><Relationship Id="rId85" Type="http://schemas.openxmlformats.org/officeDocument/2006/relationships/hyperlink" Target="https://www.sec.gov/Archives/edgar/data/0001820721/000182072121000057/helios-certificateofdesign.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2025-11-05T16:35:56Z</dcterms:created>
  <dcterms:modified xsi:type="dcterms:W3CDTF">2025-11-05T16:35:56Z</dcterms:modified>
</cp:coreProperties>
</file>